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spacing w:before="127" w:line="219" w:lineRule="auto"/>
        <w:jc w:val="center"/>
        <w:rPr>
          <w:rFonts w:hint="eastAsia" w:ascii="黑体" w:hAnsi="黑体" w:eastAsia="黑体" w:cs="黑体"/>
          <w:sz w:val="39"/>
          <w:szCs w:val="39"/>
        </w:rPr>
      </w:pPr>
      <w:r>
        <w:rPr>
          <w:rFonts w:hint="eastAsia" w:ascii="黑体" w:hAnsi="黑体" w:eastAsia="黑体" w:cs="黑体"/>
          <w:b/>
          <w:bCs/>
          <w:spacing w:val="16"/>
          <w:sz w:val="39"/>
          <w:szCs w:val="39"/>
        </w:rPr>
        <w:t>拟签订合同文本</w:t>
      </w:r>
    </w:p>
    <w:p w14:paraId="7C4B4597">
      <w:pPr>
        <w:spacing w:before="2" w:line="460" w:lineRule="exact"/>
        <w:jc w:val="center"/>
        <w:rPr>
          <w:rFonts w:hint="eastAsia" w:ascii="黑体" w:hAnsi="黑体" w:eastAsia="黑体" w:cs="黑体"/>
          <w:b/>
          <w:color w:val="000000"/>
          <w:sz w:val="20"/>
          <w:szCs w:val="20"/>
        </w:rPr>
      </w:pPr>
    </w:p>
    <w:p w14:paraId="32C8D167">
      <w:pPr>
        <w:spacing w:before="2" w:line="460" w:lineRule="exact"/>
        <w:jc w:val="center"/>
        <w:rPr>
          <w:rFonts w:hint="eastAsia" w:ascii="黑体" w:hAnsi="黑体" w:eastAsia="黑体" w:cs="黑体"/>
          <w:b/>
          <w:color w:val="000000"/>
          <w:sz w:val="20"/>
          <w:szCs w:val="20"/>
        </w:rPr>
      </w:pPr>
      <w:r>
        <w:rPr>
          <w:rFonts w:hint="eastAsia" w:ascii="黑体" w:hAnsi="黑体" w:eastAsia="黑体" w:cs="黑体"/>
          <w:b/>
          <w:color w:val="000000"/>
          <w:sz w:val="20"/>
          <w:szCs w:val="20"/>
        </w:rPr>
        <w:t>（此合同只作为参考，最终签订的合同以采购人确定的合同内容为准）</w:t>
      </w:r>
    </w:p>
    <w:p w14:paraId="5D162A31">
      <w:pPr>
        <w:spacing w:before="4" w:line="480" w:lineRule="exact"/>
        <w:rPr>
          <w:rFonts w:hint="eastAsia" w:ascii="黑体" w:hAnsi="黑体" w:eastAsia="黑体" w:cs="黑体"/>
          <w:sz w:val="20"/>
          <w:szCs w:val="20"/>
        </w:rPr>
      </w:pPr>
    </w:p>
    <w:p w14:paraId="365D8879">
      <w:pPr>
        <w:jc w:val="center"/>
        <w:rPr>
          <w:rFonts w:hint="eastAsia" w:ascii="黑体" w:hAnsi="黑体" w:eastAsia="黑体" w:cs="黑体"/>
          <w:b/>
          <w:kern w:val="44"/>
          <w:sz w:val="20"/>
          <w:szCs w:val="20"/>
          <w:highlight w:val="yellow"/>
        </w:rPr>
      </w:pPr>
    </w:p>
    <w:p w14:paraId="3D49484C">
      <w:pPr>
        <w:jc w:val="center"/>
        <w:rPr>
          <w:rFonts w:hint="eastAsia" w:ascii="黑体" w:hAnsi="黑体" w:eastAsia="黑体" w:cs="黑体"/>
          <w:b/>
          <w:kern w:val="44"/>
          <w:sz w:val="20"/>
          <w:szCs w:val="20"/>
          <w:highlight w:val="yellow"/>
        </w:rPr>
      </w:pPr>
    </w:p>
    <w:p w14:paraId="3F676A3F">
      <w:pPr>
        <w:jc w:val="center"/>
        <w:rPr>
          <w:rFonts w:hint="eastAsia" w:ascii="黑体" w:hAnsi="黑体" w:eastAsia="黑体" w:cs="黑体"/>
          <w:b/>
          <w:kern w:val="44"/>
          <w:sz w:val="20"/>
          <w:szCs w:val="20"/>
          <w:highlight w:val="yellow"/>
        </w:rPr>
      </w:pPr>
    </w:p>
    <w:p w14:paraId="7D63B62B">
      <w:pPr>
        <w:widowControl/>
        <w:spacing w:line="480" w:lineRule="exact"/>
        <w:jc w:val="center"/>
        <w:textAlignment w:val="baseline"/>
        <w:rPr>
          <w:rFonts w:hint="eastAsia" w:ascii="黑体" w:hAnsi="黑体" w:eastAsia="黑体" w:cs="黑体"/>
          <w:b/>
          <w:kern w:val="44"/>
          <w:sz w:val="28"/>
          <w:szCs w:val="28"/>
        </w:rPr>
      </w:pPr>
      <w:r>
        <w:rPr>
          <w:rFonts w:hint="eastAsia" w:ascii="黑体" w:hAnsi="黑体" w:eastAsia="黑体" w:cs="黑体"/>
          <w:bCs/>
          <w:sz w:val="28"/>
          <w:szCs w:val="28"/>
        </w:rPr>
        <w:t>_____</w:t>
      </w:r>
      <w:r>
        <w:rPr>
          <w:rFonts w:hint="eastAsia" w:ascii="黑体" w:hAnsi="黑体" w:eastAsia="黑体" w:cs="黑体"/>
          <w:b/>
          <w:sz w:val="28"/>
          <w:szCs w:val="28"/>
        </w:rPr>
        <w:t>项目</w:t>
      </w:r>
      <w:r>
        <w:rPr>
          <w:rFonts w:hint="eastAsia" w:ascii="黑体" w:hAnsi="黑体" w:eastAsia="黑体" w:cs="黑体"/>
          <w:b/>
          <w:kern w:val="44"/>
          <w:sz w:val="28"/>
          <w:szCs w:val="28"/>
        </w:rPr>
        <w:t>服务合同</w:t>
      </w:r>
    </w:p>
    <w:p w14:paraId="7550942B">
      <w:pPr>
        <w:pStyle w:val="5"/>
        <w:spacing w:line="243" w:lineRule="auto"/>
        <w:rPr>
          <w:rFonts w:hint="eastAsia" w:ascii="黑体" w:hAnsi="黑体" w:eastAsia="黑体" w:cs="黑体"/>
          <w:sz w:val="20"/>
        </w:rPr>
      </w:pPr>
    </w:p>
    <w:p w14:paraId="2F511BE6">
      <w:pPr>
        <w:pStyle w:val="5"/>
        <w:spacing w:line="243" w:lineRule="auto"/>
        <w:rPr>
          <w:rFonts w:hint="eastAsia" w:ascii="黑体" w:hAnsi="黑体" w:eastAsia="黑体" w:cs="黑体"/>
          <w:sz w:val="20"/>
        </w:rPr>
      </w:pPr>
    </w:p>
    <w:p w14:paraId="55A81E25">
      <w:pPr>
        <w:pStyle w:val="5"/>
        <w:spacing w:line="244" w:lineRule="auto"/>
        <w:rPr>
          <w:rFonts w:hint="eastAsia" w:ascii="黑体" w:hAnsi="黑体" w:eastAsia="黑体" w:cs="黑体"/>
          <w:sz w:val="20"/>
        </w:rPr>
      </w:pPr>
    </w:p>
    <w:p w14:paraId="2D99583F">
      <w:pPr>
        <w:pStyle w:val="5"/>
        <w:spacing w:line="600" w:lineRule="exact"/>
        <w:rPr>
          <w:rFonts w:hint="eastAsia" w:ascii="黑体" w:hAnsi="黑体" w:eastAsia="黑体" w:cs="黑体"/>
          <w:sz w:val="20"/>
        </w:rPr>
      </w:pPr>
    </w:p>
    <w:p w14:paraId="6EDB2474">
      <w:pPr>
        <w:widowControl/>
        <w:kinsoku w:val="0"/>
        <w:autoSpaceDE w:val="0"/>
        <w:autoSpaceDN w:val="0"/>
        <w:adjustRightInd w:val="0"/>
        <w:snapToGrid w:val="0"/>
        <w:spacing w:line="600" w:lineRule="exact"/>
        <w:ind w:left="1327"/>
        <w:textAlignment w:val="baseline"/>
        <w:rPr>
          <w:rFonts w:hint="eastAsia" w:ascii="黑体" w:hAnsi="黑体" w:eastAsia="黑体" w:cs="黑体"/>
          <w:sz w:val="20"/>
          <w:szCs w:val="20"/>
        </w:rPr>
      </w:pPr>
      <w:r>
        <w:rPr>
          <w:rFonts w:hint="eastAsia" w:ascii="黑体" w:hAnsi="黑体" w:eastAsia="黑体" w:cs="黑体"/>
          <w:spacing w:val="-9"/>
          <w:sz w:val="20"/>
          <w:szCs w:val="20"/>
        </w:rPr>
        <w:t xml:space="preserve">采购项目名称： </w:t>
      </w:r>
    </w:p>
    <w:p w14:paraId="68125F7D">
      <w:pPr>
        <w:widowControl/>
        <w:kinsoku w:val="0"/>
        <w:autoSpaceDE w:val="0"/>
        <w:autoSpaceDN w:val="0"/>
        <w:adjustRightInd w:val="0"/>
        <w:snapToGrid w:val="0"/>
        <w:spacing w:line="600" w:lineRule="exact"/>
        <w:ind w:left="1327"/>
        <w:textAlignment w:val="baseline"/>
        <w:rPr>
          <w:rFonts w:hint="eastAsia" w:ascii="黑体" w:hAnsi="黑体" w:eastAsia="黑体" w:cs="黑体"/>
          <w:spacing w:val="-9"/>
          <w:sz w:val="20"/>
          <w:szCs w:val="20"/>
        </w:rPr>
      </w:pPr>
      <w:r>
        <w:rPr>
          <w:rFonts w:hint="eastAsia" w:ascii="黑体" w:hAnsi="黑体" w:eastAsia="黑体" w:cs="黑体"/>
          <w:spacing w:val="-9"/>
          <w:sz w:val="20"/>
          <w:szCs w:val="20"/>
        </w:rPr>
        <w:t xml:space="preserve">采购项目编号： </w:t>
      </w:r>
    </w:p>
    <w:p w14:paraId="23E6273D">
      <w:pPr>
        <w:pStyle w:val="5"/>
        <w:spacing w:line="254" w:lineRule="auto"/>
        <w:rPr>
          <w:rFonts w:hint="eastAsia" w:ascii="黑体" w:hAnsi="黑体" w:eastAsia="黑体" w:cs="黑体"/>
          <w:sz w:val="20"/>
        </w:rPr>
      </w:pPr>
    </w:p>
    <w:p w14:paraId="4F7C070E">
      <w:pPr>
        <w:pStyle w:val="5"/>
        <w:spacing w:line="254" w:lineRule="auto"/>
        <w:rPr>
          <w:rFonts w:hint="eastAsia" w:ascii="黑体" w:hAnsi="黑体" w:eastAsia="黑体" w:cs="黑体"/>
          <w:sz w:val="20"/>
        </w:rPr>
      </w:pPr>
    </w:p>
    <w:p w14:paraId="64279141">
      <w:pPr>
        <w:pStyle w:val="5"/>
        <w:spacing w:line="255" w:lineRule="auto"/>
        <w:rPr>
          <w:rFonts w:hint="eastAsia" w:ascii="黑体" w:hAnsi="黑体" w:eastAsia="黑体" w:cs="黑体"/>
          <w:sz w:val="20"/>
        </w:rPr>
      </w:pPr>
    </w:p>
    <w:p w14:paraId="5CFC5D67">
      <w:pPr>
        <w:pStyle w:val="5"/>
        <w:rPr>
          <w:rFonts w:hint="eastAsia" w:ascii="黑体" w:hAnsi="黑体" w:eastAsia="黑体" w:cs="黑体"/>
          <w:sz w:val="20"/>
        </w:rPr>
      </w:pPr>
    </w:p>
    <w:p w14:paraId="58981CBF">
      <w:pPr>
        <w:pStyle w:val="5"/>
        <w:spacing w:line="255" w:lineRule="auto"/>
        <w:rPr>
          <w:rFonts w:hint="eastAsia" w:ascii="黑体" w:hAnsi="黑体" w:eastAsia="黑体" w:cs="黑体"/>
          <w:sz w:val="20"/>
        </w:rPr>
      </w:pPr>
    </w:p>
    <w:p w14:paraId="5E93AD8B">
      <w:pPr>
        <w:spacing w:before="268" w:line="219" w:lineRule="auto"/>
        <w:ind w:left="1324"/>
        <w:rPr>
          <w:rFonts w:hint="eastAsia" w:ascii="黑体" w:hAnsi="黑体" w:eastAsia="黑体" w:cs="黑体"/>
          <w:spacing w:val="-9"/>
          <w:sz w:val="20"/>
          <w:szCs w:val="20"/>
        </w:rPr>
      </w:pPr>
      <w:r>
        <w:rPr>
          <w:rFonts w:hint="eastAsia" w:ascii="黑体" w:hAnsi="黑体" w:eastAsia="黑体" w:cs="黑体"/>
          <w:b/>
          <w:bCs/>
          <w:spacing w:val="-9"/>
          <w:sz w:val="20"/>
          <w:szCs w:val="20"/>
        </w:rPr>
        <w:t>甲方：</w:t>
      </w:r>
      <w:r>
        <w:rPr>
          <w:rFonts w:hint="eastAsia" w:ascii="黑体" w:hAnsi="黑体" w:eastAsia="黑体" w:cs="黑体"/>
          <w:spacing w:val="-9"/>
          <w:sz w:val="20"/>
          <w:szCs w:val="20"/>
        </w:rPr>
        <w:t xml:space="preserve"> </w:t>
      </w:r>
    </w:p>
    <w:p w14:paraId="62758563">
      <w:pPr>
        <w:spacing w:before="268" w:line="219" w:lineRule="auto"/>
        <w:ind w:left="1324"/>
        <w:rPr>
          <w:rFonts w:hint="eastAsia" w:ascii="黑体" w:hAnsi="黑体" w:eastAsia="黑体" w:cs="黑体"/>
          <w:b/>
          <w:bCs/>
          <w:sz w:val="20"/>
          <w:szCs w:val="20"/>
        </w:rPr>
      </w:pPr>
      <w:r>
        <w:rPr>
          <w:rFonts w:hint="eastAsia" w:ascii="黑体" w:hAnsi="黑体" w:eastAsia="黑体" w:cs="黑体"/>
          <w:b/>
          <w:bCs/>
          <w:spacing w:val="-8"/>
          <w:sz w:val="20"/>
          <w:szCs w:val="20"/>
        </w:rPr>
        <w:t>乙方：</w:t>
      </w:r>
    </w:p>
    <w:p w14:paraId="518B0347">
      <w:pPr>
        <w:spacing w:before="262" w:line="219" w:lineRule="auto"/>
        <w:ind w:left="1324"/>
        <w:rPr>
          <w:rFonts w:hint="eastAsia" w:ascii="黑体" w:hAnsi="黑体" w:eastAsia="黑体" w:cs="黑体"/>
          <w:b/>
          <w:bCs/>
          <w:sz w:val="20"/>
          <w:szCs w:val="20"/>
        </w:rPr>
      </w:pPr>
      <w:r>
        <w:rPr>
          <w:rFonts w:hint="eastAsia" w:ascii="黑体" w:hAnsi="黑体" w:eastAsia="黑体" w:cs="黑体"/>
          <w:b/>
          <w:bCs/>
          <w:spacing w:val="-9"/>
          <w:sz w:val="20"/>
          <w:szCs w:val="20"/>
        </w:rPr>
        <w:t>日期：</w:t>
      </w:r>
    </w:p>
    <w:p w14:paraId="5D098C3D">
      <w:pPr>
        <w:spacing w:line="219" w:lineRule="auto"/>
        <w:rPr>
          <w:rFonts w:hint="eastAsia" w:ascii="黑体" w:hAnsi="黑体" w:eastAsia="黑体" w:cs="黑体"/>
          <w:sz w:val="20"/>
          <w:szCs w:val="20"/>
        </w:rPr>
        <w:sectPr>
          <w:footerReference r:id="rId3" w:type="default"/>
          <w:pgSz w:w="11905" w:h="16838"/>
          <w:pgMar w:top="1417" w:right="1247" w:bottom="1474" w:left="1247" w:header="850" w:footer="992" w:gutter="0"/>
          <w:pgNumType w:fmt="numberInDash"/>
          <w:cols w:space="0" w:num="1"/>
          <w:docGrid w:type="lines" w:linePitch="436" w:charSpace="0"/>
        </w:sectPr>
      </w:pPr>
    </w:p>
    <w:p w14:paraId="5255EB02">
      <w:pPr>
        <w:rPr>
          <w:rFonts w:hint="eastAsia" w:ascii="黑体" w:hAnsi="黑体" w:eastAsia="黑体" w:cs="黑体"/>
          <w:bCs/>
          <w:color w:val="000000"/>
          <w:sz w:val="20"/>
          <w:szCs w:val="20"/>
        </w:rPr>
      </w:pPr>
    </w:p>
    <w:p w14:paraId="45258651">
      <w:pPr>
        <w:spacing w:line="480" w:lineRule="exact"/>
        <w:jc w:val="center"/>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服务合同</w:t>
      </w:r>
    </w:p>
    <w:p w14:paraId="4B9E9C0E">
      <w:pPr>
        <w:shd w:val="clear" w:color="auto" w:fill="FFFFFF"/>
        <w:spacing w:line="480" w:lineRule="exact"/>
        <w:ind w:firstLine="402" w:firstLineChars="200"/>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bCs/>
          <w:color w:val="000000" w:themeColor="text1"/>
          <w:sz w:val="20"/>
          <w:szCs w:val="20"/>
          <w14:textFill>
            <w14:solidFill>
              <w14:schemeClr w14:val="tx1"/>
            </w14:solidFill>
          </w14:textFill>
        </w:rPr>
        <w:t>甲方：</w:t>
      </w:r>
      <w:r>
        <w:rPr>
          <w:rFonts w:hint="eastAsia" w:ascii="黑体" w:hAnsi="黑体" w:eastAsia="黑体" w:cs="黑体"/>
          <w:color w:val="000000" w:themeColor="text1"/>
          <w:sz w:val="20"/>
          <w:szCs w:val="20"/>
          <w:u w:val="single"/>
          <w14:textFill>
            <w14:solidFill>
              <w14:schemeClr w14:val="tx1"/>
            </w14:solidFill>
          </w14:textFill>
        </w:rPr>
        <w:t xml:space="preserve">     </w:t>
      </w:r>
      <w:r>
        <w:rPr>
          <w:rFonts w:hint="eastAsia" w:ascii="黑体" w:hAnsi="黑体" w:eastAsia="黑体" w:cs="黑体"/>
          <w:b/>
          <w:bCs/>
          <w:color w:val="000000" w:themeColor="text1"/>
          <w:sz w:val="20"/>
          <w:szCs w:val="20"/>
          <w:u w:val="single"/>
          <w14:textFill>
            <w14:solidFill>
              <w14:schemeClr w14:val="tx1"/>
            </w14:solidFill>
          </w14:textFill>
        </w:rPr>
        <w:t xml:space="preserve">                     </w:t>
      </w:r>
    </w:p>
    <w:p w14:paraId="1ED59BA1">
      <w:pPr>
        <w:shd w:val="clear" w:color="auto" w:fill="FFFFFF"/>
        <w:spacing w:line="480" w:lineRule="exact"/>
        <w:ind w:firstLine="402" w:firstLineChars="200"/>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bCs/>
          <w:color w:val="000000" w:themeColor="text1"/>
          <w:sz w:val="20"/>
          <w:szCs w:val="20"/>
          <w14:textFill>
            <w14:solidFill>
              <w14:schemeClr w14:val="tx1"/>
            </w14:solidFill>
          </w14:textFill>
        </w:rPr>
        <w:t>乙方：</w:t>
      </w:r>
      <w:r>
        <w:rPr>
          <w:rFonts w:hint="eastAsia" w:ascii="黑体" w:hAnsi="黑体" w:eastAsia="黑体" w:cs="黑体"/>
          <w:bCs/>
          <w:color w:val="000000" w:themeColor="text1"/>
          <w:sz w:val="20"/>
          <w:szCs w:val="20"/>
          <w:u w:val="single"/>
          <w14:textFill>
            <w14:solidFill>
              <w14:schemeClr w14:val="tx1"/>
            </w14:solidFill>
          </w14:textFill>
        </w:rPr>
        <w:t xml:space="preserve">                         </w:t>
      </w:r>
      <w:r>
        <w:rPr>
          <w:rFonts w:hint="eastAsia" w:ascii="黑体" w:hAnsi="黑体" w:eastAsia="黑体" w:cs="黑体"/>
          <w:b/>
          <w:bCs/>
          <w:color w:val="000000" w:themeColor="text1"/>
          <w:sz w:val="20"/>
          <w:szCs w:val="20"/>
          <w:u w:val="single"/>
          <w14:textFill>
            <w14:solidFill>
              <w14:schemeClr w14:val="tx1"/>
            </w14:solidFill>
          </w14:textFill>
        </w:rPr>
        <w:t xml:space="preserve"> </w:t>
      </w:r>
    </w:p>
    <w:p w14:paraId="03C04177">
      <w:pPr>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依据《中华人民共和国政府采购法》</w:t>
      </w:r>
      <w:r>
        <w:rPr>
          <w:rFonts w:hint="eastAsia" w:ascii="黑体" w:hAnsi="黑体" w:eastAsia="黑体" w:cs="黑体"/>
          <w:color w:val="000000" w:themeColor="text1"/>
          <w:sz w:val="20"/>
          <w:szCs w:val="20"/>
          <w:lang w:eastAsia="zh-CN"/>
          <w14:textFill>
            <w14:solidFill>
              <w14:schemeClr w14:val="tx1"/>
            </w14:solidFill>
          </w14:textFill>
        </w:rPr>
        <w:t>、</w:t>
      </w:r>
      <w:r>
        <w:rPr>
          <w:rFonts w:hint="eastAsia" w:ascii="黑体" w:hAnsi="黑体" w:eastAsia="黑体" w:cs="黑体"/>
          <w:color w:val="000000" w:themeColor="text1"/>
          <w:sz w:val="20"/>
          <w:szCs w:val="20"/>
          <w14:textFill>
            <w14:solidFill>
              <w14:schemeClr w14:val="tx1"/>
            </w14:solidFill>
          </w14:textFill>
        </w:rPr>
        <w:t>《中华人民共和国民法典》与项目行业有关的法律法规，以及</w:t>
      </w:r>
      <w:r>
        <w:rPr>
          <w:rFonts w:hint="eastAsia" w:ascii="黑体" w:hAnsi="黑体" w:eastAsia="黑体" w:cs="黑体"/>
          <w:color w:val="000000" w:themeColor="text1"/>
          <w:sz w:val="20"/>
          <w:szCs w:val="20"/>
          <w:u w:val="single"/>
          <w14:textFill>
            <w14:solidFill>
              <w14:schemeClr w14:val="tx1"/>
            </w14:solidFill>
          </w14:textFill>
        </w:rPr>
        <w:t xml:space="preserve">   （项目名称）  </w:t>
      </w:r>
      <w:r>
        <w:rPr>
          <w:rFonts w:hint="eastAsia" w:ascii="黑体" w:hAnsi="黑体" w:eastAsia="黑体" w:cs="黑体"/>
          <w:color w:val="000000" w:themeColor="text1"/>
          <w:sz w:val="20"/>
          <w:szCs w:val="20"/>
          <w14:textFill>
            <w14:solidFill>
              <w14:schemeClr w14:val="tx1"/>
            </w14:solidFill>
          </w14:textFill>
        </w:rPr>
        <w:t>（项目编号：</w:t>
      </w:r>
      <w:r>
        <w:rPr>
          <w:rFonts w:hint="eastAsia" w:ascii="黑体" w:hAnsi="黑体" w:eastAsia="黑体" w:cs="黑体"/>
          <w:color w:val="000000" w:themeColor="text1"/>
          <w:sz w:val="20"/>
          <w:szCs w:val="20"/>
          <w:u w:val="single"/>
          <w14:textFill>
            <w14:solidFill>
              <w14:schemeClr w14:val="tx1"/>
            </w14:solidFill>
          </w14:textFill>
        </w:rPr>
        <w:t xml:space="preserve">     </w:t>
      </w:r>
      <w:r>
        <w:rPr>
          <w:rFonts w:hint="eastAsia" w:ascii="黑体" w:hAnsi="黑体" w:eastAsia="黑体" w:cs="黑体"/>
          <w:color w:val="000000" w:themeColor="text1"/>
          <w:sz w:val="20"/>
          <w:szCs w:val="20"/>
          <w14:textFill>
            <w14:solidFill>
              <w14:schemeClr w14:val="tx1"/>
            </w14:solidFill>
          </w14:textFill>
        </w:rPr>
        <w:t xml:space="preserve">）的《招标文件》，乙方的《投标文件》及《中标通知书》，甲、乙双方同意签订本合同。详细技术说明及其他有关合同项目的特定信息由合同附件予以说明，合同附件及本项目的《招标文件》、《投标文件》、《中标通知书》等均为本合同的组成部分。 </w:t>
      </w:r>
      <w:bookmarkStart w:id="52" w:name="_GoBack"/>
      <w:bookmarkEnd w:id="52"/>
    </w:p>
    <w:p w14:paraId="019C1AC5">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项目基本情况</w:t>
      </w:r>
    </w:p>
    <w:p w14:paraId="5CBBB54E">
      <w:pPr>
        <w:spacing w:line="480" w:lineRule="exact"/>
        <w:rPr>
          <w:rFonts w:hint="eastAsia" w:ascii="黑体" w:hAnsi="黑体" w:eastAsia="黑体" w:cs="黑体"/>
          <w:b/>
          <w:color w:val="000000" w:themeColor="text1"/>
          <w:sz w:val="20"/>
          <w:szCs w:val="20"/>
          <w:u w:val="single"/>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 xml:space="preserve">   </w:t>
      </w:r>
      <w:r>
        <w:rPr>
          <w:rFonts w:hint="eastAsia" w:ascii="黑体" w:hAnsi="黑体" w:eastAsia="黑体" w:cs="黑体"/>
          <w:b/>
          <w:color w:val="000000" w:themeColor="text1"/>
          <w:sz w:val="20"/>
          <w:szCs w:val="20"/>
          <w:u w:val="single"/>
          <w14:textFill>
            <w14:solidFill>
              <w14:schemeClr w14:val="tx1"/>
            </w14:solidFill>
          </w14:textFill>
        </w:rPr>
        <w:t xml:space="preserve">                                   </w:t>
      </w:r>
    </w:p>
    <w:p w14:paraId="282764F4">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合同期限</w:t>
      </w:r>
    </w:p>
    <w:p w14:paraId="0A58AE00">
      <w:pPr>
        <w:spacing w:line="480" w:lineRule="exact"/>
        <w:rPr>
          <w:rFonts w:hint="eastAsia" w:ascii="黑体" w:hAnsi="黑体" w:eastAsia="黑体" w:cs="黑体"/>
          <w:color w:val="000000" w:themeColor="text1"/>
          <w:sz w:val="20"/>
          <w:szCs w:val="20"/>
          <w:u w:val="single"/>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 xml:space="preserve">    </w:t>
      </w:r>
      <w:r>
        <w:rPr>
          <w:rFonts w:hint="eastAsia" w:ascii="黑体" w:hAnsi="黑体" w:eastAsia="黑体" w:cs="黑体"/>
          <w:color w:val="000000" w:themeColor="text1"/>
          <w:sz w:val="20"/>
          <w:szCs w:val="20"/>
          <w:u w:val="single"/>
          <w14:textFill>
            <w14:solidFill>
              <w14:schemeClr w14:val="tx1"/>
            </w14:solidFill>
          </w14:textFill>
        </w:rPr>
        <w:t xml:space="preserve">                                  </w:t>
      </w:r>
    </w:p>
    <w:p w14:paraId="0717E2D0">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bookmarkStart w:id="0" w:name="_Toc225244852"/>
      <w:bookmarkStart w:id="1" w:name="_Toc211911348"/>
      <w:bookmarkStart w:id="2" w:name="_Toc239568418"/>
      <w:bookmarkStart w:id="3" w:name="_Toc232492928"/>
      <w:bookmarkStart w:id="4" w:name="_Toc238984975"/>
      <w:bookmarkStart w:id="5" w:name="_Toc212019594"/>
      <w:bookmarkStart w:id="6" w:name="_Toc251768862"/>
      <w:bookmarkStart w:id="7" w:name="_Toc239233914"/>
      <w:bookmarkStart w:id="8" w:name="_Toc185395249"/>
      <w:bookmarkStart w:id="9" w:name="_Toc225670751"/>
      <w:bookmarkStart w:id="10" w:name="_Toc211854449"/>
      <w:bookmarkStart w:id="11" w:name="_Toc283019214"/>
      <w:bookmarkStart w:id="12" w:name="_Toc247334841"/>
      <w:bookmarkStart w:id="13" w:name="_Toc225654644"/>
      <w:bookmarkStart w:id="14" w:name="_Toc282696226"/>
      <w:bookmarkStart w:id="15" w:name="_Toc237145406"/>
      <w:bookmarkStart w:id="16" w:name="_Toc286993786"/>
      <w:bookmarkStart w:id="17" w:name="_Toc241833903"/>
      <w:r>
        <w:rPr>
          <w:rFonts w:hint="eastAsia" w:ascii="黑体" w:hAnsi="黑体" w:eastAsia="黑体" w:cs="黑体"/>
          <w:b/>
          <w:color w:val="000000" w:themeColor="text1"/>
          <w:sz w:val="20"/>
          <w:szCs w:val="20"/>
          <w14:textFill>
            <w14:solidFill>
              <w14:schemeClr w14:val="tx1"/>
            </w14:solidFill>
          </w14:textFill>
        </w:rPr>
        <w:t>服务内容与质量标准</w:t>
      </w:r>
    </w:p>
    <w:p w14:paraId="3A64EA81">
      <w:pPr>
        <w:spacing w:line="480" w:lineRule="exact"/>
        <w:ind w:firstLine="400" w:firstLineChars="200"/>
        <w:rPr>
          <w:rFonts w:hint="eastAsia" w:ascii="黑体" w:hAnsi="黑体" w:eastAsia="黑体" w:cs="黑体"/>
          <w:color w:val="000000" w:themeColor="text1"/>
          <w:sz w:val="20"/>
          <w:szCs w:val="20"/>
          <w:u w:val="single"/>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1.</w:t>
      </w:r>
      <w:r>
        <w:rPr>
          <w:rFonts w:hint="eastAsia" w:ascii="黑体" w:hAnsi="黑体" w:eastAsia="黑体" w:cs="黑体"/>
          <w:color w:val="000000" w:themeColor="text1"/>
          <w:sz w:val="20"/>
          <w:szCs w:val="20"/>
          <w:u w:val="single"/>
          <w14:textFill>
            <w14:solidFill>
              <w14:schemeClr w14:val="tx1"/>
            </w14:solidFill>
          </w14:textFill>
        </w:rPr>
        <w:t xml:space="preserve">            </w:t>
      </w:r>
    </w:p>
    <w:p w14:paraId="4C851F65">
      <w:pPr>
        <w:spacing w:line="480" w:lineRule="exact"/>
        <w:ind w:firstLine="400" w:firstLineChars="200"/>
        <w:rPr>
          <w:rFonts w:hint="eastAsia" w:ascii="黑体" w:hAnsi="黑体" w:eastAsia="黑体" w:cs="黑体"/>
          <w:color w:val="000000" w:themeColor="text1"/>
          <w:sz w:val="20"/>
          <w:szCs w:val="20"/>
          <w:u w:val="single"/>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2.</w:t>
      </w:r>
      <w:r>
        <w:rPr>
          <w:rFonts w:hint="eastAsia" w:ascii="黑体" w:hAnsi="黑体" w:eastAsia="黑体" w:cs="黑体"/>
          <w:color w:val="000000" w:themeColor="text1"/>
          <w:sz w:val="20"/>
          <w:szCs w:val="20"/>
          <w:u w:val="single"/>
          <w14:textFill>
            <w14:solidFill>
              <w14:schemeClr w14:val="tx1"/>
            </w14:solidFill>
          </w14:textFill>
        </w:rPr>
        <w:t xml:space="preserve">            </w:t>
      </w:r>
    </w:p>
    <w:p w14:paraId="2A1238F0">
      <w:pPr>
        <w:spacing w:line="480" w:lineRule="exact"/>
        <w:ind w:firstLine="400" w:firstLineChars="200"/>
        <w:rPr>
          <w:rFonts w:hint="eastAsia" w:ascii="黑体" w:hAnsi="黑体" w:eastAsia="黑体" w:cs="黑体"/>
          <w:color w:val="000000" w:themeColor="text1"/>
          <w:sz w:val="20"/>
          <w:szCs w:val="20"/>
          <w:u w:val="single"/>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3.</w:t>
      </w:r>
      <w:r>
        <w:rPr>
          <w:rFonts w:hint="eastAsia" w:ascii="黑体" w:hAnsi="黑体" w:eastAsia="黑体" w:cs="黑体"/>
          <w:color w:val="000000" w:themeColor="text1"/>
          <w:sz w:val="20"/>
          <w:szCs w:val="20"/>
          <w:u w:val="single"/>
          <w14:textFill>
            <w14:solidFill>
              <w14:schemeClr w14:val="tx1"/>
            </w14:solidFill>
          </w14:textFill>
        </w:rPr>
        <w:t xml:space="preserve">            </w:t>
      </w:r>
    </w:p>
    <w:p w14:paraId="181F2176">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服务费用及支付方式</w:t>
      </w:r>
    </w:p>
    <w:p w14:paraId="7D537046">
      <w:pPr>
        <w:numPr>
          <w:ilvl w:val="0"/>
          <w:numId w:val="3"/>
        </w:numPr>
        <w:spacing w:line="480" w:lineRule="exact"/>
        <w:ind w:left="-87" w:firstLine="567"/>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本项目服务费用由以下组成：</w:t>
      </w:r>
    </w:p>
    <w:p w14:paraId="0507276B">
      <w:pPr>
        <w:pStyle w:val="15"/>
        <w:spacing w:line="480" w:lineRule="exact"/>
        <w:rPr>
          <w:rFonts w:hint="eastAsia" w:ascii="黑体" w:hAnsi="黑体" w:eastAsia="黑体" w:cs="黑体"/>
          <w:color w:val="000000" w:themeColor="text1"/>
          <w:szCs w:val="20"/>
          <w14:textFill>
            <w14:solidFill>
              <w14:schemeClr w14:val="tx1"/>
            </w14:solidFill>
          </w14:textFill>
        </w:rPr>
      </w:pPr>
      <w:r>
        <w:rPr>
          <w:rFonts w:hint="eastAsia" w:ascii="黑体" w:hAnsi="黑体" w:eastAsia="黑体" w:cs="黑体"/>
          <w:color w:val="000000" w:themeColor="text1"/>
          <w:szCs w:val="20"/>
          <w14:textFill>
            <w14:solidFill>
              <w14:schemeClr w14:val="tx1"/>
            </w14:solidFill>
          </w14:textFill>
        </w:rPr>
        <w:t xml:space="preserve">    </w:t>
      </w:r>
      <w:r>
        <w:rPr>
          <w:rFonts w:hint="eastAsia" w:ascii="黑体" w:hAnsi="黑体" w:eastAsia="黑体" w:cs="黑体"/>
          <w:color w:val="000000" w:themeColor="text1"/>
          <w:szCs w:val="20"/>
          <w:u w:val="single"/>
          <w14:textFill>
            <w14:solidFill>
              <w14:schemeClr w14:val="tx1"/>
            </w14:solidFill>
          </w14:textFill>
        </w:rPr>
        <w:t xml:space="preserve">                                            </w:t>
      </w:r>
      <w:r>
        <w:rPr>
          <w:rFonts w:hint="eastAsia" w:ascii="黑体" w:hAnsi="黑体" w:eastAsia="黑体" w:cs="黑体"/>
          <w:color w:val="000000" w:themeColor="text1"/>
          <w:szCs w:val="20"/>
          <w14:textFill>
            <w14:solidFill>
              <w14:schemeClr w14:val="tx1"/>
            </w14:solidFill>
          </w14:textFill>
        </w:rPr>
        <w:t xml:space="preserve">  </w:t>
      </w:r>
    </w:p>
    <w:p w14:paraId="7E7FDC41">
      <w:pPr>
        <w:numPr>
          <w:ilvl w:val="0"/>
          <w:numId w:val="3"/>
        </w:numPr>
        <w:tabs>
          <w:tab w:val="left" w:pos="780"/>
        </w:tabs>
        <w:spacing w:line="480" w:lineRule="exact"/>
        <w:ind w:left="-87" w:firstLine="567"/>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 xml:space="preserve">服务费支付方式： </w:t>
      </w:r>
    </w:p>
    <w:p w14:paraId="0A31A626">
      <w:pPr>
        <w:pStyle w:val="15"/>
        <w:spacing w:line="480" w:lineRule="exact"/>
        <w:ind w:left="402" w:hanging="402" w:hangingChars="200"/>
        <w:rPr>
          <w:rFonts w:hint="eastAsia" w:ascii="黑体" w:hAnsi="黑体" w:eastAsia="黑体" w:cs="黑体"/>
          <w:b/>
          <w:color w:val="000000" w:themeColor="text1"/>
          <w:szCs w:val="20"/>
          <w:u w:val="single"/>
          <w14:textFill>
            <w14:solidFill>
              <w14:schemeClr w14:val="tx1"/>
            </w14:solidFill>
          </w14:textFill>
        </w:rPr>
      </w:pPr>
      <w:r>
        <w:rPr>
          <w:rFonts w:hint="eastAsia" w:ascii="黑体" w:hAnsi="黑体" w:eastAsia="黑体" w:cs="黑体"/>
          <w:b/>
          <w:color w:val="000000" w:themeColor="text1"/>
          <w:szCs w:val="20"/>
          <w14:textFill>
            <w14:solidFill>
              <w14:schemeClr w14:val="tx1"/>
            </w14:solidFill>
          </w14:textFill>
        </w:rPr>
        <w:t xml:space="preserve">     </w:t>
      </w:r>
      <w:r>
        <w:rPr>
          <w:rFonts w:hint="eastAsia" w:ascii="黑体" w:hAnsi="黑体" w:eastAsia="黑体" w:cs="黑体"/>
          <w:b/>
          <w:color w:val="000000" w:themeColor="text1"/>
          <w:szCs w:val="20"/>
          <w:u w:val="single"/>
          <w14:textFill>
            <w14:solidFill>
              <w14:schemeClr w14:val="tx1"/>
            </w14:solidFill>
          </w14:textFill>
        </w:rPr>
        <w:t xml:space="preserve">                                            </w:t>
      </w:r>
    </w:p>
    <w:p w14:paraId="2DBFAF16">
      <w:pPr>
        <w:pStyle w:val="15"/>
        <w:spacing w:line="480" w:lineRule="exact"/>
        <w:ind w:firstLine="400" w:firstLineChars="200"/>
        <w:rPr>
          <w:rFonts w:hint="eastAsia" w:ascii="黑体" w:hAnsi="黑体" w:eastAsia="黑体" w:cs="黑体"/>
          <w:color w:val="000000" w:themeColor="text1"/>
          <w:szCs w:val="20"/>
          <w:u w:val="single"/>
          <w14:textFill>
            <w14:solidFill>
              <w14:schemeClr w14:val="tx1"/>
            </w14:solidFill>
          </w14:textFill>
        </w:rPr>
      </w:pPr>
      <w:r>
        <w:rPr>
          <w:rFonts w:hint="eastAsia" w:ascii="黑体" w:hAnsi="黑体" w:eastAsia="黑体" w:cs="黑体"/>
          <w:color w:val="000000" w:themeColor="text1"/>
          <w:szCs w:val="20"/>
          <w14:textFill>
            <w14:solidFill>
              <w14:schemeClr w14:val="tx1"/>
            </w14:solidFill>
          </w14:textFill>
        </w:rPr>
        <w:t xml:space="preserve">若中标人为中小企业，本合同所约定的支付条款将按《保障中小企业款项支付条例》的规定作出相应调整。 </w:t>
      </w:r>
    </w:p>
    <w:p w14:paraId="2DACAA12">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知识产权</w:t>
      </w:r>
    </w:p>
    <w:p w14:paraId="54054E87">
      <w:pPr>
        <w:tabs>
          <w:tab w:val="left" w:pos="1440"/>
        </w:tabs>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乙方应保证所提供的服务或其任何一部分均不会侵犯任何第三方的专利权、商标权或著作权。</w:t>
      </w:r>
    </w:p>
    <w:p w14:paraId="6AA270A6">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无产权瑕疵条款</w:t>
      </w:r>
    </w:p>
    <w:p w14:paraId="74C887D0">
      <w:pPr>
        <w:tabs>
          <w:tab w:val="left" w:pos="1440"/>
        </w:tabs>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4C0F2BE6">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履约保证金</w:t>
      </w:r>
    </w:p>
    <w:p w14:paraId="7D1401C6">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1.乙方交纳人民币</w:t>
      </w:r>
      <w:r>
        <w:rPr>
          <w:rFonts w:hint="eastAsia" w:ascii="黑体" w:hAnsi="黑体" w:eastAsia="黑体" w:cs="黑体"/>
          <w:color w:val="000000" w:themeColor="text1"/>
          <w:sz w:val="20"/>
          <w:szCs w:val="20"/>
          <w:u w:val="single"/>
          <w14:textFill>
            <w14:solidFill>
              <w14:schemeClr w14:val="tx1"/>
            </w14:solidFill>
          </w14:textFill>
        </w:rPr>
        <w:t xml:space="preserve">         </w:t>
      </w:r>
      <w:r>
        <w:rPr>
          <w:rFonts w:hint="eastAsia" w:ascii="黑体" w:hAnsi="黑体" w:eastAsia="黑体" w:cs="黑体"/>
          <w:color w:val="000000" w:themeColor="text1"/>
          <w:sz w:val="20"/>
          <w:szCs w:val="20"/>
          <w14:textFill>
            <w14:solidFill>
              <w14:schemeClr w14:val="tx1"/>
            </w14:solidFill>
          </w14:textFill>
        </w:rPr>
        <w:t xml:space="preserve"> </w:t>
      </w:r>
      <w:r>
        <w:rPr>
          <w:rFonts w:hint="eastAsia" w:ascii="黑体" w:hAnsi="黑体" w:eastAsia="黑体" w:cs="黑体"/>
          <w:bCs/>
          <w:color w:val="000000" w:themeColor="text1"/>
          <w:sz w:val="20"/>
          <w:szCs w:val="20"/>
          <w14:textFill>
            <w14:solidFill>
              <w14:schemeClr w14:val="tx1"/>
            </w14:solidFill>
          </w14:textFill>
        </w:rPr>
        <w:t>元作为本合同的履约保证金。</w:t>
      </w:r>
    </w:p>
    <w:p w14:paraId="0395065D">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2.履约保证金作为违约金的一部分及用于补偿甲方因乙方不能履行合同义务而蒙受的损失。</w:t>
      </w:r>
    </w:p>
    <w:p w14:paraId="0721D3F6">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甲方的权利和义务</w:t>
      </w:r>
    </w:p>
    <w:p w14:paraId="37CD445B">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58C4358B">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2.甲方有权依据双方签订的考评办法对乙方提供的服务进行定期考评。当考评结果未达到标准时，有权依据考评办法约定的数额扣除履约保证金。</w:t>
      </w:r>
    </w:p>
    <w:p w14:paraId="7A46F135">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3.负责检查监督乙方管理工作的实施及制度的执行情况。</w:t>
      </w:r>
    </w:p>
    <w:p w14:paraId="0EA064AF">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4.根据本合同规定，按时向乙方支付应付服务费用。</w:t>
      </w:r>
    </w:p>
    <w:p w14:paraId="3A434CBD">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5.国家法律法规所规定由甲方承担的其他责任。</w:t>
      </w:r>
    </w:p>
    <w:p w14:paraId="42E3CD38">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乙方的权利和义务</w:t>
      </w:r>
    </w:p>
    <w:p w14:paraId="3844C006">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1.对本合同规定的委托服务范围内的项目享有管理权及服务义务。</w:t>
      </w:r>
    </w:p>
    <w:p w14:paraId="4087887C">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2.根据本合同的规定向甲方收取相关服务费用，并有权在本项目管理范围内管理及合理使用。</w:t>
      </w:r>
    </w:p>
    <w:p w14:paraId="2A8BE2E0">
      <w:pPr>
        <w:adjustRightInd w:val="0"/>
        <w:spacing w:line="480" w:lineRule="exact"/>
        <w:ind w:firstLine="400" w:firstLineChars="200"/>
        <w:jc w:val="left"/>
        <w:textAlignment w:val="baseline"/>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3.及时向甲方通告本项目服务范围内有关服务的重大事项，及时配合处理投诉。</w:t>
      </w:r>
    </w:p>
    <w:p w14:paraId="538B7F72">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4.</w:t>
      </w:r>
      <w:r>
        <w:rPr>
          <w:rFonts w:hint="eastAsia" w:ascii="黑体" w:hAnsi="黑体" w:eastAsia="黑体" w:cs="黑体"/>
          <w:bCs/>
          <w:color w:val="000000" w:themeColor="text1"/>
          <w:sz w:val="20"/>
          <w:szCs w:val="20"/>
          <w14:textFill>
            <w14:solidFill>
              <w14:schemeClr w14:val="tx1"/>
            </w14:solidFill>
          </w14:textFill>
        </w:rPr>
        <w:t>接受项目行业管理部门及政府有关部门的指导，接受甲方的监督。</w:t>
      </w:r>
    </w:p>
    <w:p w14:paraId="29A50A9D">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5.国家法律法规所规定由乙方承担的其它责任。</w:t>
      </w:r>
    </w:p>
    <w:p w14:paraId="3B94E67A">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违约责任</w:t>
      </w:r>
    </w:p>
    <w:p w14:paraId="5A5AAE0F">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1.甲乙双方必须遵守本合同并执行合同中的各项规定，保证本合同的正常履行。</w:t>
      </w:r>
    </w:p>
    <w:p w14:paraId="63D46A30">
      <w:pPr>
        <w:adjustRightInd w:val="0"/>
        <w:spacing w:line="480" w:lineRule="exact"/>
        <w:ind w:firstLine="400" w:firstLineChars="200"/>
        <w:jc w:val="left"/>
        <w:textAlignment w:val="baseline"/>
        <w:rPr>
          <w:rFonts w:hint="eastAsia" w:ascii="黑体" w:hAnsi="黑体" w:eastAsia="黑体" w:cs="黑体"/>
          <w:bCs/>
          <w:color w:val="000000" w:themeColor="text1"/>
          <w:sz w:val="20"/>
          <w:szCs w:val="20"/>
          <w14:textFill>
            <w14:solidFill>
              <w14:schemeClr w14:val="tx1"/>
            </w14:solidFill>
          </w14:textFill>
        </w:rPr>
      </w:pPr>
      <w:r>
        <w:rPr>
          <w:rFonts w:hint="eastAsia" w:ascii="黑体" w:hAnsi="黑体" w:eastAsia="黑体" w:cs="黑体"/>
          <w:bCs/>
          <w:color w:val="000000" w:themeColor="text1"/>
          <w:sz w:val="20"/>
          <w:szCs w:val="20"/>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6FA8D20">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不可抗力事件处理</w:t>
      </w:r>
    </w:p>
    <w:p w14:paraId="3504EEB9">
      <w:pPr>
        <w:tabs>
          <w:tab w:val="left" w:pos="0"/>
        </w:tabs>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1.在合同有效期内，任何一方因不可抗力事件导致不能履行合同，则合同履行期可延长，其延长期与不可抗力影响期相同。</w:t>
      </w:r>
    </w:p>
    <w:p w14:paraId="194710D7">
      <w:pPr>
        <w:tabs>
          <w:tab w:val="left" w:pos="0"/>
        </w:tabs>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2.不可抗力事件发生后，应立即通知对方，并寄送有关权威机构出具的证明。</w:t>
      </w:r>
    </w:p>
    <w:p w14:paraId="565DD595">
      <w:pPr>
        <w:tabs>
          <w:tab w:val="left" w:pos="0"/>
        </w:tabs>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3.不可抗力事件延续</w:t>
      </w:r>
      <w:r>
        <w:rPr>
          <w:rFonts w:hint="eastAsia" w:ascii="黑体" w:hAnsi="黑体" w:eastAsia="黑体" w:cs="黑体"/>
          <w:color w:val="000000" w:themeColor="text1"/>
          <w:sz w:val="20"/>
          <w:szCs w:val="20"/>
          <w:u w:val="single"/>
          <w14:textFill>
            <w14:solidFill>
              <w14:schemeClr w14:val="tx1"/>
            </w14:solidFill>
          </w14:textFill>
        </w:rPr>
        <w:t xml:space="preserve"> 120 </w:t>
      </w:r>
      <w:r>
        <w:rPr>
          <w:rFonts w:hint="eastAsia" w:ascii="黑体" w:hAnsi="黑体" w:eastAsia="黑体" w:cs="黑体"/>
          <w:color w:val="000000" w:themeColor="text1"/>
          <w:sz w:val="20"/>
          <w:szCs w:val="20"/>
          <w14:textFill>
            <w14:solidFill>
              <w14:schemeClr w14:val="tx1"/>
            </w14:solidFill>
          </w14:textFill>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8D787EC">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bookmarkStart w:id="18" w:name="_Toc225670756"/>
      <w:bookmarkStart w:id="19" w:name="_Toc237145411"/>
      <w:bookmarkStart w:id="20" w:name="_Toc185395254"/>
      <w:bookmarkStart w:id="21" w:name="_Toc232492933"/>
      <w:bookmarkStart w:id="22" w:name="_Toc238984980"/>
      <w:bookmarkStart w:id="23" w:name="_Toc239233919"/>
      <w:bookmarkStart w:id="24" w:name="_Toc286993792"/>
      <w:bookmarkStart w:id="25" w:name="_Toc212019599"/>
      <w:bookmarkStart w:id="26" w:name="_Toc239568423"/>
      <w:bookmarkStart w:id="27" w:name="_Toc225244857"/>
      <w:bookmarkStart w:id="28" w:name="_Toc211911353"/>
      <w:bookmarkStart w:id="29" w:name="_Toc225654649"/>
      <w:bookmarkStart w:id="30" w:name="_Toc251768867"/>
      <w:bookmarkStart w:id="31" w:name="_Toc211854454"/>
      <w:bookmarkStart w:id="32" w:name="_Toc241833908"/>
      <w:bookmarkStart w:id="33" w:name="_Toc247334846"/>
      <w:r>
        <w:rPr>
          <w:rFonts w:hint="eastAsia" w:ascii="黑体" w:hAnsi="黑体" w:eastAsia="黑体" w:cs="黑体"/>
          <w:b/>
          <w:color w:val="000000" w:themeColor="text1"/>
          <w:sz w:val="20"/>
          <w:szCs w:val="20"/>
          <w14:textFill>
            <w14:solidFill>
              <w14:schemeClr w14:val="tx1"/>
            </w14:solidFill>
          </w14:textFill>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F865DEC">
      <w:pPr>
        <w:tabs>
          <w:tab w:val="left" w:pos="0"/>
        </w:tabs>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1.在执行本合同中发生的或与本合同有关的争端，双方应通过友好协商解决，经协商在</w:t>
      </w:r>
      <w:r>
        <w:rPr>
          <w:rFonts w:hint="eastAsia" w:ascii="黑体" w:hAnsi="黑体" w:eastAsia="黑体" w:cs="黑体"/>
          <w:color w:val="000000" w:themeColor="text1"/>
          <w:sz w:val="20"/>
          <w:szCs w:val="20"/>
          <w:u w:val="single"/>
          <w14:textFill>
            <w14:solidFill>
              <w14:schemeClr w14:val="tx1"/>
            </w14:solidFill>
          </w14:textFill>
        </w:rPr>
        <w:t xml:space="preserve"> 30 </w:t>
      </w:r>
      <w:r>
        <w:rPr>
          <w:rFonts w:hint="eastAsia" w:ascii="黑体" w:hAnsi="黑体" w:eastAsia="黑体" w:cs="黑体"/>
          <w:color w:val="000000" w:themeColor="text1"/>
          <w:sz w:val="20"/>
          <w:szCs w:val="20"/>
          <w14:textFill>
            <w14:solidFill>
              <w14:schemeClr w14:val="tx1"/>
            </w14:solidFill>
          </w14:textFill>
        </w:rPr>
        <w:t>天内不能达成协议时，应提交</w:t>
      </w:r>
      <w:r>
        <w:rPr>
          <w:rFonts w:hint="eastAsia" w:ascii="黑体" w:hAnsi="黑体" w:eastAsia="黑体" w:cs="黑体"/>
          <w:color w:val="000000" w:themeColor="text1"/>
          <w:sz w:val="20"/>
          <w:szCs w:val="20"/>
          <w:u w:val="single"/>
          <w14:textFill>
            <w14:solidFill>
              <w14:schemeClr w14:val="tx1"/>
            </w14:solidFill>
          </w14:textFill>
        </w:rPr>
        <w:t xml:space="preserve">   采购人所在地  </w:t>
      </w:r>
      <w:r>
        <w:rPr>
          <w:rFonts w:hint="eastAsia" w:ascii="黑体" w:hAnsi="黑体" w:eastAsia="黑体" w:cs="黑体"/>
          <w:color w:val="000000" w:themeColor="text1"/>
          <w:sz w:val="20"/>
          <w:szCs w:val="20"/>
          <w14:textFill>
            <w14:solidFill>
              <w14:schemeClr w14:val="tx1"/>
            </w14:solidFill>
          </w14:textFill>
        </w:rPr>
        <w:t>仲裁委员会予以进行仲裁。</w:t>
      </w:r>
    </w:p>
    <w:p w14:paraId="50CE03DF">
      <w:pPr>
        <w:tabs>
          <w:tab w:val="left" w:pos="0"/>
        </w:tabs>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2.仲裁裁决应为最终决定，并对双方具有约束力。</w:t>
      </w:r>
    </w:p>
    <w:p w14:paraId="0A775363">
      <w:pPr>
        <w:tabs>
          <w:tab w:val="left" w:pos="0"/>
        </w:tabs>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 xml:space="preserve">3.除另有裁决外，仲裁费应由败诉方负担。 </w:t>
      </w:r>
    </w:p>
    <w:p w14:paraId="1EC6BA7C">
      <w:pPr>
        <w:tabs>
          <w:tab w:val="left" w:pos="0"/>
        </w:tabs>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 xml:space="preserve">4.在仲裁期间，除正在进行仲裁部分外，合同其他部分继续执行。  </w:t>
      </w:r>
    </w:p>
    <w:p w14:paraId="48ECDF65">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bookmarkStart w:id="34" w:name="_Toc283019219"/>
      <w:bookmarkStart w:id="35" w:name="_Toc225670757"/>
      <w:bookmarkStart w:id="36" w:name="_Toc247334847"/>
      <w:bookmarkStart w:id="37" w:name="_Toc185395255"/>
      <w:bookmarkStart w:id="38" w:name="_Toc238984981"/>
      <w:bookmarkStart w:id="39" w:name="_Toc239568424"/>
      <w:bookmarkStart w:id="40" w:name="_Toc212019600"/>
      <w:bookmarkStart w:id="41" w:name="_Toc239233920"/>
      <w:bookmarkStart w:id="42" w:name="_Toc211854455"/>
      <w:bookmarkStart w:id="43" w:name="_Toc241833909"/>
      <w:bookmarkStart w:id="44" w:name="_Toc211911354"/>
      <w:bookmarkStart w:id="45" w:name="_Toc286993793"/>
      <w:bookmarkStart w:id="46" w:name="_Toc251768868"/>
      <w:bookmarkStart w:id="47" w:name="_Toc237145412"/>
      <w:bookmarkStart w:id="48" w:name="_Toc225654650"/>
      <w:bookmarkStart w:id="49" w:name="_Toc225244858"/>
      <w:bookmarkStart w:id="50" w:name="_Toc232492934"/>
      <w:bookmarkStart w:id="51" w:name="_Toc282696231"/>
      <w:r>
        <w:rPr>
          <w:rFonts w:hint="eastAsia" w:ascii="黑体" w:hAnsi="黑体" w:eastAsia="黑体" w:cs="黑体"/>
          <w:b/>
          <w:color w:val="000000" w:themeColor="text1"/>
          <w:sz w:val="20"/>
          <w:szCs w:val="20"/>
          <w14:textFill>
            <w14:solidFill>
              <w14:schemeClr w14:val="tx1"/>
            </w14:solidFill>
          </w14:textFill>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黑体" w:hAnsi="黑体" w:eastAsia="黑体" w:cs="黑体"/>
          <w:b/>
          <w:color w:val="000000" w:themeColor="text1"/>
          <w:sz w:val="20"/>
          <w:szCs w:val="20"/>
          <w14:textFill>
            <w14:solidFill>
              <w14:schemeClr w14:val="tx1"/>
            </w14:solidFill>
          </w14:textFill>
        </w:rPr>
        <w:t>生效及其他</w:t>
      </w:r>
    </w:p>
    <w:p w14:paraId="4242EFF2">
      <w:pPr>
        <w:pStyle w:val="14"/>
        <w:spacing w:line="480" w:lineRule="exact"/>
        <w:ind w:firstLine="4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1.合同经双方法定代表人或授权委托代理人签字并加盖单位公章后生效。</w:t>
      </w:r>
    </w:p>
    <w:p w14:paraId="1CFBF0FB">
      <w:pPr>
        <w:pStyle w:val="14"/>
        <w:spacing w:line="480" w:lineRule="exact"/>
        <w:ind w:firstLine="4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2.合同执行中涉及资金和采购内容修改或补充的，须经双方签订书面补充协议，方可作为主合同不可分割的一部分。</w:t>
      </w:r>
    </w:p>
    <w:p w14:paraId="08588D67">
      <w:pPr>
        <w:pStyle w:val="14"/>
        <w:spacing w:line="480" w:lineRule="exact"/>
        <w:ind w:firstLine="4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3.本合同一式陆份，自双方签章之日起效。甲方</w:t>
      </w:r>
      <w:r>
        <w:rPr>
          <w:rFonts w:hint="eastAsia" w:ascii="黑体" w:hAnsi="黑体" w:eastAsia="黑体" w:cs="黑体"/>
          <w:color w:val="000000" w:themeColor="text1"/>
          <w:sz w:val="20"/>
          <w:szCs w:val="20"/>
          <w:u w:val="single"/>
          <w14:textFill>
            <w14:solidFill>
              <w14:schemeClr w14:val="tx1"/>
            </w14:solidFill>
          </w14:textFill>
        </w:rPr>
        <w:t xml:space="preserve">  </w:t>
      </w:r>
      <w:r>
        <w:rPr>
          <w:rFonts w:hint="eastAsia" w:ascii="黑体" w:hAnsi="黑体" w:eastAsia="黑体" w:cs="黑体"/>
          <w:color w:val="000000" w:themeColor="text1"/>
          <w:sz w:val="20"/>
          <w:szCs w:val="20"/>
          <w14:textFill>
            <w14:solidFill>
              <w14:schemeClr w14:val="tx1"/>
            </w14:solidFill>
          </w14:textFill>
        </w:rPr>
        <w:t>份，乙方</w:t>
      </w:r>
      <w:r>
        <w:rPr>
          <w:rFonts w:hint="eastAsia" w:ascii="黑体" w:hAnsi="黑体" w:eastAsia="黑体" w:cs="黑体"/>
          <w:color w:val="000000" w:themeColor="text1"/>
          <w:sz w:val="20"/>
          <w:szCs w:val="20"/>
          <w:u w:val="single"/>
          <w14:textFill>
            <w14:solidFill>
              <w14:schemeClr w14:val="tx1"/>
            </w14:solidFill>
          </w14:textFill>
        </w:rPr>
        <w:t xml:space="preserve">  </w:t>
      </w:r>
      <w:r>
        <w:rPr>
          <w:rFonts w:hint="eastAsia" w:ascii="黑体" w:hAnsi="黑体" w:eastAsia="黑体" w:cs="黑体"/>
          <w:color w:val="000000" w:themeColor="text1"/>
          <w:sz w:val="20"/>
          <w:szCs w:val="20"/>
          <w14:textFill>
            <w14:solidFill>
              <w14:schemeClr w14:val="tx1"/>
            </w14:solidFill>
          </w14:textFill>
        </w:rPr>
        <w:t>份，具有同等法律效力。</w:t>
      </w:r>
    </w:p>
    <w:p w14:paraId="48354F15">
      <w:pPr>
        <w:numPr>
          <w:ilvl w:val="0"/>
          <w:numId w:val="2"/>
        </w:numPr>
        <w:spacing w:line="480" w:lineRule="exact"/>
        <w:ind w:left="1095"/>
        <w:rPr>
          <w:rFonts w:hint="eastAsia" w:ascii="黑体" w:hAnsi="黑体" w:eastAsia="黑体" w:cs="黑体"/>
          <w:b/>
          <w:color w:val="000000" w:themeColor="text1"/>
          <w:sz w:val="20"/>
          <w:szCs w:val="20"/>
          <w14:textFill>
            <w14:solidFill>
              <w14:schemeClr w14:val="tx1"/>
            </w14:solidFill>
          </w14:textFill>
        </w:rPr>
      </w:pPr>
      <w:r>
        <w:rPr>
          <w:rFonts w:hint="eastAsia" w:ascii="黑体" w:hAnsi="黑体" w:eastAsia="黑体" w:cs="黑体"/>
          <w:b/>
          <w:color w:val="000000" w:themeColor="text1"/>
          <w:sz w:val="20"/>
          <w:szCs w:val="20"/>
          <w14:textFill>
            <w14:solidFill>
              <w14:schemeClr w14:val="tx1"/>
            </w14:solidFill>
          </w14:textFill>
        </w:rPr>
        <w:t>附件</w:t>
      </w:r>
    </w:p>
    <w:p w14:paraId="4027A7FA">
      <w:pPr>
        <w:pStyle w:val="14"/>
        <w:spacing w:line="480" w:lineRule="exact"/>
        <w:ind w:firstLine="4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1.招标文件</w:t>
      </w:r>
    </w:p>
    <w:p w14:paraId="4C64095F">
      <w:pPr>
        <w:pStyle w:val="14"/>
        <w:spacing w:line="480" w:lineRule="exact"/>
        <w:ind w:firstLine="4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2.澄清（或答疑）文件</w:t>
      </w:r>
    </w:p>
    <w:p w14:paraId="34C85C67">
      <w:pPr>
        <w:pStyle w:val="14"/>
        <w:spacing w:line="480" w:lineRule="exact"/>
        <w:ind w:firstLine="4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3.投标文件</w:t>
      </w:r>
    </w:p>
    <w:p w14:paraId="058D9B8F">
      <w:pPr>
        <w:pStyle w:val="14"/>
        <w:spacing w:line="480" w:lineRule="exact"/>
        <w:ind w:firstLine="4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4.中标通知书</w:t>
      </w:r>
    </w:p>
    <w:p w14:paraId="24958302">
      <w:pPr>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甲方：</w:t>
      </w:r>
      <w:r>
        <w:rPr>
          <w:rFonts w:hint="eastAsia" w:ascii="黑体" w:hAnsi="黑体" w:eastAsia="黑体" w:cs="黑体"/>
          <w:color w:val="000000" w:themeColor="text1"/>
          <w:sz w:val="20"/>
          <w:szCs w:val="20"/>
          <w:u w:val="single"/>
          <w14:textFill>
            <w14:solidFill>
              <w14:schemeClr w14:val="tx1"/>
            </w14:solidFill>
          </w14:textFill>
        </w:rPr>
        <w:t xml:space="preserve">        </w:t>
      </w:r>
      <w:r>
        <w:rPr>
          <w:rFonts w:hint="eastAsia" w:ascii="黑体" w:hAnsi="黑体" w:eastAsia="黑体" w:cs="黑体"/>
          <w:color w:val="000000" w:themeColor="text1"/>
          <w:sz w:val="20"/>
          <w:szCs w:val="20"/>
          <w14:textFill>
            <w14:solidFill>
              <w14:schemeClr w14:val="tx1"/>
            </w14:solidFill>
          </w14:textFill>
        </w:rPr>
        <w:t xml:space="preserve">（盖章）   </w:t>
      </w:r>
      <w:r>
        <w:rPr>
          <w:rFonts w:hint="eastAsia" w:ascii="黑体" w:hAnsi="黑体" w:eastAsia="黑体" w:cs="黑体"/>
          <w:color w:val="000000" w:themeColor="text1"/>
          <w:sz w:val="20"/>
          <w:szCs w:val="20"/>
          <w14:textFill>
            <w14:solidFill>
              <w14:schemeClr w14:val="tx1"/>
            </w14:solidFill>
          </w14:textFill>
        </w:rPr>
        <w:tab/>
      </w:r>
      <w:r>
        <w:rPr>
          <w:rFonts w:hint="eastAsia" w:ascii="黑体" w:hAnsi="黑体" w:eastAsia="黑体" w:cs="黑体"/>
          <w:color w:val="000000" w:themeColor="text1"/>
          <w:sz w:val="20"/>
          <w:szCs w:val="20"/>
          <w14:textFill>
            <w14:solidFill>
              <w14:schemeClr w14:val="tx1"/>
            </w14:solidFill>
          </w14:textFill>
        </w:rPr>
        <w:tab/>
      </w:r>
      <w:r>
        <w:rPr>
          <w:rFonts w:hint="eastAsia" w:ascii="黑体" w:hAnsi="黑体" w:eastAsia="黑体" w:cs="黑体"/>
          <w:color w:val="000000" w:themeColor="text1"/>
          <w:sz w:val="20"/>
          <w:szCs w:val="20"/>
          <w14:textFill>
            <w14:solidFill>
              <w14:schemeClr w14:val="tx1"/>
            </w14:solidFill>
          </w14:textFill>
        </w:rPr>
        <w:tab/>
      </w:r>
      <w:r>
        <w:rPr>
          <w:rFonts w:hint="eastAsia" w:ascii="黑体" w:hAnsi="黑体" w:eastAsia="黑体" w:cs="黑体"/>
          <w:color w:val="000000" w:themeColor="text1"/>
          <w:sz w:val="20"/>
          <w:szCs w:val="20"/>
          <w14:textFill>
            <w14:solidFill>
              <w14:schemeClr w14:val="tx1"/>
            </w14:solidFill>
          </w14:textFill>
        </w:rPr>
        <w:t xml:space="preserve"> 乙方：</w:t>
      </w:r>
      <w:r>
        <w:rPr>
          <w:rFonts w:hint="eastAsia" w:ascii="黑体" w:hAnsi="黑体" w:eastAsia="黑体" w:cs="黑体"/>
          <w:color w:val="000000" w:themeColor="text1"/>
          <w:sz w:val="20"/>
          <w:szCs w:val="20"/>
          <w:u w:val="single"/>
          <w14:textFill>
            <w14:solidFill>
              <w14:schemeClr w14:val="tx1"/>
            </w14:solidFill>
          </w14:textFill>
        </w:rPr>
        <w:t xml:space="preserve">        </w:t>
      </w:r>
      <w:r>
        <w:rPr>
          <w:rFonts w:hint="eastAsia" w:ascii="黑体" w:hAnsi="黑体" w:eastAsia="黑体" w:cs="黑体"/>
          <w:color w:val="000000" w:themeColor="text1"/>
          <w:sz w:val="20"/>
          <w:szCs w:val="20"/>
          <w14:textFill>
            <w14:solidFill>
              <w14:schemeClr w14:val="tx1"/>
            </w14:solidFill>
          </w14:textFill>
        </w:rPr>
        <w:t xml:space="preserve">（盖章） </w:t>
      </w:r>
    </w:p>
    <w:p w14:paraId="16CFB733">
      <w:pPr>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p>
    <w:p w14:paraId="39B3E057">
      <w:pPr>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法定代表人（授权代表）：           法定代表人（授权代表）：</w:t>
      </w:r>
    </w:p>
    <w:p w14:paraId="44B24804">
      <w:pPr>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p>
    <w:p w14:paraId="06819633">
      <w:pPr>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地    址：                         地    址：</w:t>
      </w:r>
    </w:p>
    <w:p w14:paraId="346BE6B7">
      <w:pPr>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开户银行：                         开户银行：</w:t>
      </w:r>
    </w:p>
    <w:p w14:paraId="2A7EB932">
      <w:pPr>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账号：                             账号：</w:t>
      </w:r>
    </w:p>
    <w:p w14:paraId="5A938E47">
      <w:pPr>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电    话：                         电    话：</w:t>
      </w:r>
    </w:p>
    <w:p w14:paraId="69C60ED6">
      <w:pPr>
        <w:spacing w:line="480" w:lineRule="exact"/>
        <w:ind w:firstLine="400" w:firstLineChars="200"/>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传    真：                         传    真：</w:t>
      </w:r>
    </w:p>
    <w:p w14:paraId="6E3407CC">
      <w:pPr>
        <w:pStyle w:val="6"/>
        <w:spacing w:before="0" w:beforeAutospacing="0" w:after="0" w:afterAutospacing="0" w:line="480" w:lineRule="exact"/>
        <w:ind w:firstLine="400" w:firstLineChars="200"/>
        <w:jc w:val="both"/>
        <w:rPr>
          <w:rFonts w:hint="eastAsia" w:ascii="黑体" w:hAnsi="黑体" w:eastAsia="黑体" w:cs="黑体"/>
          <w:b/>
          <w:bCs/>
          <w:color w:val="000000" w:themeColor="text1"/>
          <w:sz w:val="20"/>
          <w:szCs w:val="20"/>
          <w14:textFill>
            <w14:solidFill>
              <w14:schemeClr w14:val="tx1"/>
            </w14:solidFill>
          </w14:textFill>
        </w:rPr>
      </w:pPr>
      <w:r>
        <w:rPr>
          <w:rFonts w:hint="eastAsia" w:ascii="黑体" w:hAnsi="黑体" w:eastAsia="黑体" w:cs="黑体"/>
          <w:color w:val="000000" w:themeColor="text1"/>
          <w:sz w:val="20"/>
          <w:szCs w:val="20"/>
          <w14:textFill>
            <w14:solidFill>
              <w14:schemeClr w14:val="tx1"/>
            </w14:solidFill>
          </w14:textFill>
        </w:rPr>
        <w:t xml:space="preserve">签约日期：    年   月    日 </w:t>
      </w:r>
      <w:r>
        <w:rPr>
          <w:rFonts w:hint="eastAsia" w:ascii="黑体" w:hAnsi="黑体" w:eastAsia="黑体" w:cs="黑体"/>
          <w:color w:val="000000" w:themeColor="text1"/>
          <w:sz w:val="20"/>
          <w:szCs w:val="20"/>
          <w14:textFill>
            <w14:solidFill>
              <w14:schemeClr w14:val="tx1"/>
            </w14:solidFill>
          </w14:textFill>
        </w:rPr>
        <w:tab/>
      </w:r>
      <w:r>
        <w:rPr>
          <w:rFonts w:hint="eastAsia" w:ascii="黑体" w:hAnsi="黑体" w:eastAsia="黑体" w:cs="黑体"/>
          <w:color w:val="000000" w:themeColor="text1"/>
          <w:sz w:val="20"/>
          <w:szCs w:val="20"/>
          <w14:textFill>
            <w14:solidFill>
              <w14:schemeClr w14:val="tx1"/>
            </w14:solidFill>
          </w14:textFill>
        </w:rPr>
        <w:t xml:space="preserve">   签约日期：    年   月    日 </w:t>
      </w:r>
    </w:p>
    <w:p w14:paraId="5D1C1811">
      <w:pPr>
        <w:spacing w:line="480" w:lineRule="exact"/>
        <w:rPr>
          <w:rFonts w:hint="eastAsia" w:ascii="黑体" w:hAnsi="黑体" w:eastAsia="黑体" w:cs="黑体"/>
          <w:sz w:val="20"/>
          <w:szCs w:val="20"/>
        </w:rPr>
      </w:pPr>
      <w:r>
        <w:rPr>
          <w:rFonts w:hint="eastAsia" w:ascii="黑体" w:hAnsi="黑体" w:eastAsia="黑体" w:cs="黑体"/>
          <w:b/>
          <w:color w:val="000000" w:themeColor="text1"/>
          <w:sz w:val="20"/>
          <w:szCs w:val="20"/>
          <w14:textFill>
            <w14:solidFill>
              <w14:schemeClr w14:val="tx1"/>
            </w14:solidFill>
          </w14:textFill>
        </w:rPr>
        <w:t xml:space="preserve">    </w:t>
      </w:r>
      <w:r>
        <w:rPr>
          <w:rFonts w:hint="eastAsia" w:ascii="黑体" w:hAnsi="黑体" w:eastAsia="黑体" w:cs="黑体"/>
          <w:color w:val="000000" w:themeColor="text1"/>
          <w:sz w:val="20"/>
          <w:szCs w:val="20"/>
          <w14:textFill>
            <w14:solidFill>
              <w14:schemeClr w14:val="tx1"/>
            </w14:solidFill>
          </w14:textFill>
        </w:rPr>
        <w:t>签订地点：</w:t>
      </w:r>
      <w:r>
        <w:rPr>
          <w:rFonts w:hint="eastAsia" w:ascii="黑体" w:hAnsi="黑体" w:eastAsia="黑体" w:cs="黑体"/>
          <w:color w:val="000000" w:themeColor="text1"/>
          <w:sz w:val="20"/>
          <w:szCs w:val="20"/>
          <w:u w:val="single"/>
          <w14:textFill>
            <w14:solidFill>
              <w14:schemeClr w14:val="tx1"/>
            </w14:solidFill>
          </w14:textFill>
        </w:rPr>
        <w:t xml:space="preserve">                       </w:t>
      </w:r>
    </w:p>
    <w:p w14:paraId="36FBA522">
      <w:pPr>
        <w:keepNext w:val="0"/>
        <w:keepLines w:val="0"/>
        <w:pageBreakBefore w:val="0"/>
        <w:kinsoku/>
        <w:wordWrap/>
        <w:overflowPunct/>
        <w:topLinePunct w:val="0"/>
        <w:autoSpaceDE/>
        <w:autoSpaceDN/>
        <w:bidi w:val="0"/>
        <w:adjustRightInd/>
        <w:snapToGrid/>
        <w:spacing w:before="58" w:beforeLines="20" w:beforeAutospacing="0" w:afterAutospacing="0" w:line="480" w:lineRule="exact"/>
        <w:ind w:firstLine="381"/>
        <w:textAlignment w:val="auto"/>
        <w:rPr>
          <w:rFonts w:hint="eastAsia" w:ascii="黑体" w:hAnsi="黑体" w:eastAsia="黑体" w:cs="黑体"/>
          <w:sz w:val="21"/>
          <w:szCs w:val="21"/>
        </w:rPr>
      </w:pPr>
    </w:p>
    <w:sectPr>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EECA7">
    <w:pPr>
      <w:spacing w:line="186" w:lineRule="auto"/>
      <w:ind w:left="4721"/>
      <w:rPr>
        <w:rFonts w:ascii="Calibri" w:hAnsi="Calibri" w:eastAsia="Calibri" w:cs="Calibri"/>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E7EB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74AF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6374AF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3F0A48"/>
    <w:multiLevelType w:val="singleLevel"/>
    <w:tmpl w:val="C73F0A48"/>
    <w:lvl w:ilvl="0" w:tentative="0">
      <w:start w:val="1"/>
      <w:numFmt w:val="japaneseCounting"/>
      <w:suff w:val="space"/>
      <w:lvlText w:val="第%1条"/>
      <w:lvlJc w:val="left"/>
      <w:pPr>
        <w:ind w:left="2616" w:hanging="1095"/>
      </w:pPr>
      <w:rPr>
        <w:rFonts w:hint="eastAsia"/>
      </w:rPr>
    </w:lvl>
  </w:abstractNum>
  <w:abstractNum w:abstractNumId="1">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53A4F12"/>
    <w:rsid w:val="09307AB0"/>
    <w:rsid w:val="0D527C6C"/>
    <w:rsid w:val="0DA52D2A"/>
    <w:rsid w:val="0E740691"/>
    <w:rsid w:val="169D07CE"/>
    <w:rsid w:val="1E5B7F7C"/>
    <w:rsid w:val="21EC3154"/>
    <w:rsid w:val="22CA56D0"/>
    <w:rsid w:val="24424096"/>
    <w:rsid w:val="2638189E"/>
    <w:rsid w:val="26B97F35"/>
    <w:rsid w:val="2AC17B6D"/>
    <w:rsid w:val="2D2B1461"/>
    <w:rsid w:val="361301C9"/>
    <w:rsid w:val="368220F2"/>
    <w:rsid w:val="3934169D"/>
    <w:rsid w:val="396C0E37"/>
    <w:rsid w:val="3A005CBD"/>
    <w:rsid w:val="437C769B"/>
    <w:rsid w:val="449F0313"/>
    <w:rsid w:val="4642364B"/>
    <w:rsid w:val="4D1E7DDB"/>
    <w:rsid w:val="54755867"/>
    <w:rsid w:val="59A86DC8"/>
    <w:rsid w:val="5E65569A"/>
    <w:rsid w:val="616D08A6"/>
    <w:rsid w:val="64D14B8A"/>
    <w:rsid w:val="6D997AD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link w:val="11"/>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4">
    <w:name w:val="heading 2"/>
    <w:basedOn w:val="1"/>
    <w:next w:val="1"/>
    <w:link w:val="12"/>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3">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0">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semiHidden/>
    <w:qFormat/>
    <w:uiPriority w:val="0"/>
    <w:rPr>
      <w:rFonts w:ascii="Arial" w:hAnsi="Arial" w:eastAsia="Arial" w:cs="Arial"/>
      <w:sz w:val="21"/>
      <w:szCs w:val="21"/>
      <w:lang w:val="en-US" w:eastAsia="en-US" w:bidi="ar-SA"/>
    </w:rPr>
  </w:style>
  <w:style w:type="paragraph" w:styleId="6">
    <w:name w:val="Plain Text"/>
    <w:basedOn w:val="1"/>
    <w:next w:val="1"/>
    <w:autoRedefine/>
    <w:qFormat/>
    <w:uiPriority w:val="99"/>
    <w:rPr>
      <w:rFonts w:ascii="宋体" w:hAnsi="Courier New"/>
      <w:szCs w:val="21"/>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toc 1"/>
    <w:basedOn w:val="1"/>
    <w:next w:val="1"/>
    <w:qFormat/>
    <w:uiPriority w:val="39"/>
  </w:style>
  <w:style w:type="character" w:customStyle="1" w:styleId="11">
    <w:name w:val="标题 1 Char"/>
    <w:basedOn w:val="10"/>
    <w:link w:val="2"/>
    <w:autoRedefine/>
    <w:qFormat/>
    <w:uiPriority w:val="99"/>
    <w:rPr>
      <w:rFonts w:asciiTheme="minorAscii" w:hAnsiTheme="minorAscii" w:eastAsiaTheme="minorEastAsia" w:cstheme="minorBidi"/>
      <w:b/>
      <w:bCs/>
      <w:kern w:val="44"/>
      <w:sz w:val="44"/>
      <w:szCs w:val="44"/>
    </w:rPr>
  </w:style>
  <w:style w:type="character" w:customStyle="1" w:styleId="12">
    <w:name w:val="标题 2 Char"/>
    <w:link w:val="4"/>
    <w:autoRedefine/>
    <w:qFormat/>
    <w:uiPriority w:val="0"/>
    <w:rPr>
      <w:rFonts w:ascii="Arial" w:hAnsi="Arial" w:eastAsia="宋体" w:cs="Times New Roman"/>
      <w:b/>
      <w:bCs/>
      <w:sz w:val="24"/>
      <w:szCs w:val="3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styleId="14">
    <w:name w:val="List Paragraph"/>
    <w:basedOn w:val="1"/>
    <w:autoRedefine/>
    <w:qFormat/>
    <w:uiPriority w:val="34"/>
    <w:pPr>
      <w:ind w:firstLine="420" w:firstLineChars="200"/>
    </w:pPr>
    <w:rPr>
      <w:rFonts w:ascii="Calibri" w:hAnsi="Calibri" w:eastAsia="宋体" w:cs="Times New Roman"/>
      <w:szCs w:val="22"/>
    </w:rPr>
  </w:style>
  <w:style w:type="paragraph" w:customStyle="1" w:styleId="15">
    <w:name w:val="HTML 预设格式1"/>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1630</Words>
  <Characters>1672</Characters>
  <Lines>0</Lines>
  <Paragraphs>0</Paragraphs>
  <TotalTime>0</TotalTime>
  <ScaleCrop>false</ScaleCrop>
  <LinksUpToDate>false</LinksUpToDate>
  <CharactersWithSpaces>2223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2025-10-17T10:55:41Z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