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版本号：ZBY202507120251027001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陕西省生态环境执法装备和用电监控统筹管控能力建设项目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ZBY2025071</w:t>
      </w:r>
      <w:r>
        <w:br/>
      </w:r>
      <w:r>
        <w:br/>
      </w:r>
      <w:r>
        <w:br/>
      </w:r>
    </w:p>
    <w:p>
      <w:pPr>
        <w:pStyle w:val="null3"/>
        <w:jc w:val="center"/>
        <w:outlineLvl w:val="2"/>
      </w:pPr>
      <w:r>
        <w:rPr>
          <w:rFonts w:ascii="仿宋_GB2312" w:hAnsi="仿宋_GB2312" w:cs="仿宋_GB2312" w:eastAsia="仿宋_GB2312"/>
          <w:sz w:val="28"/>
          <w:b/>
        </w:rPr>
        <w:t>陕西省生态环境执法总队</w:t>
      </w:r>
    </w:p>
    <w:p>
      <w:pPr>
        <w:pStyle w:val="null3"/>
        <w:jc w:val="center"/>
        <w:outlineLvl w:val="2"/>
      </w:pPr>
      <w:r>
        <w:rPr>
          <w:rFonts w:ascii="仿宋_GB2312" w:hAnsi="仿宋_GB2312" w:cs="仿宋_GB2312" w:eastAsia="仿宋_GB2312"/>
          <w:sz w:val="28"/>
          <w:b/>
        </w:rPr>
        <w:t>西安中保研招标有限公司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西安中保研招标有限公司</w:t>
      </w:r>
      <w:r>
        <w:rPr>
          <w:rFonts w:ascii="仿宋_GB2312" w:hAnsi="仿宋_GB2312" w:cs="仿宋_GB2312" w:eastAsia="仿宋_GB2312"/>
        </w:rPr>
        <w:t>（以下简称“代理机构”）受</w:t>
      </w:r>
      <w:r>
        <w:rPr>
          <w:rFonts w:ascii="仿宋_GB2312" w:hAnsi="仿宋_GB2312" w:cs="仿宋_GB2312" w:eastAsia="仿宋_GB2312"/>
        </w:rPr>
        <w:t>陕西省生态环境执法总队</w:t>
      </w:r>
      <w:r>
        <w:rPr>
          <w:rFonts w:ascii="仿宋_GB2312" w:hAnsi="仿宋_GB2312" w:cs="仿宋_GB2312" w:eastAsia="仿宋_GB2312"/>
        </w:rPr>
        <w:t>委托，拟对</w:t>
      </w:r>
      <w:r>
        <w:rPr>
          <w:rFonts w:ascii="仿宋_GB2312" w:hAnsi="仿宋_GB2312" w:cs="仿宋_GB2312" w:eastAsia="仿宋_GB2312"/>
        </w:rPr>
        <w:t>陕西省生态环境执法装备和用电监控统筹管控能力建设项目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ZBY2025071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陕西省生态环境执法装备和用电监控统筹管控能力建设项目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通过整合技术资源与业务需求，推动生态环境执法从“人力密集型”向“科技驱动型”转变，为陕西省打好污染防治攻坚战、实现空气质量持续改善提供坚实技术支撑。详见招标文件第三章招标项目技术、服务、商务及其他要求，具体以招标文件全部内容要求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采购包1（陕西省生态环境执法装备和用电监控统筹管控能力建设项目）：属于专门面向中小企业采购。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2、是否接受联合体投标：本项目不接受联合体投标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陕西省生态环境执法总队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陕西省西安市西影路106号陕西环保综合办公大楼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029-85429258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西安中保研招标有限公司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陕西省西安市新城区金花新都汇写字楼A座7楼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李创、朱小翠、聂俊丽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13772150019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开户名称：西安中保研招标有限公司</w:t>
            </w:r>
          </w:p>
          <w:p>
            <w:pPr>
              <w:pStyle w:val="null3"/>
            </w:pPr>
            <w:r>
              <w:rPr>
                <w:rFonts w:ascii="仿宋_GB2312" w:hAnsi="仿宋_GB2312" w:cs="仿宋_GB2312" w:eastAsia="仿宋_GB2312"/>
              </w:rPr>
              <w:t>开户银行：中国建设银行西安电子城支行</w:t>
            </w:r>
          </w:p>
          <w:p>
            <w:pPr>
              <w:pStyle w:val="null3"/>
            </w:pPr>
            <w:r>
              <w:rPr>
                <w:rFonts w:ascii="仿宋_GB2312" w:hAnsi="仿宋_GB2312" w:cs="仿宋_GB2312" w:eastAsia="仿宋_GB2312"/>
              </w:rPr>
              <w:t>银行账号：6105 0192 3800 0951 6518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说明：乙方完成软件开发系统的调研，并形成实质性开发方案，经甲方确认完成后，向甲方出具合同总金额的5%履约保函（基本户银行保函），待本项目服务完成并验收合格后，甲方向乙方退还履约保函。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按中标金额作为收费的计算基数，收取标准参照国家计委颁发的《招标代理服务收费管理暂行办法》（计价格[2002]1980号）和国家发展改革委员会办公厅颁发的《关于招标代理服务收费有关问题的通知》（发改办价格[2003]857号）的有关规定向采购代理机构一次付清代理服务费。（招标代理服务费在缴付时需备注项目编号+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陕西省生态环境执法总队</w:t>
      </w:r>
      <w:r>
        <w:rPr>
          <w:rFonts w:ascii="仿宋_GB2312" w:hAnsi="仿宋_GB2312" w:cs="仿宋_GB2312" w:eastAsia="仿宋_GB2312"/>
        </w:rPr>
        <w:t>和</w:t>
      </w:r>
      <w:r>
        <w:rPr>
          <w:rFonts w:ascii="仿宋_GB2312" w:hAnsi="仿宋_GB2312" w:cs="仿宋_GB2312" w:eastAsia="仿宋_GB2312"/>
        </w:rPr>
        <w:t>西安中保研招标有限公司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陕西省生态环境执法总队</w:t>
      </w:r>
      <w:r>
        <w:rPr>
          <w:rFonts w:ascii="仿宋_GB2312" w:hAnsi="仿宋_GB2312" w:cs="仿宋_GB2312" w:eastAsia="仿宋_GB2312"/>
        </w:rPr>
        <w:t>负责解释。除上述招标文件内容，其他内容由</w:t>
      </w:r>
      <w:r>
        <w:rPr>
          <w:rFonts w:ascii="仿宋_GB2312" w:hAnsi="仿宋_GB2312" w:cs="仿宋_GB2312" w:eastAsia="仿宋_GB2312"/>
        </w:rPr>
        <w:t>西安中保研招标有限公司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陕西省生态环境执法总队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西安中保研招标有限公司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西安中保研招标有限公司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西安中保研招标有限公司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西安中保研招标有限公司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联系人：文件复核办公室</w:t>
      </w:r>
    </w:p>
    <w:p>
      <w:pPr>
        <w:pStyle w:val="null3"/>
      </w:pPr>
      <w:r>
        <w:rPr>
          <w:rFonts w:ascii="仿宋_GB2312" w:hAnsi="仿宋_GB2312" w:cs="仿宋_GB2312" w:eastAsia="仿宋_GB2312"/>
        </w:rPr>
        <w:t>联系电话：13772150019</w:t>
      </w:r>
    </w:p>
    <w:p>
      <w:pPr>
        <w:pStyle w:val="null3"/>
      </w:pPr>
      <w:r>
        <w:rPr>
          <w:rFonts w:ascii="仿宋_GB2312" w:hAnsi="仿宋_GB2312" w:cs="仿宋_GB2312" w:eastAsia="仿宋_GB2312"/>
        </w:rPr>
        <w:t>地址：陕西省西安市新城区金花新都汇写字楼A座7楼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通过整合技术资源与业务需求，推动生态环境执法从“人力密集型”向“科技驱动型”转变，为陕西省打好污染防治攻坚战、实现空气质量持续改善提供坚实技术支撑。详见招标文件第三章招标项目技术、服务、商务及其他要求，具体以招标文件全部内容要求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7,610,000.00</w:t>
      </w:r>
    </w:p>
    <w:p>
      <w:pPr>
        <w:pStyle w:val="null3"/>
      </w:pPr>
      <w:r>
        <w:rPr>
          <w:rFonts w:ascii="仿宋_GB2312" w:hAnsi="仿宋_GB2312" w:cs="仿宋_GB2312" w:eastAsia="仿宋_GB2312"/>
        </w:rPr>
        <w:t>采购包最高限价（元）: 7,610,000.00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陕西生态环境执法装备和用电监控统筹管控能力建设项目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标的名称：陕西生态环境执法装备和用电监控统筹管控能力建设项目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pPr>
            <w:r>
              <w:rPr>
                <w:rFonts w:ascii="仿宋_GB2312" w:hAnsi="仿宋_GB2312" w:cs="仿宋_GB2312" w:eastAsia="仿宋_GB2312"/>
                <w:sz w:val="24"/>
                <w:b/>
                <w:color w:val="0000FF"/>
              </w:rPr>
              <w:t>一、项目概况</w:t>
            </w:r>
          </w:p>
          <w:p>
            <w:pPr>
              <w:pStyle w:val="null3"/>
              <w:ind w:firstLine="400"/>
            </w:pPr>
            <w:r>
              <w:rPr>
                <w:rFonts w:ascii="仿宋_GB2312" w:hAnsi="仿宋_GB2312" w:cs="仿宋_GB2312" w:eastAsia="仿宋_GB2312"/>
                <w:sz w:val="24"/>
                <w:color w:val="0000FF"/>
              </w:rPr>
              <w:t>当前陕西省生态环境执法工作面临多重挑战，执法装备管理存在数量缺口、技术标准不统一、数据碎片化等问题，现有装备数据与执法业务数据未形成协同，难以支撑智能监管；信息化系统各自独立运行，缺乏数据融合与业务联动，非现场监管与现场执法衔接不畅；传统执法模式难以适配复合型污染防治需求，精准识别、高效处置环境违法问题的能力有待提升。</w:t>
            </w:r>
          </w:p>
          <w:p>
            <w:pPr>
              <w:pStyle w:val="null3"/>
              <w:ind w:firstLine="400"/>
            </w:pPr>
            <w:r>
              <w:rPr>
                <w:rFonts w:ascii="仿宋_GB2312" w:hAnsi="仿宋_GB2312" w:cs="仿宋_GB2312" w:eastAsia="仿宋_GB2312"/>
                <w:sz w:val="24"/>
                <w:color w:val="0000FF"/>
              </w:rPr>
              <w:t>本项目重点建设三大核心内容一是构建执法装备数融管理平台，实现执法装备采购、入库、使用、维护、报废全生命周期管理，开发移动执法物联装备APP强化现场交互；二是打造AI+数智监管执法应用，引入AI技术构建污染源在线排放异常检测、排污许可证证后监管等智能模型，实现违法线索智能预警与精准执法；三是推进监管任务数字化功能提升，建立执法任务精细化建模模块，完善执法人员履职效能评估系统，强化执法任务全流程数字化管控。</w:t>
            </w:r>
          </w:p>
          <w:p>
            <w:pPr>
              <w:pStyle w:val="null3"/>
              <w:ind w:firstLine="400"/>
            </w:pPr>
            <w:r>
              <w:rPr>
                <w:rFonts w:ascii="仿宋_GB2312" w:hAnsi="仿宋_GB2312" w:cs="仿宋_GB2312" w:eastAsia="仿宋_GB2312"/>
                <w:sz w:val="24"/>
                <w:color w:val="0000FF"/>
              </w:rPr>
              <w:t>项目基于目前建设成果、重点污染源和75家用电监控管理平台，结合目前采购的移动执法设备，整合技术资源与业务需求，提升陕西省生态环境执法装备和用电监控统筹管控能力，推动生态环境执法从“人力密集型”向“科技驱动型”转变，为陕西省打好污染防治攻坚战、实现空气质量持续改善提供坚实技术支撑。</w:t>
            </w:r>
          </w:p>
          <w:p>
            <w:pPr>
              <w:pStyle w:val="null3"/>
              <w:ind w:left="420"/>
            </w:pPr>
            <w:r>
              <w:rPr>
                <w:rFonts w:ascii="仿宋_GB2312" w:hAnsi="仿宋_GB2312" w:cs="仿宋_GB2312" w:eastAsia="仿宋_GB2312"/>
                <w:sz w:val="24"/>
                <w:b/>
                <w:color w:val="0000FF"/>
              </w:rPr>
              <w:t>二、建设内容</w:t>
            </w:r>
          </w:p>
          <w:p>
            <w:pPr>
              <w:pStyle w:val="null3"/>
              <w:ind w:firstLine="402"/>
            </w:pPr>
            <w:r>
              <w:rPr>
                <w:rFonts w:ascii="仿宋_GB2312" w:hAnsi="仿宋_GB2312" w:cs="仿宋_GB2312" w:eastAsia="仿宋_GB2312"/>
                <w:sz w:val="24"/>
                <w:b/>
                <w:color w:val="0000FF"/>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345"/>
              <w:gridCol w:w="1103"/>
              <w:gridCol w:w="345"/>
              <w:gridCol w:w="355"/>
              <w:gridCol w:w="386"/>
            </w:tblGrid>
            <w:tr>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序号</w:t>
                  </w:r>
                </w:p>
              </w:tc>
              <w:tc>
                <w:tcPr>
                  <w:tcW w:type="dxa" w:w="1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名称</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数量</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单位</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备注</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执法装备数融管理平台</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AI+数智监管执法应用</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监管任务数字化功能提升</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b/>
                <w:color w:val="0000FF"/>
              </w:rPr>
              <w:t>（二）技术要求</w:t>
            </w:r>
          </w:p>
          <w:p>
            <w:pPr>
              <w:pStyle w:val="null3"/>
              <w:ind w:firstLine="400"/>
            </w:pPr>
            <w:r>
              <w:rPr>
                <w:rFonts w:ascii="仿宋_GB2312" w:hAnsi="仿宋_GB2312" w:cs="仿宋_GB2312" w:eastAsia="仿宋_GB2312"/>
                <w:sz w:val="24"/>
                <w:color w:val="0000FF"/>
              </w:rPr>
              <w:t>1.总体技术要求</w:t>
            </w:r>
          </w:p>
          <w:p>
            <w:pPr>
              <w:pStyle w:val="null3"/>
              <w:ind w:firstLine="400"/>
            </w:pPr>
            <w:r>
              <w:rPr>
                <w:rFonts w:ascii="仿宋_GB2312" w:hAnsi="仿宋_GB2312" w:cs="仿宋_GB2312" w:eastAsia="仿宋_GB2312"/>
                <w:sz w:val="24"/>
                <w:color w:val="0000FF"/>
              </w:rPr>
              <w:t>系统采用前后端完全分离模式及微服务架构，前端开发框架为Vue.js，后端以SpringBoot构建，符合SOA（面向服务的体系结构）设计原则，确保系统灵活性、可扩展性及可维护性。</w:t>
            </w:r>
          </w:p>
          <w:p>
            <w:pPr>
              <w:pStyle w:val="null3"/>
              <w:ind w:firstLine="400"/>
            </w:pPr>
            <w:r>
              <w:rPr>
                <w:rFonts w:ascii="仿宋_GB2312" w:hAnsi="仿宋_GB2312" w:cs="仿宋_GB2312" w:eastAsia="仿宋_GB2312"/>
                <w:sz w:val="24"/>
                <w:color w:val="0000FF"/>
              </w:rPr>
              <w:t>系统需遵循国家及行业相关技术标准规范，确保数据格式、接口标准统一，可与现有生态环境相关系统无缝对接。</w:t>
            </w:r>
          </w:p>
          <w:p>
            <w:pPr>
              <w:pStyle w:val="null3"/>
              <w:ind w:firstLine="400"/>
            </w:pPr>
            <w:r>
              <w:rPr>
                <w:rFonts w:ascii="仿宋_GB2312" w:hAnsi="仿宋_GB2312" w:cs="仿宋_GB2312" w:eastAsia="仿宋_GB2312"/>
                <w:sz w:val="24"/>
                <w:color w:val="0000FF"/>
              </w:rPr>
              <w:t>2.执法装备数融管理平台</w:t>
            </w:r>
          </w:p>
          <w:p>
            <w:pPr>
              <w:pStyle w:val="null3"/>
              <w:ind w:firstLine="400"/>
            </w:pPr>
            <w:r>
              <w:rPr>
                <w:rFonts w:ascii="仿宋_GB2312" w:hAnsi="仿宋_GB2312" w:cs="仿宋_GB2312" w:eastAsia="仿宋_GB2312"/>
                <w:sz w:val="24"/>
                <w:color w:val="0000FF"/>
              </w:rPr>
              <w:t>2.1. PC端设备信息管理系统</w:t>
            </w:r>
          </w:p>
          <w:p>
            <w:pPr>
              <w:pStyle w:val="null3"/>
              <w:ind w:firstLine="400"/>
            </w:pPr>
            <w:r>
              <w:rPr>
                <w:rFonts w:ascii="仿宋_GB2312" w:hAnsi="仿宋_GB2312" w:cs="仿宋_GB2312" w:eastAsia="仿宋_GB2312"/>
                <w:sz w:val="24"/>
                <w:color w:val="0000FF"/>
              </w:rPr>
              <w:t>PC端设备信息管理系统需支持B/S网络访问模式，功能涵盖设备使用日志、执法状况、绩效状况、标准管理、维修管理、资产管理、特种设备管理、专家知识库等模块，可实现设备全生命周期数据可视化查询与统计分析。</w:t>
            </w:r>
          </w:p>
          <w:p>
            <w:pPr>
              <w:pStyle w:val="null3"/>
              <w:ind w:firstLine="400"/>
            </w:pPr>
            <w:r>
              <w:rPr>
                <w:rFonts w:ascii="仿宋_GB2312" w:hAnsi="仿宋_GB2312" w:cs="仿宋_GB2312" w:eastAsia="仿宋_GB2312"/>
                <w:sz w:val="24"/>
                <w:color w:val="0000FF"/>
              </w:rPr>
              <w:t>2.2移动执法物联装备APP</w:t>
            </w:r>
          </w:p>
          <w:p>
            <w:pPr>
              <w:pStyle w:val="null3"/>
              <w:ind w:firstLine="400"/>
            </w:pPr>
            <w:r>
              <w:rPr>
                <w:rFonts w:ascii="仿宋_GB2312" w:hAnsi="仿宋_GB2312" w:cs="仿宋_GB2312" w:eastAsia="仿宋_GB2312"/>
                <w:sz w:val="24"/>
                <w:color w:val="0000FF"/>
              </w:rPr>
              <w:t>移动执法物联装备APP需具备执法装备申领、实时交互、线</w:t>
            </w:r>
            <w:r>
              <w:rPr>
                <w:rFonts w:ascii="仿宋_GB2312" w:hAnsi="仿宋_GB2312" w:cs="仿宋_GB2312" w:eastAsia="仿宋_GB2312"/>
                <w:sz w:val="24"/>
                <w:color w:val="0000FF"/>
              </w:rPr>
              <w:t>索推送功能，可基于数字底座AI+数融服务查询设备台账、技术参数、运行日志等信息，支持北斗轨迹记录、拍照、录音、视频取证及现场执法数据上传；需具备在该APP端实现陕西省多类信息化执法装备规范化操作实时直读、智能指引、取证评估等能力。</w:t>
            </w:r>
          </w:p>
          <w:p>
            <w:pPr>
              <w:pStyle w:val="null3"/>
              <w:ind w:firstLine="400"/>
            </w:pPr>
            <w:r>
              <w:rPr>
                <w:rFonts w:ascii="仿宋_GB2312" w:hAnsi="仿宋_GB2312" w:cs="仿宋_GB2312" w:eastAsia="仿宋_GB2312"/>
                <w:sz w:val="24"/>
                <w:color w:val="0000FF"/>
              </w:rPr>
              <w:t>2.3执法装备数智监管系统</w:t>
            </w:r>
          </w:p>
          <w:p>
            <w:pPr>
              <w:pStyle w:val="null3"/>
              <w:ind w:firstLine="400"/>
            </w:pPr>
            <w:r>
              <w:rPr>
                <w:rFonts w:ascii="仿宋_GB2312" w:hAnsi="仿宋_GB2312" w:cs="仿宋_GB2312" w:eastAsia="仿宋_GB2312"/>
                <w:sz w:val="24"/>
                <w:color w:val="0000FF"/>
              </w:rPr>
              <w:t>执法装备数智监管系统需构建全省统一的设备管理中心，通过二维码/条</w:t>
            </w:r>
            <w:r>
              <w:rPr>
                <w:rFonts w:ascii="仿宋_GB2312" w:hAnsi="仿宋_GB2312" w:cs="仿宋_GB2312" w:eastAsia="仿宋_GB2312"/>
                <w:sz w:val="24"/>
                <w:color w:val="0000FF"/>
              </w:rPr>
              <w:t>形码实现设备电子档案管理（含采购招标、供应商、生命周期等信息），具备设备在线率监测、环境治理设备使用率统计、设备运行趋势图展示、三维可视化地图查询等功能，支持设备冻结/解冻、自定义资产属性及跨区域设备调配管理。</w:t>
            </w:r>
          </w:p>
          <w:p>
            <w:pPr>
              <w:pStyle w:val="null3"/>
              <w:ind w:firstLine="400"/>
            </w:pPr>
            <w:r>
              <w:rPr>
                <w:rFonts w:ascii="仿宋_GB2312" w:hAnsi="仿宋_GB2312" w:cs="仿宋_GB2312" w:eastAsia="仿宋_GB2312"/>
                <w:sz w:val="24"/>
                <w:color w:val="0000FF"/>
              </w:rPr>
              <w:t>2.4执法装备匹配库</w:t>
            </w:r>
          </w:p>
          <w:p>
            <w:pPr>
              <w:pStyle w:val="null3"/>
              <w:ind w:firstLine="400"/>
            </w:pPr>
            <w:r>
              <w:rPr>
                <w:rFonts w:ascii="仿宋_GB2312" w:hAnsi="仿宋_GB2312" w:cs="仿宋_GB2312" w:eastAsia="仿宋_GB2312"/>
                <w:sz w:val="24"/>
                <w:color w:val="0000FF"/>
              </w:rPr>
              <w:t>执法装</w:t>
            </w:r>
            <w:r>
              <w:rPr>
                <w:rFonts w:ascii="仿宋_GB2312" w:hAnsi="仿宋_GB2312" w:cs="仿宋_GB2312" w:eastAsia="仿宋_GB2312"/>
                <w:sz w:val="24"/>
                <w:color w:val="0000FF"/>
              </w:rPr>
              <w:t>备匹配库需按照《生态环境保护综合行政执法装备标准化建设指导标准（2024年版）》，涵盖单人基本装备、单组执法装备、现场取证装备、现场文书制作装备、防护装备、执法保障装备、日常办公装备等类别，明确各类装备功能参数、匹配任务类型，建立基于执法任务全生命周期的移动设备模型分析库，基于执法装备参数、监测因子、监测阈值、与执法企业场景融合、企业主要监测因子、企业实时数据、历史监测数据、执法监测数据等多源数据融合网络，并与陕西省生态环境执法“锚点”体系三层次生命体空间模型对象实现实时精准映射；同时，持续完善不同厂家设备及不同传输协议的设备整改任务，按照IOT统一规划，完成执法支持装备智能监管体系建设。</w:t>
            </w:r>
          </w:p>
          <w:p>
            <w:pPr>
              <w:pStyle w:val="null3"/>
              <w:ind w:firstLine="400"/>
            </w:pPr>
            <w:r>
              <w:rPr>
                <w:rFonts w:ascii="仿宋_GB2312" w:hAnsi="仿宋_GB2312" w:cs="仿宋_GB2312" w:eastAsia="仿宋_GB2312"/>
                <w:sz w:val="24"/>
                <w:color w:val="0000FF"/>
              </w:rPr>
              <w:t>3.AI+数智监管执法应用</w:t>
            </w:r>
          </w:p>
          <w:p>
            <w:pPr>
              <w:pStyle w:val="null3"/>
              <w:ind w:firstLine="400"/>
            </w:pPr>
            <w:r>
              <w:rPr>
                <w:rFonts w:ascii="仿宋_GB2312" w:hAnsi="仿宋_GB2312" w:cs="仿宋_GB2312" w:eastAsia="仿宋_GB2312"/>
                <w:sz w:val="24"/>
                <w:color w:val="0000FF"/>
              </w:rPr>
              <w:t>3.1  AI架构搭建</w:t>
            </w:r>
          </w:p>
          <w:p>
            <w:pPr>
              <w:pStyle w:val="null3"/>
              <w:ind w:firstLine="400"/>
            </w:pPr>
            <w:r>
              <w:rPr>
                <w:rFonts w:ascii="仿宋_GB2312" w:hAnsi="仿宋_GB2312" w:cs="仿宋_GB2312" w:eastAsia="仿宋_GB2312"/>
                <w:sz w:val="24"/>
                <w:color w:val="0000FF"/>
              </w:rPr>
              <w:t>AI架构需基于历史数据与业务规则，采用机器学习算法及深度学习模型构建污染源在线排放异常、排污许可证证后监管、治污设施用电监控等智能模型，结合实时数据流动态更新模型权重，提高预测精度。</w:t>
            </w:r>
          </w:p>
          <w:p>
            <w:pPr>
              <w:pStyle w:val="null3"/>
              <w:ind w:firstLine="400"/>
            </w:pPr>
            <w:r>
              <w:rPr>
                <w:rFonts w:ascii="仿宋_GB2312" w:hAnsi="仿宋_GB2312" w:cs="仿宋_GB2312" w:eastAsia="仿宋_GB2312"/>
                <w:sz w:val="24"/>
                <w:color w:val="0000FF"/>
              </w:rPr>
              <w:t>3.2污染源在线排放异常模型</w:t>
            </w:r>
          </w:p>
          <w:p>
            <w:pPr>
              <w:pStyle w:val="null3"/>
              <w:ind w:firstLine="400"/>
            </w:pPr>
            <w:r>
              <w:rPr>
                <w:rFonts w:ascii="仿宋_GB2312" w:hAnsi="仿宋_GB2312" w:cs="仿宋_GB2312" w:eastAsia="仿宋_GB2312"/>
                <w:sz w:val="24"/>
                <w:color w:val="0000FF"/>
              </w:rPr>
              <w:t>污染源在线排放异常模型需能判别在线监测数据异常、仪器参数设置异常、自动监控设施状态异常等，并针对采样单元、数据采集传输仪器设置重点检查项判别逻辑。</w:t>
            </w:r>
          </w:p>
          <w:p>
            <w:pPr>
              <w:pStyle w:val="null3"/>
              <w:ind w:firstLine="400"/>
            </w:pPr>
            <w:r>
              <w:rPr>
                <w:rFonts w:ascii="仿宋_GB2312" w:hAnsi="仿宋_GB2312" w:cs="仿宋_GB2312" w:eastAsia="仿宋_GB2312"/>
                <w:sz w:val="24"/>
                <w:color w:val="0000FF"/>
              </w:rPr>
              <w:t>3.3排污许可证证后监管模型</w:t>
            </w:r>
          </w:p>
          <w:p>
            <w:pPr>
              <w:pStyle w:val="null3"/>
              <w:ind w:firstLine="400"/>
            </w:pPr>
            <w:r>
              <w:rPr>
                <w:rFonts w:ascii="仿宋_GB2312" w:hAnsi="仿宋_GB2312" w:cs="仿宋_GB2312" w:eastAsia="仿宋_GB2312"/>
                <w:sz w:val="24"/>
                <w:color w:val="0000FF"/>
              </w:rPr>
              <w:t>排污许可证证后监管模型需覆盖排放标准和限制核查、监测和报告管理、环境管理计划执行、定期审查和更新、监管检查和执法等模块，可自动比对企业排污数据与许可证要求，识别违规行为。</w:t>
            </w:r>
          </w:p>
          <w:p>
            <w:pPr>
              <w:pStyle w:val="null3"/>
              <w:ind w:firstLine="400"/>
            </w:pPr>
            <w:r>
              <w:rPr>
                <w:rFonts w:ascii="仿宋_GB2312" w:hAnsi="仿宋_GB2312" w:cs="仿宋_GB2312" w:eastAsia="仿宋_GB2312"/>
                <w:sz w:val="24"/>
                <w:color w:val="0000FF"/>
              </w:rPr>
              <w:t>3.4治污设施用电监控监管模型</w:t>
            </w:r>
          </w:p>
          <w:p>
            <w:pPr>
              <w:pStyle w:val="null3"/>
              <w:ind w:firstLine="400"/>
            </w:pPr>
            <w:r>
              <w:rPr>
                <w:rFonts w:ascii="仿宋_GB2312" w:hAnsi="仿宋_GB2312" w:cs="仿宋_GB2312" w:eastAsia="仿宋_GB2312"/>
                <w:sz w:val="24"/>
                <w:color w:val="0000FF"/>
              </w:rPr>
              <w:t>治污设施用电监控监管模型需能识别生产与治污设备运行不同步、夜间/非工作时段异常排放、数据造假或干扰监测等异常行为，结合企业生产状态数据、排污许可证数据进行交叉验证，实现偷排行为概率识别。</w:t>
            </w:r>
          </w:p>
          <w:p>
            <w:pPr>
              <w:pStyle w:val="null3"/>
              <w:ind w:firstLine="400"/>
            </w:pPr>
            <w:r>
              <w:rPr>
                <w:rFonts w:ascii="仿宋_GB2312" w:hAnsi="仿宋_GB2312" w:cs="仿宋_GB2312" w:eastAsia="仿宋_GB2312"/>
                <w:sz w:val="24"/>
                <w:color w:val="0000FF"/>
              </w:rPr>
              <w:t>3.5数据采集与预处理</w:t>
            </w:r>
          </w:p>
          <w:p>
            <w:pPr>
              <w:pStyle w:val="null3"/>
              <w:ind w:firstLine="400"/>
            </w:pPr>
            <w:r>
              <w:rPr>
                <w:rFonts w:ascii="仿宋_GB2312" w:hAnsi="仿宋_GB2312" w:cs="仿宋_GB2312" w:eastAsia="仿宋_GB2312"/>
                <w:sz w:val="24"/>
                <w:color w:val="0000FF"/>
              </w:rPr>
              <w:t>数据采集与预处理需支持多源数据（治污设施用电数据、在线排放数据、生产状态数据、排污许可证数据）接入，实现数据清洗、标准化及特征提取，关键参数需可</w:t>
            </w:r>
            <w:r>
              <w:rPr>
                <w:rFonts w:ascii="仿宋_GB2312" w:hAnsi="仿宋_GB2312" w:cs="仿宋_GB2312" w:eastAsia="仿宋_GB2312"/>
                <w:sz w:val="24"/>
                <w:color w:val="0000FF"/>
              </w:rPr>
              <w:t>根据行业特性动态调整。</w:t>
            </w:r>
          </w:p>
          <w:p>
            <w:pPr>
              <w:pStyle w:val="null3"/>
              <w:ind w:firstLine="400"/>
            </w:pPr>
            <w:r>
              <w:rPr>
                <w:rFonts w:ascii="仿宋_GB2312" w:hAnsi="仿宋_GB2312" w:cs="仿宋_GB2312" w:eastAsia="仿宋_GB2312"/>
                <w:sz w:val="24"/>
                <w:color w:val="0000FF"/>
              </w:rPr>
              <w:t>3.6 AI结果交互</w:t>
            </w:r>
          </w:p>
          <w:p>
            <w:pPr>
              <w:pStyle w:val="null3"/>
              <w:ind w:firstLine="400"/>
            </w:pPr>
            <w:r>
              <w:rPr>
                <w:rFonts w:ascii="仿宋_GB2312" w:hAnsi="仿宋_GB2312" w:cs="仿宋_GB2312" w:eastAsia="仿宋_GB2312"/>
                <w:sz w:val="24"/>
                <w:color w:val="0000FF"/>
              </w:rPr>
              <w:t>AI结果交互需实现异常线索自动推送至陕西省生态环境执法“锚点”体系四级任务规划管理模块，完成一阶线索信息聚合及任务决策触发，支持执法研判清单生成、现场执法数据支撑及执法结果反馈，全程支撑执法数据闭环；形成“任务规划-异常识别-线索推送-决策指引-执法处置-结果归档”全流程管理。</w:t>
            </w:r>
          </w:p>
          <w:p>
            <w:pPr>
              <w:pStyle w:val="null3"/>
              <w:ind w:firstLine="400"/>
            </w:pPr>
            <w:r>
              <w:rPr>
                <w:rFonts w:ascii="仿宋_GB2312" w:hAnsi="仿宋_GB2312" w:cs="仿宋_GB2312" w:eastAsia="仿宋_GB2312"/>
                <w:sz w:val="24"/>
                <w:color w:val="0000FF"/>
              </w:rPr>
              <w:t>4.监管任务数字化功能提升</w:t>
            </w:r>
          </w:p>
          <w:p>
            <w:pPr>
              <w:pStyle w:val="null3"/>
              <w:ind w:firstLine="400"/>
            </w:pPr>
            <w:r>
              <w:rPr>
                <w:rFonts w:ascii="仿宋_GB2312" w:hAnsi="仿宋_GB2312" w:cs="仿宋_GB2312" w:eastAsia="仿宋_GB2312"/>
                <w:sz w:val="24"/>
                <w:color w:val="0000FF"/>
              </w:rPr>
              <w:t>4.1执法任务精细化建模模块</w:t>
            </w:r>
          </w:p>
          <w:p>
            <w:pPr>
              <w:pStyle w:val="null3"/>
              <w:ind w:firstLine="400"/>
            </w:pPr>
            <w:r>
              <w:rPr>
                <w:rFonts w:ascii="仿宋_GB2312" w:hAnsi="仿宋_GB2312" w:cs="仿宋_GB2312" w:eastAsia="仿宋_GB2312"/>
                <w:sz w:val="24"/>
                <w:color w:val="0000FF"/>
              </w:rPr>
              <w:t>执法任务精细化建模模块需基于监管执法工作大屏，实现监管对象态势数据融合，执法过程实时跟踪、数据与执法人员交互；支持国家-省-市-区（县）四级执法任务、执法人员、执法对象、执法线索、执法装备以双随机及其他复杂场景自动化、结构化抽组聚合，执法任务事前规划、事中指引及事后评价；支持基于“锚点”体系的四级穿透式无感稽查。</w:t>
            </w:r>
          </w:p>
          <w:p>
            <w:pPr>
              <w:pStyle w:val="null3"/>
              <w:ind w:firstLine="400"/>
            </w:pPr>
            <w:r>
              <w:rPr>
                <w:rFonts w:ascii="仿宋_GB2312" w:hAnsi="仿宋_GB2312" w:cs="仿宋_GB2312" w:eastAsia="仿宋_GB2312"/>
                <w:sz w:val="24"/>
                <w:color w:val="0000FF"/>
              </w:rPr>
              <w:t>4.2执法人员履职效能评估模块</w:t>
            </w:r>
          </w:p>
          <w:p>
            <w:pPr>
              <w:pStyle w:val="null3"/>
              <w:ind w:firstLine="400"/>
            </w:pPr>
            <w:r>
              <w:rPr>
                <w:rFonts w:ascii="仿宋_GB2312" w:hAnsi="仿宋_GB2312" w:cs="仿宋_GB2312" w:eastAsia="仿宋_GB2312"/>
                <w:sz w:val="24"/>
                <w:color w:val="0000FF"/>
              </w:rPr>
              <w:t>执法人员履职效能评估模块需包含人员考核达标分析、执法检查足迹展示，支持监管对象精准数据采集及物理建模，与陕西省生态环境执法“锚点”体系三层次生命体空间模型对象实现实时精准映射；室内设施数据采集及多源对象数据采集与建模。</w:t>
            </w:r>
          </w:p>
          <w:p>
            <w:pPr>
              <w:pStyle w:val="null3"/>
              <w:ind w:firstLine="402"/>
            </w:pPr>
            <w:r>
              <w:rPr>
                <w:rFonts w:ascii="仿宋_GB2312" w:hAnsi="仿宋_GB2312" w:cs="仿宋_GB2312" w:eastAsia="仿宋_GB2312"/>
                <w:sz w:val="24"/>
                <w:b/>
                <w:color w:val="0000FF"/>
              </w:rPr>
              <w:t>三、交付要求</w:t>
            </w:r>
          </w:p>
          <w:p>
            <w:pPr>
              <w:pStyle w:val="null3"/>
              <w:ind w:firstLine="400"/>
            </w:pPr>
            <w:r>
              <w:rPr>
                <w:rFonts w:ascii="仿宋_GB2312" w:hAnsi="仿宋_GB2312" w:cs="仿宋_GB2312" w:eastAsia="仿宋_GB2312"/>
                <w:sz w:val="24"/>
                <w:color w:val="0000FF"/>
              </w:rPr>
              <w:t>（一）运维服务要求：</w:t>
            </w:r>
          </w:p>
          <w:p>
            <w:pPr>
              <w:pStyle w:val="null3"/>
              <w:ind w:firstLine="400"/>
            </w:pPr>
            <w:r>
              <w:rPr>
                <w:rFonts w:ascii="仿宋_GB2312" w:hAnsi="仿宋_GB2312" w:cs="仿宋_GB2312" w:eastAsia="仿宋_GB2312"/>
                <w:sz w:val="24"/>
                <w:color w:val="0000FF"/>
              </w:rPr>
              <w:t>1.自系统验收合格之日起，提供365天的运维服务；</w:t>
            </w:r>
          </w:p>
          <w:p>
            <w:pPr>
              <w:pStyle w:val="null3"/>
              <w:ind w:firstLine="400"/>
            </w:pPr>
            <w:r>
              <w:rPr>
                <w:rFonts w:ascii="仿宋_GB2312" w:hAnsi="仿宋_GB2312" w:cs="仿宋_GB2312" w:eastAsia="仿宋_GB2312"/>
                <w:sz w:val="24"/>
                <w:color w:val="0000FF"/>
              </w:rPr>
              <w:t>2.服务保障基础要求：</w:t>
            </w:r>
          </w:p>
          <w:p>
            <w:pPr>
              <w:pStyle w:val="null3"/>
              <w:ind w:firstLine="600"/>
            </w:pPr>
            <w:r>
              <w:rPr>
                <w:rFonts w:ascii="仿宋_GB2312" w:hAnsi="仿宋_GB2312" w:cs="仿宋_GB2312" w:eastAsia="仿宋_GB2312"/>
                <w:sz w:val="24"/>
                <w:color w:val="0000FF"/>
              </w:rPr>
              <w:t>a)提供多种形式支持服务，包含电话、电子邮件、远程连接、支持在线问题反馈等；</w:t>
            </w:r>
          </w:p>
          <w:p>
            <w:pPr>
              <w:pStyle w:val="null3"/>
              <w:ind w:firstLine="600"/>
            </w:pPr>
            <w:r>
              <w:rPr>
                <w:rFonts w:ascii="仿宋_GB2312" w:hAnsi="仿宋_GB2312" w:cs="仿宋_GB2312" w:eastAsia="仿宋_GB2312"/>
                <w:sz w:val="24"/>
                <w:color w:val="0000FF"/>
              </w:rPr>
              <w:t>b)提供技术支持服务，7*24小时的服务响应，支持同城4h、异地12h响应要求，两个工作日解决问题，对于未能解决的问题和故障提供可行的升级方案；</w:t>
            </w:r>
          </w:p>
          <w:p>
            <w:pPr>
              <w:pStyle w:val="null3"/>
              <w:ind w:firstLine="600"/>
            </w:pPr>
            <w:r>
              <w:rPr>
                <w:rFonts w:ascii="仿宋_GB2312" w:hAnsi="仿宋_GB2312" w:cs="仿宋_GB2312" w:eastAsia="仿宋_GB2312"/>
                <w:sz w:val="24"/>
                <w:color w:val="0000FF"/>
              </w:rPr>
              <w:t>c)提供培训材料、产品手册、培训视频等培训相关内容； 使全体人员能熟练地使用应用软件系统。要求提供至少1次的集中培训，培训内容包括业务操作培训和系统维护培训。</w:t>
            </w:r>
          </w:p>
          <w:p>
            <w:pPr>
              <w:pStyle w:val="null3"/>
              <w:ind w:firstLine="600"/>
            </w:pPr>
            <w:r>
              <w:rPr>
                <w:rFonts w:ascii="仿宋_GB2312" w:hAnsi="仿宋_GB2312" w:cs="仿宋_GB2312" w:eastAsia="仿宋_GB2312"/>
                <w:sz w:val="24"/>
                <w:color w:val="0000FF"/>
              </w:rPr>
              <w:t>D）乙方需要提供满足IOT项目运行的基础环境。</w:t>
            </w:r>
          </w:p>
          <w:p>
            <w:pPr>
              <w:pStyle w:val="null3"/>
              <w:ind w:firstLine="600"/>
            </w:pPr>
            <w:r>
              <w:rPr>
                <w:rFonts w:ascii="仿宋_GB2312" w:hAnsi="仿宋_GB2312" w:cs="仿宋_GB2312" w:eastAsia="仿宋_GB2312"/>
                <w:sz w:val="24"/>
                <w:color w:val="0000FF"/>
              </w:rPr>
              <w:t>E）IOT提供一年质保服务。</w:t>
            </w:r>
          </w:p>
          <w:p>
            <w:pPr>
              <w:pStyle w:val="null3"/>
              <w:ind w:firstLine="400"/>
            </w:pPr>
            <w:r>
              <w:rPr>
                <w:rFonts w:ascii="仿宋_GB2312" w:hAnsi="仿宋_GB2312" w:cs="仿宋_GB2312" w:eastAsia="仿宋_GB2312"/>
                <w:sz w:val="24"/>
                <w:color w:val="0000FF"/>
              </w:rPr>
              <w:t>（二）安全要求：</w:t>
            </w:r>
          </w:p>
          <w:p>
            <w:pPr>
              <w:pStyle w:val="null3"/>
              <w:ind w:firstLine="400"/>
            </w:pPr>
            <w:r>
              <w:rPr>
                <w:rFonts w:ascii="仿宋_GB2312" w:hAnsi="仿宋_GB2312" w:cs="仿宋_GB2312" w:eastAsia="仿宋_GB2312"/>
                <w:sz w:val="24"/>
                <w:color w:val="0000FF"/>
              </w:rPr>
              <w:t>投标人须配合等保测评机构对本项目建设内容进行网络安全等级保护二级测评服务，完成对系统安全风险隐患的整改</w:t>
            </w:r>
            <w:r>
              <w:rPr>
                <w:rFonts w:ascii="仿宋_GB2312" w:hAnsi="仿宋_GB2312" w:cs="仿宋_GB2312" w:eastAsia="仿宋_GB2312"/>
                <w:sz w:val="24"/>
                <w:color w:val="0000FF"/>
              </w:rPr>
              <w:t>,依据国家等级保护测评工作标准获得符合要求的《信息系统安全等级测评报告》。</w:t>
            </w:r>
          </w:p>
          <w:p>
            <w:pPr>
              <w:pStyle w:val="null3"/>
              <w:ind w:firstLine="400"/>
            </w:pPr>
            <w:r>
              <w:rPr>
                <w:rFonts w:ascii="仿宋_GB2312" w:hAnsi="仿宋_GB2312" w:cs="仿宋_GB2312" w:eastAsia="仿宋_GB2312"/>
                <w:sz w:val="24"/>
                <w:color w:val="0000FF"/>
              </w:rPr>
              <w:t>（</w:t>
            </w:r>
            <w:r>
              <w:rPr>
                <w:rFonts w:ascii="仿宋_GB2312" w:hAnsi="仿宋_GB2312" w:cs="仿宋_GB2312" w:eastAsia="仿宋_GB2312"/>
                <w:sz w:val="24"/>
                <w:color w:val="0000FF"/>
              </w:rPr>
              <w:t>三</w:t>
            </w:r>
            <w:r>
              <w:rPr>
                <w:rFonts w:ascii="仿宋_GB2312" w:hAnsi="仿宋_GB2312" w:cs="仿宋_GB2312" w:eastAsia="仿宋_GB2312"/>
                <w:sz w:val="24"/>
                <w:color w:val="0000FF"/>
              </w:rPr>
              <w:t>）</w:t>
            </w:r>
            <w:r>
              <w:rPr>
                <w:rFonts w:ascii="仿宋_GB2312" w:hAnsi="仿宋_GB2312" w:cs="仿宋_GB2312" w:eastAsia="仿宋_GB2312"/>
                <w:sz w:val="24"/>
                <w:color w:val="0000FF"/>
              </w:rPr>
              <w:t>中标人</w:t>
            </w:r>
            <w:r>
              <w:rPr>
                <w:rFonts w:ascii="仿宋_GB2312" w:hAnsi="仿宋_GB2312" w:cs="仿宋_GB2312" w:eastAsia="仿宋_GB2312"/>
                <w:sz w:val="24"/>
                <w:color w:val="0000FF"/>
              </w:rPr>
              <w:t>在合同签订后，应完成软件开发系统的需求和陕西省生态环境执法</w:t>
            </w:r>
            <w:r>
              <w:rPr>
                <w:rFonts w:ascii="仿宋_GB2312" w:hAnsi="仿宋_GB2312" w:cs="仿宋_GB2312" w:eastAsia="仿宋_GB2312"/>
                <w:sz w:val="24"/>
                <w:color w:val="0000FF"/>
              </w:rPr>
              <w:t>总队</w:t>
            </w:r>
            <w:r>
              <w:rPr>
                <w:rFonts w:ascii="仿宋_GB2312" w:hAnsi="仿宋_GB2312" w:cs="仿宋_GB2312" w:eastAsia="仿宋_GB2312"/>
                <w:sz w:val="24"/>
                <w:color w:val="0000FF"/>
              </w:rPr>
              <w:t>现有各系统的衔接调研，并形成实质性开发方案，经</w:t>
            </w:r>
            <w:r>
              <w:rPr>
                <w:rFonts w:ascii="仿宋_GB2312" w:hAnsi="仿宋_GB2312" w:cs="仿宋_GB2312" w:eastAsia="仿宋_GB2312"/>
                <w:sz w:val="24"/>
                <w:color w:val="0000FF"/>
              </w:rPr>
              <w:t>采购人</w:t>
            </w:r>
            <w:r>
              <w:rPr>
                <w:rFonts w:ascii="仿宋_GB2312" w:hAnsi="仿宋_GB2312" w:cs="仿宋_GB2312" w:eastAsia="仿宋_GB2312"/>
                <w:sz w:val="24"/>
                <w:color w:val="0000FF"/>
              </w:rPr>
              <w:t>确认完成后方可正式建设交付。</w:t>
            </w:r>
          </w:p>
          <w:p>
            <w:pPr>
              <w:pStyle w:val="null3"/>
            </w:pPr>
            <w:r>
              <w:rPr>
                <w:rFonts w:ascii="仿宋_GB2312" w:hAnsi="仿宋_GB2312" w:cs="仿宋_GB2312" w:eastAsia="仿宋_GB2312"/>
                <w:sz w:val="24"/>
                <w:b/>
                <w:color w:val="0000FF"/>
              </w:rPr>
              <w:t>四、其他要求</w:t>
            </w:r>
          </w:p>
          <w:p>
            <w:pPr>
              <w:pStyle w:val="null3"/>
              <w:ind w:firstLine="400"/>
            </w:pPr>
            <w:r>
              <w:rPr>
                <w:rFonts w:ascii="仿宋_GB2312" w:hAnsi="仿宋_GB2312" w:cs="仿宋_GB2312" w:eastAsia="仿宋_GB2312"/>
                <w:sz w:val="24"/>
                <w:color w:val="0000FF"/>
              </w:rPr>
              <w:t>（一）人员要求</w:t>
            </w:r>
          </w:p>
          <w:p>
            <w:pPr>
              <w:pStyle w:val="null3"/>
              <w:ind w:firstLine="400"/>
            </w:pPr>
            <w:r>
              <w:rPr>
                <w:rFonts w:ascii="仿宋_GB2312" w:hAnsi="仿宋_GB2312" w:cs="仿宋_GB2312" w:eastAsia="仿宋_GB2312"/>
                <w:sz w:val="24"/>
                <w:color w:val="0000FF"/>
              </w:rPr>
              <w:t>投标人应具备完成本项目相应的技术能力，</w:t>
            </w:r>
            <w:r>
              <w:rPr>
                <w:rFonts w:ascii="仿宋_GB2312" w:hAnsi="仿宋_GB2312" w:cs="仿宋_GB2312" w:eastAsia="仿宋_GB2312"/>
                <w:sz w:val="24"/>
                <w:color w:val="0000FF"/>
              </w:rPr>
              <w:t>提供拟投入本项目团队人员管理及配备方案，含驻场支持、运维服务、培训等人员，人员能力结构合理、职责明确，并根据适当情况增加服务人员。</w:t>
            </w:r>
            <w:r>
              <w:rPr>
                <w:rFonts w:ascii="仿宋_GB2312" w:hAnsi="仿宋_GB2312" w:cs="仿宋_GB2312" w:eastAsia="仿宋_GB2312"/>
                <w:sz w:val="24"/>
              </w:rPr>
              <w:t xml:space="preserve"> </w:t>
            </w:r>
          </w:p>
          <w:p>
            <w:pPr>
              <w:pStyle w:val="null3"/>
              <w:ind w:firstLine="400"/>
            </w:pPr>
            <w:r>
              <w:rPr>
                <w:rFonts w:ascii="仿宋_GB2312" w:hAnsi="仿宋_GB2312" w:cs="仿宋_GB2312" w:eastAsia="仿宋_GB2312"/>
                <w:sz w:val="24"/>
                <w:color w:val="0000FF"/>
              </w:rPr>
              <w:t>项目负责人具有一定的技术及管理知识和经验，能很好的执行与完成本项目服务工作，</w:t>
            </w:r>
            <w:r>
              <w:rPr>
                <w:rFonts w:ascii="仿宋_GB2312" w:hAnsi="仿宋_GB2312" w:cs="仿宋_GB2312" w:eastAsia="仿宋_GB2312"/>
                <w:sz w:val="24"/>
                <w:color w:val="0000FF"/>
              </w:rPr>
              <w:t>项目团队人员应取得相应的专业技术资格证。</w:t>
            </w:r>
          </w:p>
          <w:p>
            <w:pPr>
              <w:pStyle w:val="null3"/>
              <w:ind w:firstLine="400"/>
            </w:pPr>
            <w:r>
              <w:rPr>
                <w:rFonts w:ascii="仿宋_GB2312" w:hAnsi="仿宋_GB2312" w:cs="仿宋_GB2312" w:eastAsia="仿宋_GB2312"/>
                <w:sz w:val="24"/>
                <w:color w:val="0000FF"/>
              </w:rPr>
              <w:t>（二）质量保障</w:t>
            </w:r>
          </w:p>
          <w:p>
            <w:pPr>
              <w:pStyle w:val="null3"/>
              <w:ind w:firstLine="400"/>
            </w:pPr>
            <w:r>
              <w:rPr>
                <w:rFonts w:ascii="仿宋_GB2312" w:hAnsi="仿宋_GB2312" w:cs="仿宋_GB2312" w:eastAsia="仿宋_GB2312"/>
                <w:sz w:val="24"/>
                <w:color w:val="0000FF"/>
              </w:rPr>
              <w:t>投标人应建立完善的质量控制体系，确保服务过程和成果符合国家、陕西省及行业相关规定，且内容真实、准确、完整。</w:t>
            </w:r>
          </w:p>
          <w:p>
            <w:pPr>
              <w:pStyle w:val="null3"/>
              <w:ind w:firstLine="400"/>
            </w:pPr>
            <w:r>
              <w:rPr>
                <w:rFonts w:ascii="仿宋_GB2312" w:hAnsi="仿宋_GB2312" w:cs="仿宋_GB2312" w:eastAsia="仿宋_GB2312"/>
                <w:sz w:val="24"/>
                <w:color w:val="0000FF"/>
              </w:rPr>
              <w:t>（三）保密要求</w:t>
            </w:r>
          </w:p>
          <w:p>
            <w:pPr>
              <w:pStyle w:val="null3"/>
              <w:ind w:firstLine="400"/>
            </w:pPr>
            <w:r>
              <w:rPr>
                <w:rFonts w:ascii="仿宋_GB2312" w:hAnsi="仿宋_GB2312" w:cs="仿宋_GB2312" w:eastAsia="仿宋_GB2312"/>
                <w:sz w:val="24"/>
                <w:color w:val="0000FF"/>
              </w:rPr>
              <w:t>投标人需严格遵守国家保密法律法规及省市相关保密规定，对服务过程中接触的敏感信息和数据履行保密义务，不得泄露或用于其他用途。服务商在开展服务前需签订保密协议。</w:t>
            </w:r>
          </w:p>
          <w:p>
            <w:pPr>
              <w:pStyle w:val="null3"/>
            </w:pPr>
            <w:r>
              <w:rPr>
                <w:rFonts w:ascii="仿宋_GB2312" w:hAnsi="仿宋_GB2312" w:cs="仿宋_GB2312" w:eastAsia="仿宋_GB2312"/>
                <w:sz w:val="24"/>
                <w:b/>
                <w:color w:val="0000FF"/>
              </w:rPr>
              <w:t>五、需要由供应商提供的服务方案、设计方案、解决方案或者组织方案</w:t>
            </w:r>
          </w:p>
          <w:p>
            <w:pPr>
              <w:pStyle w:val="null3"/>
              <w:ind w:firstLine="400"/>
            </w:pPr>
            <w:r>
              <w:rPr>
                <w:rFonts w:ascii="仿宋_GB2312" w:hAnsi="仿宋_GB2312" w:cs="仿宋_GB2312" w:eastAsia="仿宋_GB2312"/>
                <w:sz w:val="24"/>
                <w:color w:val="0000FF"/>
              </w:rPr>
              <w:t>1、需求理解、重点难点分析及解决方案</w:t>
            </w:r>
          </w:p>
          <w:p>
            <w:pPr>
              <w:pStyle w:val="null3"/>
              <w:ind w:firstLine="400"/>
            </w:pPr>
            <w:r>
              <w:rPr>
                <w:rFonts w:ascii="仿宋_GB2312" w:hAnsi="仿宋_GB2312" w:cs="仿宋_GB2312" w:eastAsia="仿宋_GB2312"/>
                <w:sz w:val="24"/>
                <w:color w:val="0000FF"/>
              </w:rPr>
              <w:t>投标人应针对本项目实际情况结合过往经验分析并指出项目实施过程中潜在的困难点、风险点，并能够给出妥善的解决方案。</w:t>
            </w:r>
          </w:p>
          <w:p>
            <w:pPr>
              <w:pStyle w:val="null3"/>
              <w:ind w:firstLine="400"/>
            </w:pPr>
            <w:r>
              <w:rPr>
                <w:rFonts w:ascii="仿宋_GB2312" w:hAnsi="仿宋_GB2312" w:cs="仿宋_GB2312" w:eastAsia="仿宋_GB2312"/>
                <w:sz w:val="24"/>
                <w:color w:val="0000FF"/>
              </w:rPr>
              <w:t>2、总体设计方案</w:t>
            </w:r>
          </w:p>
          <w:p>
            <w:pPr>
              <w:pStyle w:val="null3"/>
              <w:ind w:firstLine="400"/>
            </w:pPr>
            <w:r>
              <w:rPr>
                <w:rFonts w:ascii="仿宋_GB2312" w:hAnsi="仿宋_GB2312" w:cs="仿宋_GB2312" w:eastAsia="仿宋_GB2312"/>
                <w:sz w:val="24"/>
                <w:color w:val="0000FF"/>
              </w:rPr>
              <w:t>投标人应针对本项目服务内容提供总体设计方案，包括但不限于建设思路和技术路线，总体架构，数据架构，部署架构等内容。</w:t>
            </w:r>
          </w:p>
          <w:p>
            <w:pPr>
              <w:pStyle w:val="null3"/>
              <w:ind w:firstLine="400"/>
            </w:pPr>
            <w:r>
              <w:rPr>
                <w:rFonts w:ascii="仿宋_GB2312" w:hAnsi="仿宋_GB2312" w:cs="仿宋_GB2312" w:eastAsia="仿宋_GB2312"/>
                <w:sz w:val="24"/>
                <w:color w:val="0000FF"/>
              </w:rPr>
              <w:t>3、应用系统设计方案</w:t>
            </w:r>
          </w:p>
          <w:p>
            <w:pPr>
              <w:pStyle w:val="null3"/>
              <w:ind w:firstLine="400"/>
            </w:pPr>
            <w:r>
              <w:rPr>
                <w:rFonts w:ascii="仿宋_GB2312" w:hAnsi="仿宋_GB2312" w:cs="仿宋_GB2312" w:eastAsia="仿宋_GB2312"/>
                <w:sz w:val="24"/>
                <w:color w:val="0000FF"/>
              </w:rPr>
              <w:t>投标人应针对本项目服务内容提供详细的应用系统设计方案，内容完全满足本项目需求，方案内容详实、合理、可行性高。</w:t>
            </w:r>
          </w:p>
          <w:p>
            <w:pPr>
              <w:pStyle w:val="null3"/>
              <w:ind w:firstLine="400"/>
            </w:pPr>
            <w:r>
              <w:rPr>
                <w:rFonts w:ascii="仿宋_GB2312" w:hAnsi="仿宋_GB2312" w:cs="仿宋_GB2312" w:eastAsia="仿宋_GB2312"/>
                <w:sz w:val="24"/>
                <w:color w:val="0000FF"/>
              </w:rPr>
              <w:t>4、实施方案</w:t>
            </w:r>
          </w:p>
          <w:p>
            <w:pPr>
              <w:pStyle w:val="null3"/>
              <w:ind w:firstLine="400"/>
            </w:pPr>
            <w:r>
              <w:rPr>
                <w:rFonts w:ascii="仿宋_GB2312" w:hAnsi="仿宋_GB2312" w:cs="仿宋_GB2312" w:eastAsia="仿宋_GB2312"/>
                <w:sz w:val="24"/>
                <w:color w:val="0000FF"/>
              </w:rPr>
              <w:t>根据投标人针对本项目服务内容提供周密详细的建设实施方案。</w:t>
            </w:r>
          </w:p>
          <w:p>
            <w:pPr>
              <w:pStyle w:val="null3"/>
              <w:ind w:firstLine="400"/>
            </w:pPr>
            <w:r>
              <w:rPr>
                <w:rFonts w:ascii="仿宋_GB2312" w:hAnsi="仿宋_GB2312" w:cs="仿宋_GB2312" w:eastAsia="仿宋_GB2312"/>
                <w:sz w:val="24"/>
                <w:color w:val="0000FF"/>
              </w:rPr>
              <w:t>5、售后服务方案</w:t>
            </w:r>
          </w:p>
          <w:p>
            <w:pPr>
              <w:pStyle w:val="null3"/>
              <w:ind w:firstLine="400"/>
            </w:pPr>
            <w:r>
              <w:rPr>
                <w:rFonts w:ascii="仿宋_GB2312" w:hAnsi="仿宋_GB2312" w:cs="仿宋_GB2312" w:eastAsia="仿宋_GB2312"/>
                <w:sz w:val="24"/>
                <w:color w:val="0000FF"/>
              </w:rPr>
              <w:t>投标人结合采购人的实际情况提供完善的售后服务方案。</w:t>
            </w:r>
          </w:p>
          <w:p>
            <w:pPr>
              <w:pStyle w:val="null3"/>
              <w:ind w:firstLine="400"/>
            </w:pPr>
            <w:r>
              <w:rPr>
                <w:rFonts w:ascii="仿宋_GB2312" w:hAnsi="仿宋_GB2312" w:cs="仿宋_GB2312" w:eastAsia="仿宋_GB2312"/>
                <w:sz w:val="24"/>
                <w:color w:val="0000FF"/>
              </w:rPr>
              <w:t>6、应急保障组织方案</w:t>
            </w:r>
          </w:p>
          <w:p>
            <w:pPr>
              <w:pStyle w:val="null3"/>
              <w:ind w:firstLine="400"/>
            </w:pPr>
            <w:r>
              <w:rPr>
                <w:rFonts w:ascii="仿宋_GB2312" w:hAnsi="仿宋_GB2312" w:cs="仿宋_GB2312" w:eastAsia="仿宋_GB2312"/>
                <w:sz w:val="24"/>
                <w:color w:val="0000FF"/>
              </w:rPr>
              <w:t>供应商应制定合理可行的应急保障组织方案，通过优化组织程序，提高不可预见事件的处理效率、加强控制保障等多种手段，确保项目顺利进行。</w:t>
            </w:r>
          </w:p>
          <w:p>
            <w:pPr>
              <w:pStyle w:val="null3"/>
              <w:ind w:firstLine="400"/>
            </w:pPr>
            <w:r>
              <w:rPr>
                <w:rFonts w:ascii="仿宋_GB2312" w:hAnsi="仿宋_GB2312" w:cs="仿宋_GB2312" w:eastAsia="仿宋_GB2312"/>
                <w:sz w:val="24"/>
                <w:color w:val="0000FF"/>
              </w:rPr>
              <w:t>7、服务承诺</w:t>
            </w:r>
          </w:p>
          <w:p>
            <w:pPr>
              <w:pStyle w:val="null3"/>
              <w:ind w:firstLine="400"/>
            </w:pPr>
            <w:r>
              <w:rPr>
                <w:rFonts w:ascii="仿宋_GB2312" w:hAnsi="仿宋_GB2312" w:cs="仿宋_GB2312" w:eastAsia="仿宋_GB2312"/>
                <w:sz w:val="24"/>
                <w:color w:val="0000FF"/>
              </w:rPr>
              <w:t>针对本项目服务工作中的常见质量和服务问题进行梳理，投标人可根据自身情况对服务标准、过程管理、质量保证、人员培训、后续服务等方面作出有利于本项目开展的承诺。</w:t>
            </w:r>
          </w:p>
          <w:p>
            <w:pPr>
              <w:pStyle w:val="null3"/>
              <w:ind w:firstLine="400"/>
            </w:pPr>
            <w:r>
              <w:rPr>
                <w:rFonts w:ascii="仿宋_GB2312" w:hAnsi="仿宋_GB2312" w:cs="仿宋_GB2312" w:eastAsia="仿宋_GB2312"/>
                <w:sz w:val="24"/>
                <w:color w:val="0000FF"/>
              </w:rPr>
              <w:t>8、保密措施解决方案</w:t>
            </w:r>
          </w:p>
          <w:p>
            <w:pPr>
              <w:pStyle w:val="null3"/>
              <w:jc w:val="both"/>
            </w:pPr>
            <w:r>
              <w:rPr>
                <w:rFonts w:ascii="仿宋_GB2312" w:hAnsi="仿宋_GB2312" w:cs="仿宋_GB2312" w:eastAsia="仿宋_GB2312"/>
                <w:sz w:val="24"/>
                <w:color w:val="0000FF"/>
              </w:rPr>
              <w:t>供应商应制定合理保密措施解决方案，确保项目团队对项目执行中所获知信息保密。本项目所形成的数据成果归采购人所有。未经采购人同意，供应商不得以商业目的使用该资料或者开发和生产其他产品。</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投标人应提供满足本项目服务需求的人员配置，具体详见3.2.2服务要求。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投标人应提供满足本项目服务需求的设施设备，本项目如有配套工具采购，最终归采购人所有和保管使用。在本项目验收完成后，由中标人配合采购人完成清单交付，具体详见3.2.2服务要求。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由采购人自行组织验收。验收标准符合国家及行业相关标准及招标文件要求。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合同签订后，乙方向甲方开具相应额度增值税发票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乙方完成软件开发系统的调研，并形成实质性开发方案，经甲方确认完成后，开具剩余相应额度的增值税发票，并提供合同总金额的5%履约保函（基本户银行保函）</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乙方完成系统部署上线，并通过甲方验收后, 提出付款申请，并开具剩余相应额度的增值税发票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投标人在保证金缴付过程中需备注xxxx项目简称+保证金。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1-资格证明文件.docx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1-资格证明文件.docx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（1）本采购包专门面向中小企业采购。服务全部由符合政策要求的中小企业承接。中小企业参加政府采购活动，应当出具政策规定的《中小企业声明函》。 （2）《关于在政府采购活动中查询及使用信用记录有关问题的通知》（财库〔2016〕125号）； （3）《政府采购促进中小企业发展管理办法》（财库〔2020〕46号）、《关于进一步加大政府采购支持中小企业力度的通知》（财库〔2022〕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 号）、陕西省财政厅关于印发《陕西省中小企业政府采购信用融资办法》（陕财办采〔2018〕23 号）； （6）如有颁布最新的政策，以最新已生效的政策为准。</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按照招标文件的规定提交投标保证金的（如有设置）</w:t>
            </w:r>
          </w:p>
        </w:tc>
        <w:tc>
          <w:tcPr>
            <w:tcW w:type="dxa" w:w="1661"/>
          </w:tcPr>
          <w:p>
            <w:pPr>
              <w:pStyle w:val="null3"/>
            </w:pPr>
            <w:r>
              <w:rPr>
                <w:rFonts w:ascii="仿宋_GB2312" w:hAnsi="仿宋_GB2312" w:cs="仿宋_GB2312" w:eastAsia="仿宋_GB2312"/>
              </w:rPr>
              <w:t>7-投标保证金缴纳凭证.docx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开标一览表 4-评分细则相应的商务技术资料.docx 6-政府采购拒绝商业贿赂书.docx 中小企业声明函 残疾人福利性单位声明函 3-商务技术偏离表.docx 标的清单 投标文件封面 1-资格证明文件.docx 2-分项报价明细表.docx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报价未超过招标文件中规定的预算金额或者最高限价的</w:t>
            </w:r>
          </w:p>
        </w:tc>
        <w:tc>
          <w:tcPr>
            <w:tcW w:type="dxa" w:w="1661"/>
          </w:tcPr>
          <w:p>
            <w:pPr>
              <w:pStyle w:val="null3"/>
            </w:pPr>
            <w:r>
              <w:rPr>
                <w:rFonts w:ascii="仿宋_GB2312" w:hAnsi="仿宋_GB2312" w:cs="仿宋_GB2312" w:eastAsia="仿宋_GB2312"/>
              </w:rPr>
              <w:t>开标一览表 标的清单 2-分项报价明细表.docx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投标文件中承诺的投标有效期不少于招标文件载明的投标有效期的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投标文件符合法律、法规和招标文件中标注 “★”的实质性条款要求的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投标人提供针对项目总体设计方案，至少应包括：①项目需求理解、重难点分析；②建设思路和技术路线；③总体架构；④数据架构；⑤部署架构。包含但不限于上述全部内容，且方案详细，清晰有利于项目的得满分(如有缺陷或不足在此分数基础上进行扣分)，以上5项中： (1)每有1项缺失或内容无法满足项目需求的扣3分； (2)有1项中内容存在缺陷或不足(是指内容方案缺少关键点；对同一问题前后表述矛盾；存在逻辑漏洞、科学原理或常识错误；不利于本项日采购目标实现等任意一种情形)扣2分；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应用设计方案</w:t>
            </w:r>
          </w:p>
        </w:tc>
        <w:tc>
          <w:tcPr>
            <w:tcW w:type="dxa" w:w="2492"/>
          </w:tcPr>
          <w:p>
            <w:pPr>
              <w:pStyle w:val="null3"/>
            </w:pPr>
            <w:r>
              <w:rPr>
                <w:rFonts w:ascii="仿宋_GB2312" w:hAnsi="仿宋_GB2312" w:cs="仿宋_GB2312" w:eastAsia="仿宋_GB2312"/>
              </w:rPr>
              <w:t>投标人提供针对项目的应用设计方案，至少应包括：①执法装备数融管理平台设计方案；② AI+数智监管执法应用设计方案；③监管任务数字化功能提升设计方案。 包含但不限于上述全部内容，且方案详细，清晰有利于项目的得满分(如有缺陷或不足在此分数基础上进行扣分)，以上3项中： (1)每有1项缺失或内容无法满足项目需求的扣5分； (2)有1项中内容存在缺陷或不足(是指内容方案缺少关键点；对同一问题前后表述矛盾；存在逻辑漏洞、科学原理或常识错误；不利于本项日采购目标实现等任意一种情形)扣3分；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交付实施方案</w:t>
            </w:r>
          </w:p>
        </w:tc>
        <w:tc>
          <w:tcPr>
            <w:tcW w:type="dxa" w:w="2492"/>
          </w:tcPr>
          <w:p>
            <w:pPr>
              <w:pStyle w:val="null3"/>
            </w:pPr>
            <w:r>
              <w:rPr>
                <w:rFonts w:ascii="仿宋_GB2312" w:hAnsi="仿宋_GB2312" w:cs="仿宋_GB2312" w:eastAsia="仿宋_GB2312"/>
              </w:rPr>
              <w:t>投标人提供针对项目的交付实施方案，至少应包括： ①测试、上线使用方案；②项目实施进度计划；③应急保障方案；④运行维护服务方案；⑤风险防范及保密措施。包含但不限于上述全部内容，且方案详细，清晰有利于项目的得满分(如有缺陷或不足在此分数基础上进行扣分)，以上5项中： (1)每有1项缺失或内容无法满足项目需求的扣5分； (2)有1项中内容存在缺陷或不足(是指内容方案缺少关键点；对同一问题前后表述矛盾；存在逻辑漏洞、科学原理或常识错误；不利于本项日采购目标实现等任意一种情形)扣3分；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项目质量管理</w:t>
            </w:r>
          </w:p>
        </w:tc>
        <w:tc>
          <w:tcPr>
            <w:tcW w:type="dxa" w:w="2492"/>
          </w:tcPr>
          <w:p>
            <w:pPr>
              <w:pStyle w:val="null3"/>
            </w:pPr>
            <w:r>
              <w:rPr>
                <w:rFonts w:ascii="仿宋_GB2312" w:hAnsi="仿宋_GB2312" w:cs="仿宋_GB2312" w:eastAsia="仿宋_GB2312"/>
              </w:rPr>
              <w:t>投标人提供针对项目的项目质量保证措施，至少应包括：①质量保障措施；②质量检查措施；③质量管理体系建设及证明文件。包含但不限于上述全部内容，且方案详细，清晰有利于项目的得满分。(如有缺陷或不足在此分数基础上进行扣分)，以上3项中： (1)每有1项缺失或内容无法满足项目需求的扣3分； (2)有1项中内容存在缺陷或不足(是指内容方案缺少关键点；对同一问题前后表述矛盾；存在逻辑漏洞、科学原理或常识错误；不利于本项日采购目标实现等任意一种情形)扣2分；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投标人提供拟投入本项目团队人员配置清单或人员配置承诺函，其中团队人员： （1）项目负责人具有计算机相关高级技术职称计3分；中级技术职称计2分，其他不计分。 （2）团队人员（负责人除外）中具有以下证书： ①信息系统项目管理师； ②网络工程师； ③信息安全工程师； ④系统集成项目管理工程师； ⑤软件设计师； 每有1人得1分，本项最高得5分，以上人员可重复得分。 投标人仅提供团队人员配置承诺函未提供证明材料的，本项最高得1分，满分8分。 注：投标文件应提供上述人员有效职称证或资格证书复印件、投标截止日前六个月任意一个月任意类别社保缴纳证明文件，未提供或提供不全不得分。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针对本项目服务工作中的常见质量和服务问题进行梳理，投标人可根据自身情况对服务标准、过程管理、质量保证、后续服务等方面作出有利于本项目开展的承诺，每提供1条有效承诺，得1分，满分3分。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项目经验</w:t>
            </w:r>
          </w:p>
        </w:tc>
        <w:tc>
          <w:tcPr>
            <w:tcW w:type="dxa" w:w="2492"/>
          </w:tcPr>
          <w:p>
            <w:pPr>
              <w:pStyle w:val="null3"/>
            </w:pPr>
            <w:r>
              <w:rPr>
                <w:rFonts w:ascii="仿宋_GB2312" w:hAnsi="仿宋_GB2312" w:cs="仿宋_GB2312" w:eastAsia="仿宋_GB2312"/>
              </w:rPr>
              <w:t>投标人提供2022年1月1日至投标截止日期承接的类似项目业绩，每份合格业绩计2分，最高得10分； 备注：需提供业绩合同证明材料（至少应包含内容关键页、签订日期与签章页），未提供或无法辨识的不得分。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根据财政部令第87号《政府采购货物和服务招标投标管理办法》，综合评分法中的价格分统一采用低价优先法计算，即满足招标文件要求且投标价格最低的投标报价为评标基准价，其价格分为满分。其他投标人的价格分统一按照下列公式计算： 投标报价得分=(评标基准价／投标报价)×15， 2.若落实政府采购政策的，以享受政策调整后的价格参与评审。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详见附件：6-政府采购拒绝商业贿赂书.docx</w:t>
      </w:r>
    </w:p>
    <w:p>
      <w:pPr>
        <w:pStyle w:val="null3"/>
        <w:ind w:firstLine="960"/>
      </w:pPr>
      <w:r>
        <w:rPr>
          <w:rFonts w:ascii="仿宋_GB2312" w:hAnsi="仿宋_GB2312" w:cs="仿宋_GB2312" w:eastAsia="仿宋_GB2312"/>
        </w:rPr>
        <w:t>详见附件：7-投标保证金缴纳凭证.docx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详见附件：5-拟签订的合同文本.docx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