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版本号：ZFFZ-2025-152.2B120251027001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陕西项目管理服务数字化平台扩建（重点项目“四个一批”管理系统建设）项目第三方审计(二次)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ZFFZ-2025-152.2B1</w:t>
      </w:r>
      <w:r>
        <w:br/>
      </w:r>
      <w:r>
        <w:br/>
      </w:r>
      <w:r>
        <w:br/>
      </w:r>
    </w:p>
    <w:p>
      <w:pPr>
        <w:pStyle w:val="null3"/>
        <w:jc w:val="center"/>
        <w:outlineLvl w:val="2"/>
      </w:pPr>
      <w:r>
        <w:rPr>
          <w:rFonts w:ascii="仿宋_GB2312" w:hAnsi="仿宋_GB2312" w:cs="仿宋_GB2312" w:eastAsia="仿宋_GB2312"/>
          <w:sz w:val="28"/>
          <w:b/>
        </w:rPr>
        <w:t>陕西省发展和改革委员会机关</w:t>
      </w:r>
    </w:p>
    <w:p>
      <w:pPr>
        <w:pStyle w:val="null3"/>
        <w:jc w:val="center"/>
        <w:outlineLvl w:val="2"/>
      </w:pPr>
      <w:r>
        <w:rPr>
          <w:rFonts w:ascii="仿宋_GB2312" w:hAnsi="仿宋_GB2312" w:cs="仿宋_GB2312" w:eastAsia="仿宋_GB2312"/>
          <w:sz w:val="28"/>
          <w:b/>
        </w:rPr>
        <w:t>陕西中发项目管理发展有限公司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2025年10月27日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陕西中发项目管理发展有限公司</w:t>
      </w:r>
      <w:r>
        <w:rPr>
          <w:rFonts w:ascii="仿宋_GB2312" w:hAnsi="仿宋_GB2312" w:cs="仿宋_GB2312" w:eastAsia="仿宋_GB2312"/>
        </w:rPr>
        <w:t>（以下简称“代理机构”）受</w:t>
      </w:r>
      <w:r>
        <w:rPr>
          <w:rFonts w:ascii="仿宋_GB2312" w:hAnsi="仿宋_GB2312" w:cs="仿宋_GB2312" w:eastAsia="仿宋_GB2312"/>
        </w:rPr>
        <w:t>陕西省发展和改革委员会机关</w:t>
      </w:r>
      <w:r>
        <w:rPr>
          <w:rFonts w:ascii="仿宋_GB2312" w:hAnsi="仿宋_GB2312" w:cs="仿宋_GB2312" w:eastAsia="仿宋_GB2312"/>
        </w:rPr>
        <w:t>委托，拟对</w:t>
      </w:r>
      <w:r>
        <w:rPr>
          <w:rFonts w:ascii="仿宋_GB2312" w:hAnsi="仿宋_GB2312" w:cs="仿宋_GB2312" w:eastAsia="仿宋_GB2312"/>
        </w:rPr>
        <w:t>陕西项目管理服务数字化平台扩建（重点项目“四个一批”管理系统建设）项目第三方审计(二次)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ZFFZ-2025-152.2B1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陕西项目管理服务数字化平台扩建（重点项目“四个一批”管理系统建设）项目第三方审计(二次)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委托第三方开展陕西项目管理服务数字化平台扩建（重点项目“四个一批”管理系统建设）项目。建设内容涉及陕西项目管理服务数字化平台扩建（重点项目“四个一批”管理系统建设）项目建设和系统对接两方面。主要功能或目标:建设重点项目“四个一批”全生命周期管理系统，实现从项目前期谋划、储备推进到开工建设、竣工投产的全过程动态监测和精细化管理。通过强化要素资源保障、加强项目调度、完善督导考核、实现问题闭环解决，提高项目管理向数字化、智能化水平，推动重点项目建设提速增效，为全省经济社会高质量发展提供坚实支撑。需满足的要求:1.陕西项目管理服务数字化平台扩建（重点项目“四个一批”管理系统建设）项目建设。建设“谋划一批、储备一批、开工一批、投产一批”项目管理、年度建设项目管理、五年规划重大项目管理、招商引资签约项目管理、要素保障管理、项目考核评价等模块，实现项目调度、项目档案、项目地图、指挥中心（数据智屏）、数据统计分析、进展跟踪、领导批示反馈、问题协调等功能，提升项目服务管理的精准性、及时性和有效性。2.系统对接。与陕西省投资项目在线审批监管平台、与地市7家系统完成对接；具备标准化接口，能够支撑其他应用对接。本次采购内容为陕西项目管理服务数字化平台扩建（重点项目“四个一批”管理系统建设）项目第三方审计。</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采购包1（第三方审计）：属于专门面向中小企业采购。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财务状况报告：提供经审计的2023年度或2024年度的财务报告或提交响应文件截止时间前六个月内其基本账户开户银行出具的资信证明（附开户许可证或开户备案证明）；其他组织和自然人提供银行出具的资信证明或财务报表；</w:t>
      </w:r>
    </w:p>
    <w:p>
      <w:pPr>
        <w:pStyle w:val="null3"/>
      </w:pPr>
      <w:r>
        <w:rPr>
          <w:rFonts w:ascii="仿宋_GB2312" w:hAnsi="仿宋_GB2312" w:cs="仿宋_GB2312" w:eastAsia="仿宋_GB2312"/>
        </w:rPr>
        <w:t>3、税收缴纳证明：提供响应文件递交截止日前一年内已缴存的至少一个月的纳税证明或完税证明，依法免税的供应商提供相关文件证明；</w:t>
      </w:r>
    </w:p>
    <w:p>
      <w:pPr>
        <w:pStyle w:val="null3"/>
      </w:pPr>
      <w:r>
        <w:rPr>
          <w:rFonts w:ascii="仿宋_GB2312" w:hAnsi="仿宋_GB2312" w:cs="仿宋_GB2312" w:eastAsia="仿宋_GB2312"/>
        </w:rPr>
        <w:t>4、社会保障资金缴纳证明：提供响应文件递交截止日前一年内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书面声明：参加本次政府采购活动前三年内在经营活动中没有重大违纪，以及未被列入失信被执行人、重大税收违法案件当事人名单、政府采购严重违法失信行为记录名单的书面声明；本项目拒绝被列入失信被执行人、重大税收违法案件当事人名单、政府采购严重违法失信行为的投标人参与；</w:t>
      </w:r>
    </w:p>
    <w:p>
      <w:pPr>
        <w:pStyle w:val="null3"/>
      </w:pPr>
      <w:r>
        <w:rPr>
          <w:rFonts w:ascii="仿宋_GB2312" w:hAnsi="仿宋_GB2312" w:cs="仿宋_GB2312" w:eastAsia="仿宋_GB2312"/>
        </w:rPr>
        <w:t>6、承诺书：具有履行合同所必须的设备和专业技术能力的说明及承诺；</w:t>
      </w:r>
    </w:p>
    <w:p>
      <w:pPr>
        <w:pStyle w:val="null3"/>
      </w:pPr>
      <w:r>
        <w:rPr>
          <w:rFonts w:ascii="仿宋_GB2312" w:hAnsi="仿宋_GB2312" w:cs="仿宋_GB2312" w:eastAsia="仿宋_GB2312"/>
        </w:rPr>
        <w:t>7、法定代表人授权书：供应商应授权合法的人员参加磋商，其中法定代表人直接参加的，须出具法定代表人证明书；被授权代表参加的，须出具法定代表人授权书；</w:t>
      </w:r>
    </w:p>
    <w:p>
      <w:pPr>
        <w:pStyle w:val="null3"/>
      </w:pPr>
      <w:r>
        <w:rPr>
          <w:rFonts w:ascii="仿宋_GB2312" w:hAnsi="仿宋_GB2312" w:cs="仿宋_GB2312" w:eastAsia="仿宋_GB2312"/>
        </w:rPr>
        <w:t>8、直接控股、管理关系：单位负责人为同一人或存在直接控股、管理关系的不同单位，不得同时参加本项目投标活动。</w:t>
      </w:r>
    </w:p>
    <w:p>
      <w:pPr>
        <w:pStyle w:val="null3"/>
      </w:pPr>
      <w:r>
        <w:rPr>
          <w:rFonts w:ascii="仿宋_GB2312" w:hAnsi="仿宋_GB2312" w:cs="仿宋_GB2312" w:eastAsia="仿宋_GB2312"/>
        </w:rPr>
        <w:t>9、供应商资质：供应商具备会计师事务所执业证书；</w:t>
      </w:r>
    </w:p>
    <w:p>
      <w:pPr>
        <w:pStyle w:val="null3"/>
      </w:pPr>
      <w:r>
        <w:rPr>
          <w:rFonts w:ascii="仿宋_GB2312" w:hAnsi="仿宋_GB2312" w:cs="仿宋_GB2312" w:eastAsia="仿宋_GB2312"/>
        </w:rPr>
        <w:t>10、联合体要求：本项目不接受联合体投标。</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陕西省发展和改革委员会机关</w:t>
      </w:r>
    </w:p>
    <w:p>
      <w:pPr>
        <w:pStyle w:val="null3"/>
      </w:pPr>
      <w:r>
        <w:rPr>
          <w:rFonts w:ascii="仿宋_GB2312" w:hAnsi="仿宋_GB2312" w:cs="仿宋_GB2312" w:eastAsia="仿宋_GB2312"/>
        </w:rPr>
        <w:t xml:space="preserve"> 地址： </w:t>
      </w:r>
      <w:r>
        <w:rPr>
          <w:rFonts w:ascii="仿宋_GB2312" w:hAnsi="仿宋_GB2312" w:cs="仿宋_GB2312" w:eastAsia="仿宋_GB2312"/>
        </w:rPr>
        <w:t>新城大院</w:t>
      </w:r>
    </w:p>
    <w:p>
      <w:pPr>
        <w:pStyle w:val="null3"/>
      </w:pPr>
      <w:r>
        <w:rPr>
          <w:rFonts w:ascii="仿宋_GB2312" w:hAnsi="仿宋_GB2312" w:cs="仿宋_GB2312" w:eastAsia="仿宋_GB2312"/>
        </w:rPr>
        <w:t xml:space="preserve"> 邮编： </w:t>
      </w:r>
      <w:r>
        <w:rPr>
          <w:rFonts w:ascii="仿宋_GB2312" w:hAnsi="仿宋_GB2312" w:cs="仿宋_GB2312" w:eastAsia="仿宋_GB2312"/>
        </w:rPr>
        <w:t xml:space="preserve"> 710004</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陕西省发展和改革委员会机关经办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15229353367</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陕西中发项目管理发展有限公司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 xml:space="preserve"> 陕西省西安市碑林区和平路108号佳腾大厦10901</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 xml:space="preserve"> 刘正琴、王婉思、刘超瑛、宋潇</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029-88660760，18700591352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采购包1：31,226.00元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代理服务费收费标准：固定价：3000元整</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陕西省发展和改革委员会机关</w:t>
      </w:r>
      <w:r>
        <w:rPr>
          <w:rFonts w:ascii="仿宋_GB2312" w:hAnsi="仿宋_GB2312" w:cs="仿宋_GB2312" w:eastAsia="仿宋_GB2312"/>
        </w:rPr>
        <w:t>和</w:t>
      </w:r>
      <w:r>
        <w:rPr>
          <w:rFonts w:ascii="仿宋_GB2312" w:hAnsi="仿宋_GB2312" w:cs="仿宋_GB2312" w:eastAsia="仿宋_GB2312"/>
        </w:rPr>
        <w:t>陕西中发项目管理发展有限公司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陕西省发展和改革委员会机关</w:t>
      </w:r>
      <w:r>
        <w:rPr>
          <w:rFonts w:ascii="仿宋_GB2312" w:hAnsi="仿宋_GB2312" w:cs="仿宋_GB2312" w:eastAsia="仿宋_GB2312"/>
        </w:rPr>
        <w:t>负责解释。除上述磋商文件内容，其他内容由</w:t>
      </w:r>
      <w:r>
        <w:rPr>
          <w:rFonts w:ascii="仿宋_GB2312" w:hAnsi="仿宋_GB2312" w:cs="仿宋_GB2312" w:eastAsia="仿宋_GB2312"/>
        </w:rPr>
        <w:t>陕西中发项目管理发展有限公司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陕西省发展和改革委员会机关</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陕西中发项目管理发展有限公司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履约验收内容 1.项目建设周期验收 核查项目实际完工时间是否在合同约定的 “签订合同后 9 个月内”，确认无逾期或未经甲方同意的延期情况，如需延期需提供双方确认的延期协议。 2.服务内容与质量验收 交付服务一致性核查：对照投标文件、招标文件及合同约定，验收乙方交付的服务内容、数量是否完全相符，无缩减或未履约情况。 技术支持与服务响应验收： 检查乙方是否提供符合合同要求的售后服务方案（含故障处理、应急响应、例行巡检措施及组织结构），是否指定专门接口人员并响应甲方技术要求。 测试服务响应时效：模拟系统异常，验证是否满足 “5 分钟内电话响应、1 小时内安排专人到达现场、12 小时内解决问题” 的约定，核查过往故障处理记录及甲方反馈。 维保服务验收： 确认乙方是否按合同提供 “自项目验收通过之日起 1 年免费售后服务”，包括软件调试、日常维护、技术培训及免费升级服务，核查维保记录及人员配置（数量、构成、能力、资质）是否符合承诺。 验证质量保证期内故障维修响应时间（≤1 小时）及工程师现场抵达时间（≤12 小时），确认维修费用由乙方承担，无推诿或延迟维修情况（需提供售后服务承诺书）。 3.项目质量与验收合规性验收 系统质量验收：由甲乙双方共同按合同约定验收系统质量，确认系统完全符合合同规定的质量、规格要求，技术指标、性能参数达到现行国家验收规范 “合格” 标准，逐项核对无偏差。 验收流程与标准合规性： 核查验收过程是否严格按照 “陕政数据〔2023〕6 号文” 及合同约定执行，验收依据（合同文本、投标文件及澄清函、招标文件、系统验收清单）齐全有效。 检查验收单是否在验收合格后由双方签字确认，验收不合格情况的处理（乙方无条件免费更换或退货）是否执行到位，无未整改的不合格项。 4.知识产权与成果交付验收 确认软件成果知识产权归属甲方，乙方已按合同约定提交原代码，且原代码完整、可正常使用，无知识产权瑕疵。 核查乙方是否保障甲方在境内使用货物及服务时免受第三方知识产权侵权起诉，如有相关纠纷，确认乙方已承担全部法律责任和费用，未影响甲方正常使用。 5.双方权利义务履行情况验收 甲方义务履行核查：确认甲方已按合同提供必要工作配合、监督乙方服务质量，并按约定支付采购费用，无违约未履行义务情况。 乙方义务履行核查： 确认乙方签订合同后及时安排人员到位并按规定开展工作，接受甲方监督，无违规操作。 核查乙方是否存在将委托业务转包或分包给其他单位 / 个人的情况，工作过程是否客观公正、廉洁自律，报告真实准确，且配合测评单位完成测评及整改工作。 6.合同变更与违约责任验收 核查合同履行过程中是否存在变更、中止或终止情况，如有，确认已按规定履行相应手续并签订补充协议，无擅自变更行为。 检查双方是否存在违约行为（如乙方未按要求提供产品 / 质量不达标、甲方未按时付款等），违约情况是否已按《民法典》及合同约定处理，无遗留争议。 11）履约验收标准：系统的验收和交付按照陕政数据〔2023〕6号文关于印发省级政务信息化项目竣工验收管理办法（试行）的要求执行。 12）履约验收其他事项：/</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陕西中发项目管理发展有限公司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陕西中发项目管理发展有限公司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陕西中发项目管理发展有限公司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联系人：刘老师</w:t>
      </w:r>
    </w:p>
    <w:p>
      <w:pPr>
        <w:pStyle w:val="null3"/>
      </w:pPr>
      <w:r>
        <w:rPr>
          <w:rFonts w:ascii="仿宋_GB2312" w:hAnsi="仿宋_GB2312" w:cs="仿宋_GB2312" w:eastAsia="仿宋_GB2312"/>
        </w:rPr>
        <w:t>联系电话：029-88660760</w:t>
      </w:r>
    </w:p>
    <w:p>
      <w:pPr>
        <w:pStyle w:val="null3"/>
      </w:pPr>
      <w:r>
        <w:rPr>
          <w:rFonts w:ascii="仿宋_GB2312" w:hAnsi="仿宋_GB2312" w:cs="仿宋_GB2312" w:eastAsia="仿宋_GB2312"/>
        </w:rPr>
        <w:t>地址：陕西省西安市碑林区长安北路14号体教公寓B座10101</w:t>
      </w:r>
    </w:p>
    <w:p>
      <w:pPr>
        <w:pStyle w:val="null3"/>
      </w:pPr>
      <w:r>
        <w:rPr>
          <w:rFonts w:ascii="仿宋_GB2312" w:hAnsi="仿宋_GB2312" w:cs="仿宋_GB2312" w:eastAsia="仿宋_GB2312"/>
        </w:rPr>
        <w:t>邮编：710001</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委托第三方开展陕西项目管理服务数字化平台扩建（重点项目“四个一批”管理系统建设）项目。建设内容涉及陕西项目管理服务数字化平台扩建（重点项目“四个一批”管理系统建设）项目建设和系统对接两方面。主要功能或目标:建设重点项目“四个一批”全生命周期管理系统，实现从项目前期谋划、储备推进到开工建设、竣工投产的全过程动态监测和精细化管理。通过强化要素资源保障、加强项目调度、完善督导考核、实现问题闭环解决，提高项目管理向数字化、智能化水平，推动重点项目建设提速增效，为全省经济社会高质量发展提供坚实支撑。需满足的要求:1.陕西项目管理服务数字化平台扩建（重点项目“四个一批”管理系统建设）项目建设。建设“谋划一批、储备一批、开工一批、投产一批”项目管理、年度建设项目管理、五年规划重大项目管理、招商引资签约项目管理、要素保障管理、项目考核评价等模块，实现项目调度、项目档案、项目地图、指挥中心（数据智屏）、数据统计分析、进展跟踪、领导批示反馈、问题协调等功能，提升项目服务管理的精准性、及时性和有效性。2.系统对接。与陕西省投资项目在线审批监管平台、与地市7家系统完成对接；具备标准化接口，能够支撑其他应用对接。</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31,226.00</w:t>
      </w:r>
    </w:p>
    <w:p>
      <w:pPr>
        <w:pStyle w:val="null3"/>
      </w:pPr>
      <w:r>
        <w:rPr>
          <w:rFonts w:ascii="仿宋_GB2312" w:hAnsi="仿宋_GB2312" w:cs="仿宋_GB2312" w:eastAsia="仿宋_GB2312"/>
        </w:rPr>
        <w:t>采购包最高限价（元）: 31,226.00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31226</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31,226.00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租赁和商务服务业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标的名称：31226</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left="420"/>
              <w:jc w:val="both"/>
            </w:pPr>
            <w:r>
              <w:rPr>
                <w:rFonts w:ascii="仿宋_GB2312" w:hAnsi="仿宋_GB2312" w:cs="仿宋_GB2312" w:eastAsia="仿宋_GB2312"/>
                <w:sz w:val="21"/>
              </w:rPr>
              <w:t>服务范围</w:t>
            </w:r>
          </w:p>
          <w:p>
            <w:pPr>
              <w:pStyle w:val="null3"/>
              <w:jc w:val="both"/>
            </w:pPr>
            <w:r>
              <w:rPr>
                <w:rFonts w:ascii="仿宋_GB2312" w:hAnsi="仿宋_GB2312" w:cs="仿宋_GB2312" w:eastAsia="仿宋_GB2312"/>
                <w:sz w:val="21"/>
              </w:rPr>
              <w:t>根据相关质量标准，针对陕西项目管理服务数字化平台扩建（重点项目“四个一批”管理系统建设）项目进行第三方审计服务，包括工程造价结算审核和竣工财务决算审计工作。</w:t>
            </w:r>
          </w:p>
          <w:p>
            <w:pPr>
              <w:pStyle w:val="null3"/>
              <w:ind w:left="420"/>
            </w:pPr>
            <w:r>
              <w:rPr>
                <w:rFonts w:ascii="仿宋_GB2312" w:hAnsi="仿宋_GB2312" w:cs="仿宋_GB2312" w:eastAsia="仿宋_GB2312"/>
                <w:sz w:val="21"/>
              </w:rPr>
              <w:t xml:space="preserve"> </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sz w:val="21"/>
              </w:rPr>
              <w:t>服务要求</w:t>
            </w:r>
          </w:p>
          <w:p>
            <w:pPr>
              <w:pStyle w:val="null3"/>
              <w:numPr>
                <w:ilvl w:val="0"/>
                <w:numId w:val="1"/>
              </w:numPr>
              <w:jc w:val="both"/>
            </w:pPr>
            <w:r>
              <w:rPr>
                <w:rFonts w:ascii="仿宋_GB2312" w:hAnsi="仿宋_GB2312" w:cs="仿宋_GB2312" w:eastAsia="仿宋_GB2312"/>
                <w:sz w:val="21"/>
              </w:rPr>
              <w:t>服务内容：</w:t>
            </w:r>
          </w:p>
          <w:p>
            <w:pPr>
              <w:pStyle w:val="null3"/>
            </w:pPr>
            <w:r>
              <w:rPr>
                <w:rFonts w:ascii="仿宋_GB2312" w:hAnsi="仿宋_GB2312" w:cs="仿宋_GB2312" w:eastAsia="仿宋_GB2312"/>
                <w:sz w:val="21"/>
              </w:rPr>
              <w:t>（1）工程造价结算审核</w:t>
            </w:r>
          </w:p>
          <w:p>
            <w:pPr>
              <w:pStyle w:val="null3"/>
            </w:pPr>
            <w:r>
              <w:rPr>
                <w:rFonts w:ascii="仿宋_GB2312" w:hAnsi="仿宋_GB2312" w:cs="仿宋_GB2312" w:eastAsia="仿宋_GB2312"/>
                <w:sz w:val="21"/>
              </w:rPr>
              <w:t>通过对工程造价结算内容的审查，以确保工程造价的合理性和准确性，确保工程项目的造价结算符合相关法律法规和政策要求，保证工程项目的合规性和可持续发展。工程造价结算审核内容主要包括以下几个方面：</w:t>
            </w:r>
          </w:p>
          <w:p>
            <w:pPr>
              <w:pStyle w:val="null3"/>
            </w:pPr>
            <w:r>
              <w:rPr>
                <w:rFonts w:ascii="仿宋_GB2312" w:hAnsi="仿宋_GB2312" w:cs="仿宋_GB2312" w:eastAsia="仿宋_GB2312"/>
                <w:sz w:val="21"/>
              </w:rPr>
              <w:t>1）预算（概算）审查</w:t>
            </w:r>
          </w:p>
          <w:p>
            <w:pPr>
              <w:pStyle w:val="null3"/>
            </w:pPr>
            <w:r>
              <w:rPr>
                <w:rFonts w:ascii="仿宋_GB2312" w:hAnsi="仿宋_GB2312" w:cs="仿宋_GB2312" w:eastAsia="仿宋_GB2312"/>
                <w:sz w:val="21"/>
              </w:rPr>
              <w:t>在项目正式立项前，审查技术方案预算（概算）中各项费用的合理性。</w:t>
            </w:r>
          </w:p>
          <w:p>
            <w:pPr>
              <w:pStyle w:val="null3"/>
            </w:pPr>
            <w:r>
              <w:rPr>
                <w:rFonts w:ascii="仿宋_GB2312" w:hAnsi="仿宋_GB2312" w:cs="仿宋_GB2312" w:eastAsia="仿宋_GB2312"/>
                <w:sz w:val="21"/>
              </w:rPr>
              <w:t>2）工程量审查</w:t>
            </w:r>
          </w:p>
          <w:p>
            <w:pPr>
              <w:pStyle w:val="null3"/>
            </w:pPr>
            <w:r>
              <w:rPr>
                <w:rFonts w:ascii="仿宋_GB2312" w:hAnsi="仿宋_GB2312" w:cs="仿宋_GB2312" w:eastAsia="仿宋_GB2312"/>
                <w:sz w:val="21"/>
              </w:rPr>
              <w:t>对现场设备、软件实际部署情况、运维服务、安全服务及数据采集工作等实际工作量进行审核。对各阶段成果文件、验收报告、采购发票、评审意见、研发工作量等资料进行审核。</w:t>
            </w:r>
          </w:p>
          <w:p>
            <w:pPr>
              <w:pStyle w:val="null3"/>
            </w:pPr>
            <w:r>
              <w:rPr>
                <w:rFonts w:ascii="仿宋_GB2312" w:hAnsi="仿宋_GB2312" w:cs="仿宋_GB2312" w:eastAsia="仿宋_GB2312"/>
                <w:sz w:val="21"/>
              </w:rPr>
              <w:t>3）费用审查</w:t>
            </w:r>
          </w:p>
          <w:p>
            <w:pPr>
              <w:pStyle w:val="null3"/>
            </w:pPr>
            <w:r>
              <w:rPr>
                <w:rFonts w:ascii="仿宋_GB2312" w:hAnsi="仿宋_GB2312" w:cs="仿宋_GB2312" w:eastAsia="仿宋_GB2312"/>
                <w:sz w:val="21"/>
              </w:rPr>
              <w:t>功能列项套费率，依据规范将系统需求进行功能点拆分，审查工作量，审查项目综合费用。</w:t>
            </w:r>
          </w:p>
          <w:p>
            <w:pPr>
              <w:pStyle w:val="null3"/>
            </w:pPr>
            <w:r>
              <w:rPr>
                <w:rFonts w:ascii="仿宋_GB2312" w:hAnsi="仿宋_GB2312" w:cs="仿宋_GB2312" w:eastAsia="仿宋_GB2312"/>
                <w:sz w:val="21"/>
              </w:rPr>
              <w:t>4）支付审查</w:t>
            </w:r>
          </w:p>
          <w:p>
            <w:pPr>
              <w:pStyle w:val="null3"/>
            </w:pPr>
            <w:r>
              <w:rPr>
                <w:rFonts w:ascii="仿宋_GB2312" w:hAnsi="仿宋_GB2312" w:cs="仿宋_GB2312" w:eastAsia="仿宋_GB2312"/>
                <w:sz w:val="21"/>
              </w:rPr>
              <w:t>对工程项目的支付过程进行审查，包括支付的时间、支付的金额、支付的对象等。</w:t>
            </w:r>
          </w:p>
          <w:p>
            <w:pPr>
              <w:pStyle w:val="null3"/>
            </w:pPr>
            <w:r>
              <w:rPr>
                <w:rFonts w:ascii="仿宋_GB2312" w:hAnsi="仿宋_GB2312" w:cs="仿宋_GB2312" w:eastAsia="仿宋_GB2312"/>
                <w:sz w:val="21"/>
              </w:rPr>
              <w:t>5）工期审查</w:t>
            </w:r>
          </w:p>
          <w:p>
            <w:pPr>
              <w:pStyle w:val="null3"/>
            </w:pPr>
            <w:r>
              <w:rPr>
                <w:rFonts w:ascii="仿宋_GB2312" w:hAnsi="仿宋_GB2312" w:cs="仿宋_GB2312" w:eastAsia="仿宋_GB2312"/>
                <w:sz w:val="21"/>
              </w:rPr>
              <w:t>对工程项目的工期进行审查，包括工程项目的计划进度、实际进度等。</w:t>
            </w:r>
          </w:p>
          <w:p>
            <w:pPr>
              <w:pStyle w:val="null3"/>
            </w:pPr>
            <w:r>
              <w:rPr>
                <w:rFonts w:ascii="仿宋_GB2312" w:hAnsi="仿宋_GB2312" w:cs="仿宋_GB2312" w:eastAsia="仿宋_GB2312"/>
                <w:sz w:val="21"/>
              </w:rPr>
              <w:t>6）结算文件审查</w:t>
            </w:r>
          </w:p>
          <w:p>
            <w:pPr>
              <w:pStyle w:val="null3"/>
            </w:pPr>
            <w:r>
              <w:rPr>
                <w:rFonts w:ascii="仿宋_GB2312" w:hAnsi="仿宋_GB2312" w:cs="仿宋_GB2312" w:eastAsia="仿宋_GB2312"/>
                <w:sz w:val="21"/>
              </w:rPr>
              <w:t>对工程项目的结算文件进行审查，包括结算报告、结算单、结算资料等。</w:t>
            </w:r>
          </w:p>
          <w:p>
            <w:pPr>
              <w:pStyle w:val="null3"/>
            </w:pPr>
            <w:r>
              <w:rPr>
                <w:rFonts w:ascii="仿宋_GB2312" w:hAnsi="仿宋_GB2312" w:cs="仿宋_GB2312" w:eastAsia="仿宋_GB2312"/>
                <w:sz w:val="21"/>
              </w:rPr>
              <w:t>（2）竣工财务决算审计</w:t>
            </w:r>
          </w:p>
          <w:p>
            <w:pPr>
              <w:pStyle w:val="null3"/>
            </w:pPr>
            <w:r>
              <w:rPr>
                <w:rFonts w:ascii="仿宋_GB2312" w:hAnsi="仿宋_GB2312" w:cs="仿宋_GB2312" w:eastAsia="仿宋_GB2312"/>
                <w:sz w:val="21"/>
              </w:rPr>
              <w:t>1）审查决算资料的完整性。</w:t>
            </w:r>
          </w:p>
          <w:p>
            <w:pPr>
              <w:pStyle w:val="null3"/>
            </w:pPr>
            <w:r>
              <w:rPr>
                <w:rFonts w:ascii="仿宋_GB2312" w:hAnsi="仿宋_GB2312" w:cs="仿宋_GB2312" w:eastAsia="仿宋_GB2312"/>
                <w:sz w:val="21"/>
              </w:rPr>
              <w:t>①经批准的可行性研究报告，初步设计、投资概算、系统及设备清单及各种合同及协议书；</w:t>
            </w:r>
          </w:p>
          <w:p>
            <w:pPr>
              <w:pStyle w:val="null3"/>
            </w:pPr>
            <w:r>
              <w:rPr>
                <w:rFonts w:ascii="仿宋_GB2312" w:hAnsi="仿宋_GB2312" w:cs="仿宋_GB2312" w:eastAsia="仿宋_GB2312"/>
                <w:sz w:val="21"/>
              </w:rPr>
              <w:t>②工程预算（投标报价）、结算书；</w:t>
            </w:r>
          </w:p>
          <w:p>
            <w:pPr>
              <w:pStyle w:val="null3"/>
            </w:pPr>
            <w:r>
              <w:rPr>
                <w:rFonts w:ascii="仿宋_GB2312" w:hAnsi="仿宋_GB2312" w:cs="仿宋_GB2312" w:eastAsia="仿宋_GB2312"/>
                <w:sz w:val="21"/>
              </w:rPr>
              <w:t>③同级财政审批的各年度财务决算报表及竣工财务决算报表；</w:t>
            </w:r>
          </w:p>
          <w:p>
            <w:pPr>
              <w:pStyle w:val="null3"/>
            </w:pPr>
            <w:r>
              <w:rPr>
                <w:rFonts w:ascii="仿宋_GB2312" w:hAnsi="仿宋_GB2312" w:cs="仿宋_GB2312" w:eastAsia="仿宋_GB2312"/>
                <w:sz w:val="21"/>
              </w:rPr>
              <w:t>④各年度下达的固定资产投资计划及调整计划；</w:t>
            </w:r>
          </w:p>
          <w:p>
            <w:pPr>
              <w:pStyle w:val="null3"/>
            </w:pPr>
            <w:r>
              <w:rPr>
                <w:rFonts w:ascii="仿宋_GB2312" w:hAnsi="仿宋_GB2312" w:cs="仿宋_GB2312" w:eastAsia="仿宋_GB2312"/>
                <w:sz w:val="21"/>
              </w:rPr>
              <w:t>⑤已办理竣工验收的单项工程的竣工验收资料；</w:t>
            </w:r>
          </w:p>
          <w:p>
            <w:pPr>
              <w:pStyle w:val="null3"/>
            </w:pPr>
            <w:r>
              <w:rPr>
                <w:rFonts w:ascii="仿宋_GB2312" w:hAnsi="仿宋_GB2312" w:cs="仿宋_GB2312" w:eastAsia="仿宋_GB2312"/>
                <w:sz w:val="21"/>
              </w:rPr>
              <w:t>⑥建设项目设备、材料采购及入、出库资料；</w:t>
            </w:r>
          </w:p>
          <w:p>
            <w:pPr>
              <w:pStyle w:val="null3"/>
            </w:pPr>
            <w:r>
              <w:rPr>
                <w:rFonts w:ascii="仿宋_GB2312" w:hAnsi="仿宋_GB2312" w:cs="仿宋_GB2312" w:eastAsia="仿宋_GB2312"/>
                <w:sz w:val="21"/>
              </w:rPr>
              <w:t>⑦财务会计报表、会计帐簿、会计凭证及其他会计资料；</w:t>
            </w:r>
          </w:p>
          <w:p>
            <w:pPr>
              <w:pStyle w:val="null3"/>
            </w:pPr>
            <w:r>
              <w:rPr>
                <w:rFonts w:ascii="仿宋_GB2312" w:hAnsi="仿宋_GB2312" w:cs="仿宋_GB2312" w:eastAsia="仿宋_GB2312"/>
                <w:sz w:val="21"/>
              </w:rPr>
              <w:t>⑧工程项目交点清单及财产盘点移交清单；</w:t>
            </w:r>
          </w:p>
          <w:p>
            <w:pPr>
              <w:pStyle w:val="null3"/>
            </w:pPr>
            <w:r>
              <w:rPr>
                <w:rFonts w:ascii="仿宋_GB2312" w:hAnsi="仿宋_GB2312" w:cs="仿宋_GB2312" w:eastAsia="仿宋_GB2312"/>
                <w:sz w:val="21"/>
              </w:rPr>
              <w:t>⑨其他资料，如收尾工程、遗留问题等。</w:t>
            </w:r>
          </w:p>
          <w:p>
            <w:pPr>
              <w:pStyle w:val="null3"/>
            </w:pPr>
            <w:r>
              <w:rPr>
                <w:rFonts w:ascii="仿宋_GB2312" w:hAnsi="仿宋_GB2312" w:cs="仿宋_GB2312" w:eastAsia="仿宋_GB2312"/>
                <w:sz w:val="21"/>
              </w:rPr>
              <w:t>2）竣工财务决算报表和说明书完整性、真实性审计。</w:t>
            </w:r>
          </w:p>
          <w:p>
            <w:pPr>
              <w:pStyle w:val="null3"/>
            </w:pPr>
            <w:r>
              <w:rPr>
                <w:rFonts w:ascii="仿宋_GB2312" w:hAnsi="仿宋_GB2312" w:cs="仿宋_GB2312" w:eastAsia="仿宋_GB2312"/>
                <w:sz w:val="21"/>
              </w:rPr>
              <w:t>项目财务决算报表（不限于基本建设项目竣工决算审批表；建设项目竣工工程概况表；竣工工程财务决算表；交付使用资产总表；交付使用资产明细表）。</w:t>
            </w:r>
          </w:p>
          <w:p>
            <w:pPr>
              <w:pStyle w:val="null3"/>
            </w:pPr>
            <w:r>
              <w:rPr>
                <w:rFonts w:ascii="仿宋_GB2312" w:hAnsi="仿宋_GB2312" w:cs="仿宋_GB2312" w:eastAsia="仿宋_GB2312"/>
                <w:sz w:val="21"/>
              </w:rPr>
              <w:t>3）各项投资支出的真实性、合规性审计。</w:t>
            </w:r>
          </w:p>
          <w:p>
            <w:pPr>
              <w:pStyle w:val="null3"/>
            </w:pPr>
            <w:r>
              <w:rPr>
                <w:rFonts w:ascii="仿宋_GB2312" w:hAnsi="仿宋_GB2312" w:cs="仿宋_GB2312" w:eastAsia="仿宋_GB2312"/>
                <w:sz w:val="21"/>
              </w:rPr>
              <w:t>包括工程投资审计、设备投资审计、待摊投资列支的审计、其他投资支出的审计、待核销基建支出的审计及转出投资审计等。审计工程设备费用、软件费用的计算，确保费用的合理性和准确性。</w:t>
            </w:r>
          </w:p>
          <w:p>
            <w:pPr>
              <w:pStyle w:val="null3"/>
            </w:pPr>
            <w:r>
              <w:rPr>
                <w:rFonts w:ascii="仿宋_GB2312" w:hAnsi="仿宋_GB2312" w:cs="仿宋_GB2312" w:eastAsia="仿宋_GB2312"/>
                <w:sz w:val="21"/>
              </w:rPr>
              <w:t>4）建设工程竣工结算的真实性、合规性审计。</w:t>
            </w:r>
          </w:p>
          <w:p>
            <w:pPr>
              <w:pStyle w:val="null3"/>
            </w:pPr>
            <w:r>
              <w:rPr>
                <w:rFonts w:ascii="仿宋_GB2312" w:hAnsi="仿宋_GB2312" w:cs="仿宋_GB2312" w:eastAsia="仿宋_GB2312"/>
                <w:sz w:val="21"/>
              </w:rPr>
              <w:t>包括约定的合同价款及合同价款调整内容以及索赔事项是否规范；工程设计变更价款调整事项是否约定；过程造价控制是否真实合规；工程进度款结算与支付是否合规；工程造价咨询机构出具的工程结算文件是否真实合规等。</w:t>
            </w:r>
          </w:p>
          <w:p>
            <w:pPr>
              <w:pStyle w:val="null3"/>
            </w:pPr>
            <w:r>
              <w:rPr>
                <w:rFonts w:ascii="仿宋_GB2312" w:hAnsi="仿宋_GB2312" w:cs="仿宋_GB2312" w:eastAsia="仿宋_GB2312"/>
                <w:sz w:val="21"/>
              </w:rPr>
              <w:t>5）合规性审查</w:t>
            </w:r>
          </w:p>
          <w:p>
            <w:pPr>
              <w:pStyle w:val="null3"/>
            </w:pPr>
            <w:r>
              <w:rPr>
                <w:rFonts w:ascii="仿宋_GB2312" w:hAnsi="仿宋_GB2312" w:cs="仿宋_GB2312" w:eastAsia="仿宋_GB2312"/>
                <w:sz w:val="21"/>
              </w:rPr>
              <w:t>对工程项目的合规性进行审查，核查项目在立项、招投标、工程监理、交付验收等环节是否严格执行国家相关制度和政策规定等。</w:t>
            </w:r>
          </w:p>
          <w:p>
            <w:pPr>
              <w:pStyle w:val="null3"/>
            </w:pPr>
            <w:r>
              <w:rPr>
                <w:rFonts w:ascii="仿宋_GB2312" w:hAnsi="仿宋_GB2312" w:cs="仿宋_GB2312" w:eastAsia="仿宋_GB2312"/>
                <w:sz w:val="21"/>
              </w:rPr>
              <w:t>6）风险审查</w:t>
            </w:r>
          </w:p>
          <w:p>
            <w:pPr>
              <w:pStyle w:val="null3"/>
            </w:pPr>
            <w:r>
              <w:rPr>
                <w:rFonts w:ascii="仿宋_GB2312" w:hAnsi="仿宋_GB2312" w:cs="仿宋_GB2312" w:eastAsia="仿宋_GB2312"/>
                <w:sz w:val="21"/>
              </w:rPr>
              <w:t>对工程项目的风险进行审查，包括工程项目的风险评估、风险控制等。</w:t>
            </w:r>
          </w:p>
          <w:p>
            <w:pPr>
              <w:pStyle w:val="null3"/>
            </w:pPr>
            <w:r>
              <w:rPr>
                <w:rFonts w:ascii="仿宋_GB2312" w:hAnsi="仿宋_GB2312" w:cs="仿宋_GB2312" w:eastAsia="仿宋_GB2312"/>
                <w:sz w:val="21"/>
              </w:rPr>
              <w:t>7）合同审查</w:t>
            </w:r>
          </w:p>
          <w:p>
            <w:pPr>
              <w:pStyle w:val="null3"/>
            </w:pPr>
            <w:r>
              <w:rPr>
                <w:rFonts w:ascii="仿宋_GB2312" w:hAnsi="仿宋_GB2312" w:cs="仿宋_GB2312" w:eastAsia="仿宋_GB2312"/>
                <w:sz w:val="21"/>
              </w:rPr>
              <w:t>对项目合同进行审查，确保合同条款的履行和变更符合法律法规和政策要求，防范合同风险，维护国家利益。</w:t>
            </w:r>
          </w:p>
          <w:p>
            <w:pPr>
              <w:pStyle w:val="null3"/>
            </w:pPr>
            <w:r>
              <w:rPr>
                <w:rFonts w:ascii="仿宋_GB2312" w:hAnsi="仿宋_GB2312" w:cs="仿宋_GB2312" w:eastAsia="仿宋_GB2312"/>
                <w:sz w:val="21"/>
              </w:rPr>
              <w:t>8）概算执行情况审计。</w:t>
            </w:r>
          </w:p>
          <w:p>
            <w:pPr>
              <w:pStyle w:val="null3"/>
            </w:pPr>
            <w:r>
              <w:rPr>
                <w:rFonts w:ascii="仿宋_GB2312" w:hAnsi="仿宋_GB2312" w:cs="仿宋_GB2312" w:eastAsia="仿宋_GB2312"/>
                <w:sz w:val="21"/>
              </w:rPr>
              <w:t>包括实际完成投资总额的真实合规性审计，概算总投资、投入实际金额、实际投资完成额的比较；分析超支或节余的原因等。</w:t>
            </w:r>
          </w:p>
          <w:p>
            <w:pPr>
              <w:pStyle w:val="null3"/>
            </w:pPr>
            <w:r>
              <w:rPr>
                <w:rFonts w:ascii="仿宋_GB2312" w:hAnsi="仿宋_GB2312" w:cs="仿宋_GB2312" w:eastAsia="仿宋_GB2312"/>
                <w:sz w:val="21"/>
              </w:rPr>
              <w:t>9）交付使用资产真实性、完整性审计。</w:t>
            </w:r>
          </w:p>
          <w:p>
            <w:pPr>
              <w:pStyle w:val="null3"/>
            </w:pPr>
            <w:r>
              <w:rPr>
                <w:rFonts w:ascii="仿宋_GB2312" w:hAnsi="仿宋_GB2312" w:cs="仿宋_GB2312" w:eastAsia="仿宋_GB2312"/>
                <w:sz w:val="21"/>
              </w:rPr>
              <w:t>包括是否符合交付使用条件；交接手续是否齐全；应交使用资产是否真实、完整等。</w:t>
            </w:r>
          </w:p>
          <w:p>
            <w:pPr>
              <w:pStyle w:val="null3"/>
            </w:pPr>
            <w:r>
              <w:rPr>
                <w:rFonts w:ascii="仿宋_GB2312" w:hAnsi="仿宋_GB2312" w:cs="仿宋_GB2312" w:eastAsia="仿宋_GB2312"/>
                <w:sz w:val="21"/>
              </w:rPr>
              <w:t>10）结余资金及项目收入审计。</w:t>
            </w:r>
          </w:p>
          <w:p>
            <w:pPr>
              <w:pStyle w:val="null3"/>
            </w:pPr>
            <w:r>
              <w:rPr>
                <w:rFonts w:ascii="仿宋_GB2312" w:hAnsi="仿宋_GB2312" w:cs="仿宋_GB2312" w:eastAsia="仿宋_GB2312"/>
                <w:sz w:val="21"/>
              </w:rPr>
              <w:t>包括结余资金管理是否规范，有无小金库；库存物资管理是否规范，数量、质量是否存在问题，库存材料价格是否真实；往来款项、债权债务是否清晰，是否存在转移挪用问题，债权债务清理是否及时；项目收入是否及时清算，来源是否核实，收入分配是否存在问题。</w:t>
            </w:r>
          </w:p>
          <w:p>
            <w:pPr>
              <w:pStyle w:val="null3"/>
            </w:pPr>
            <w:r>
              <w:rPr>
                <w:rFonts w:ascii="仿宋_GB2312" w:hAnsi="仿宋_GB2312" w:cs="仿宋_GB2312" w:eastAsia="仿宋_GB2312"/>
                <w:sz w:val="21"/>
              </w:rPr>
              <w:t>11）尾工工程审计。</w:t>
            </w:r>
          </w:p>
          <w:p>
            <w:pPr>
              <w:pStyle w:val="null3"/>
            </w:pPr>
            <w:r>
              <w:rPr>
                <w:rFonts w:ascii="仿宋_GB2312" w:hAnsi="仿宋_GB2312" w:cs="仿宋_GB2312" w:eastAsia="仿宋_GB2312"/>
                <w:sz w:val="21"/>
              </w:rPr>
              <w:t>包括未完工程工程量的真实性和预留投资金额的真实性。</w:t>
            </w:r>
          </w:p>
          <w:p>
            <w:pPr>
              <w:pStyle w:val="null3"/>
            </w:pPr>
            <w:r>
              <w:rPr>
                <w:rFonts w:ascii="仿宋_GB2312" w:hAnsi="仿宋_GB2312" w:cs="仿宋_GB2312" w:eastAsia="仿宋_GB2312"/>
                <w:sz w:val="21"/>
              </w:rPr>
              <w:t>2．交付成果</w:t>
            </w:r>
          </w:p>
          <w:p>
            <w:pPr>
              <w:pStyle w:val="null3"/>
            </w:pPr>
            <w:r>
              <w:rPr>
                <w:rFonts w:ascii="仿宋_GB2312" w:hAnsi="仿宋_GB2312" w:cs="仿宋_GB2312" w:eastAsia="仿宋_GB2312"/>
                <w:sz w:val="21"/>
              </w:rPr>
              <w:t>项目竣工结算审核报告及决算审计报告各1套。</w:t>
            </w:r>
          </w:p>
          <w:p>
            <w:pPr>
              <w:pStyle w:val="null3"/>
            </w:pPr>
            <w:r>
              <w:rPr>
                <w:rFonts w:ascii="仿宋_GB2312" w:hAnsi="仿宋_GB2312" w:cs="仿宋_GB2312" w:eastAsia="仿宋_GB2312"/>
                <w:sz w:val="21"/>
              </w:rPr>
              <w:t>3．服务要求</w:t>
            </w:r>
          </w:p>
          <w:p>
            <w:pPr>
              <w:pStyle w:val="null3"/>
              <w:spacing w:after="165"/>
            </w:pPr>
            <w:r>
              <w:rPr>
                <w:rFonts w:ascii="仿宋_GB2312" w:hAnsi="仿宋_GB2312" w:cs="仿宋_GB2312" w:eastAsia="仿宋_GB2312"/>
                <w:sz w:val="21"/>
              </w:rPr>
              <w:t>（1）应按照国家、陕西省相关标准执行；</w:t>
            </w:r>
          </w:p>
          <w:p>
            <w:pPr>
              <w:pStyle w:val="null3"/>
            </w:pPr>
            <w:r>
              <w:rPr>
                <w:rFonts w:ascii="仿宋_GB2312" w:hAnsi="仿宋_GB2312" w:cs="仿宋_GB2312" w:eastAsia="仿宋_GB2312"/>
                <w:sz w:val="21"/>
              </w:rPr>
              <w:t>（2）参与项目的管理及技术人员应签署保密协议，遵守工作纪律和保密要求；</w:t>
            </w:r>
          </w:p>
          <w:p>
            <w:pPr>
              <w:pStyle w:val="null3"/>
            </w:pPr>
            <w:r>
              <w:rPr>
                <w:rFonts w:ascii="仿宋_GB2312" w:hAnsi="仿宋_GB2312" w:cs="仿宋_GB2312" w:eastAsia="仿宋_GB2312"/>
                <w:sz w:val="21"/>
              </w:rPr>
              <w:t>（3）服务成果以资料汇编形式提交，经局项目负责人确认后视为验收通过；</w:t>
            </w:r>
          </w:p>
          <w:p>
            <w:pPr>
              <w:pStyle w:val="null3"/>
            </w:pPr>
            <w:r>
              <w:rPr>
                <w:rFonts w:ascii="仿宋_GB2312" w:hAnsi="仿宋_GB2312" w:cs="仿宋_GB2312" w:eastAsia="仿宋_GB2312"/>
                <w:sz w:val="21"/>
              </w:rPr>
              <w:t>（4）进度明确，节点清晰。按时出具审计报告，保证审计报告内容的真实性、可靠性。</w:t>
            </w:r>
          </w:p>
          <w:p>
            <w:pPr>
              <w:pStyle w:val="null3"/>
            </w:pPr>
            <w:r>
              <w:rPr>
                <w:rFonts w:ascii="仿宋_GB2312" w:hAnsi="仿宋_GB2312" w:cs="仿宋_GB2312" w:eastAsia="仿宋_GB2312"/>
                <w:sz w:val="21"/>
              </w:rPr>
              <w:t>（2）服务标准：</w:t>
            </w:r>
          </w:p>
          <w:p>
            <w:pPr>
              <w:pStyle w:val="null3"/>
            </w:pPr>
            <w:r>
              <w:rPr>
                <w:rFonts w:ascii="仿宋_GB2312" w:hAnsi="仿宋_GB2312" w:cs="仿宋_GB2312" w:eastAsia="仿宋_GB2312"/>
                <w:sz w:val="21"/>
              </w:rPr>
              <w:t>按照国家、陕西省相关标准执行。</w:t>
            </w:r>
          </w:p>
          <w:p>
            <w:pPr>
              <w:pStyle w:val="null3"/>
            </w:pPr>
            <w:r>
              <w:rPr>
                <w:rFonts w:ascii="仿宋_GB2312" w:hAnsi="仿宋_GB2312" w:cs="仿宋_GB2312" w:eastAsia="仿宋_GB2312"/>
                <w:sz w:val="21"/>
              </w:rPr>
              <w:t xml:space="preserve">（3）服务期限：合同签订后至整个项目验收交付完成。        </w:t>
            </w:r>
          </w:p>
        </w:tc>
      </w:tr>
      <w:tr>
        <w:tc>
          <w:tcPr>
            <w:tcW w:type="dxa" w:w="2769"/>
          </w:tcPr>
          <w:p>
            <w:pPr>
              <w:pStyle w:val="null3"/>
            </w:pPr>
            <w:r>
              <w:rPr>
                <w:rFonts w:ascii="仿宋_GB2312" w:hAnsi="仿宋_GB2312" w:cs="仿宋_GB2312" w:eastAsia="仿宋_GB2312"/>
              </w:rPr>
              <w:t>3</w:t>
            </w:r>
          </w:p>
        </w:tc>
        <w:tc>
          <w:tcPr>
            <w:tcW w:type="dxa" w:w="2769"/>
          </w:tcPr>
          <w:p>
            <w:pPr>
              <w:pStyle w:val="null3"/>
            </w:pPr>
            <w:r>
              <w:rPr>
                <w:rFonts w:ascii="仿宋_GB2312" w:hAnsi="仿宋_GB2312" w:cs="仿宋_GB2312" w:eastAsia="仿宋_GB2312"/>
              </w:rPr>
              <w:t>▲</w:t>
            </w:r>
          </w:p>
        </w:tc>
        <w:tc>
          <w:tcPr>
            <w:tcW w:type="dxa" w:w="2769"/>
          </w:tcPr>
          <w:p>
            <w:pPr>
              <w:pStyle w:val="null3"/>
              <w:spacing w:after="150"/>
              <w:ind w:left="480"/>
            </w:pPr>
            <w:r>
              <w:rPr>
                <w:rFonts w:ascii="仿宋_GB2312" w:hAnsi="仿宋_GB2312" w:cs="仿宋_GB2312" w:eastAsia="仿宋_GB2312"/>
                <w:sz w:val="21"/>
                <w:color w:val="000000"/>
              </w:rPr>
              <w:t>服务人员数量及组成：</w:t>
            </w:r>
          </w:p>
          <w:p>
            <w:pPr>
              <w:pStyle w:val="null3"/>
            </w:pPr>
            <w:r>
              <w:rPr>
                <w:rFonts w:ascii="仿宋_GB2312" w:hAnsi="仿宋_GB2312" w:cs="仿宋_GB2312" w:eastAsia="仿宋_GB2312"/>
                <w:sz w:val="21"/>
                <w:color w:val="000000"/>
              </w:rPr>
              <w:t>1、拟派项目总负责人具有相关专业工程师资格证书。（注：提供开标前近三个月的社保缴纳证明，须在本单位注册，以上证件提供复印件加盖公章。）</w:t>
            </w:r>
          </w:p>
          <w:p>
            <w:pPr>
              <w:pStyle w:val="null3"/>
            </w:pPr>
            <w:r>
              <w:rPr>
                <w:rFonts w:ascii="仿宋_GB2312" w:hAnsi="仿宋_GB2312" w:cs="仿宋_GB2312" w:eastAsia="仿宋_GB2312"/>
                <w:sz w:val="21"/>
                <w:color w:val="000000"/>
              </w:rPr>
              <w:t>2、拟派结算审核负责人具有相关专业工程师资格证书。（注：提供开标前近三个月的社保缴纳证明，须在本单位注册，以上证件提供复印件加盖公章。）</w:t>
            </w:r>
          </w:p>
          <w:p>
            <w:pPr>
              <w:pStyle w:val="null3"/>
            </w:pPr>
            <w:r>
              <w:rPr>
                <w:rFonts w:ascii="仿宋_GB2312" w:hAnsi="仿宋_GB2312" w:cs="仿宋_GB2312" w:eastAsia="仿宋_GB2312"/>
                <w:sz w:val="21"/>
                <w:color w:val="000000"/>
              </w:rPr>
              <w:t>3、拟派竣工财务决算审计负责人具有注册会计师（注：提供开标前近三个月的社保缴纳证明，须在本单位注册，以上证件提供复印件加盖公章。）</w:t>
            </w:r>
          </w:p>
          <w:p>
            <w:pPr>
              <w:pStyle w:val="null3"/>
            </w:pPr>
            <w:r>
              <w:rPr>
                <w:rFonts w:ascii="仿宋_GB2312" w:hAnsi="仿宋_GB2312" w:cs="仿宋_GB2312" w:eastAsia="仿宋_GB2312"/>
                <w:sz w:val="21"/>
                <w:color w:val="000000"/>
              </w:rPr>
              <w:t xml:space="preserve">4、项目组其他人员总数不少于6人（须至少具有2名注册会计师）。（注：提供开标前近三个月的社保缴纳证明，须在本单位注册，以上证件提供复印件加盖公章。）   </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ind w:left="480"/>
              <w:jc w:val="both"/>
            </w:pPr>
            <w:r>
              <w:rPr>
                <w:rFonts w:ascii="仿宋_GB2312" w:hAnsi="仿宋_GB2312" w:cs="仿宋_GB2312" w:eastAsia="仿宋_GB2312"/>
                <w:sz w:val="21"/>
              </w:rPr>
              <w:t>服务事项的验收（考核）标准</w:t>
            </w:r>
          </w:p>
          <w:p>
            <w:pPr>
              <w:pStyle w:val="null3"/>
              <w:ind w:firstLine="480"/>
            </w:pPr>
            <w:r>
              <w:rPr>
                <w:rFonts w:ascii="仿宋_GB2312" w:hAnsi="仿宋_GB2312" w:cs="仿宋_GB2312" w:eastAsia="仿宋_GB2312"/>
                <w:sz w:val="21"/>
                <w:u w:val="single"/>
              </w:rPr>
              <w:t>按陕政数据〔2023〕6号文关于印发省级政务信息化项目竣工验收管理办法（试行）的要求执行。</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详见磋商文件服务要求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详见磋商文件服务要求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合同签订后至整个项目验收交付完成。</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按陕政数据〔2023〕6号文关于印发省级政务信息化项目竣工验收管理办法（试行）的要求执行。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终验后支付</w:t>
      </w:r>
      <w:r>
        <w:rPr>
          <w:rFonts w:ascii="仿宋_GB2312" w:hAnsi="仿宋_GB2312" w:cs="仿宋_GB2312" w:eastAsia="仿宋_GB2312"/>
        </w:rPr>
        <w:t xml:space="preserve"> ，达到付款条件起 </w:t>
      </w:r>
      <w:r>
        <w:rPr>
          <w:rFonts w:ascii="仿宋_GB2312" w:hAnsi="仿宋_GB2312" w:cs="仿宋_GB2312" w:eastAsia="仿宋_GB2312"/>
        </w:rPr>
        <w:t>5</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项目竣工验收后</w:t>
      </w:r>
      <w:r>
        <w:rPr>
          <w:rFonts w:ascii="仿宋_GB2312" w:hAnsi="仿宋_GB2312" w:cs="仿宋_GB2312" w:eastAsia="仿宋_GB2312"/>
        </w:rPr>
        <w:t xml:space="preserve"> ，达到付款条件起 </w:t>
      </w:r>
      <w:r>
        <w:rPr>
          <w:rFonts w:ascii="仿宋_GB2312" w:hAnsi="仿宋_GB2312" w:cs="仿宋_GB2312" w:eastAsia="仿宋_GB2312"/>
        </w:rPr>
        <w:t>5</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按《民法典》中的相关条款和本合同的约定执行。 未按合同或招标文件要求提供产品或供应的产品质量不能满足招标人技术要求，招标人有权终止合同，甚至对投标人违约行为进行追究。</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供应商资质证明文件（2）.docx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供应商资质证明文件（2）.docx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提供经审计的2023年度或2024年度的财务报告或提交响应文件截止时间前六个月内其基本账户开户银行出具的资信证明（附开户许可证或开户备案证明）；其他组织和自然人提供银行出具的资信证明或财务报表；</w:t>
            </w:r>
          </w:p>
        </w:tc>
        <w:tc>
          <w:tcPr>
            <w:tcW w:type="dxa" w:w="1661"/>
          </w:tcPr>
          <w:p>
            <w:pPr>
              <w:pStyle w:val="null3"/>
            </w:pPr>
            <w:r>
              <w:rPr>
                <w:rFonts w:ascii="仿宋_GB2312" w:hAnsi="仿宋_GB2312" w:cs="仿宋_GB2312" w:eastAsia="仿宋_GB2312"/>
              </w:rPr>
              <w:t>供应商资质证明文件（2）.docx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提供响应文件递交截止日前一年内已缴存的至少一个月的纳税证明或完税证明，依法免税的供应商提供相关文件证明；</w:t>
            </w:r>
          </w:p>
        </w:tc>
        <w:tc>
          <w:tcPr>
            <w:tcW w:type="dxa" w:w="1661"/>
          </w:tcPr>
          <w:p>
            <w:pPr>
              <w:pStyle w:val="null3"/>
            </w:pPr>
            <w:r>
              <w:rPr>
                <w:rFonts w:ascii="仿宋_GB2312" w:hAnsi="仿宋_GB2312" w:cs="仿宋_GB2312" w:eastAsia="仿宋_GB2312"/>
              </w:rPr>
              <w:t>供应商资质证明文件（2）.docx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提供响应文件递交截止日前一年内已缴存的至少一个月的社会保障资金缴存单据或社保机构开具的社会保险参保缴费情况证明，依法不需要缴纳社会保障资金的单位应提供相关证明材料；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供应商资质证明文件（2）.docx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本次政府采购活动前三年内在经营活动中没有重大违纪，以及未被列入失信被执行人、重大税收违法案件当事人名单、政府采购严重违法失信行为记录名单的书面声明；本项目拒绝被列入失信被执行人、重大税收违法案件当事人名单、政府采购严重违法失信行为的投标人参与；</w:t>
            </w:r>
          </w:p>
        </w:tc>
        <w:tc>
          <w:tcPr>
            <w:tcW w:type="dxa" w:w="1661"/>
          </w:tcPr>
          <w:p>
            <w:pPr>
              <w:pStyle w:val="null3"/>
            </w:pPr>
            <w:r>
              <w:rPr>
                <w:rFonts w:ascii="仿宋_GB2312" w:hAnsi="仿宋_GB2312" w:cs="仿宋_GB2312" w:eastAsia="仿宋_GB2312"/>
              </w:rPr>
              <w:t>供应商资质证明文件（2）.docx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承诺书</w:t>
            </w:r>
          </w:p>
        </w:tc>
        <w:tc>
          <w:tcPr>
            <w:tcW w:type="dxa" w:w="3322"/>
          </w:tcPr>
          <w:p>
            <w:pPr>
              <w:pStyle w:val="null3"/>
            </w:pPr>
            <w:r>
              <w:rPr>
                <w:rFonts w:ascii="仿宋_GB2312" w:hAnsi="仿宋_GB2312" w:cs="仿宋_GB2312" w:eastAsia="仿宋_GB2312"/>
              </w:rPr>
              <w:t>具有履行合同所必须的设备和专业技术能力的说明及承诺；</w:t>
            </w:r>
          </w:p>
        </w:tc>
        <w:tc>
          <w:tcPr>
            <w:tcW w:type="dxa" w:w="1661"/>
          </w:tcPr>
          <w:p>
            <w:pPr>
              <w:pStyle w:val="null3"/>
            </w:pPr>
            <w:r>
              <w:rPr>
                <w:rFonts w:ascii="仿宋_GB2312" w:hAnsi="仿宋_GB2312" w:cs="仿宋_GB2312" w:eastAsia="仿宋_GB2312"/>
              </w:rPr>
              <w:t>供应商资质证明文件（2）.docx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供应商应授权合法的人员参加磋商，其中法定代表人直接参加的，须出具法定代表人证明书；被授权代表参加的，须出具法定代表人授权书；</w:t>
            </w:r>
          </w:p>
        </w:tc>
        <w:tc>
          <w:tcPr>
            <w:tcW w:type="dxa" w:w="1661"/>
          </w:tcPr>
          <w:p>
            <w:pPr>
              <w:pStyle w:val="null3"/>
            </w:pPr>
            <w:r>
              <w:rPr>
                <w:rFonts w:ascii="仿宋_GB2312" w:hAnsi="仿宋_GB2312" w:cs="仿宋_GB2312" w:eastAsia="仿宋_GB2312"/>
              </w:rPr>
              <w:t>供应商资质证明文件（2）.docx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直接控股、管理关系</w:t>
            </w:r>
          </w:p>
        </w:tc>
        <w:tc>
          <w:tcPr>
            <w:tcW w:type="dxa" w:w="3322"/>
          </w:tcPr>
          <w:p>
            <w:pPr>
              <w:pStyle w:val="null3"/>
            </w:pPr>
            <w:r>
              <w:rPr>
                <w:rFonts w:ascii="仿宋_GB2312" w:hAnsi="仿宋_GB2312" w:cs="仿宋_GB2312" w:eastAsia="仿宋_GB2312"/>
              </w:rPr>
              <w:t>单位负责人为同一人或存在直接控股、管理关系的不同单位，不得同时参加本项目投标活动。</w:t>
            </w:r>
          </w:p>
        </w:tc>
        <w:tc>
          <w:tcPr>
            <w:tcW w:type="dxa" w:w="1661"/>
          </w:tcPr>
          <w:p>
            <w:pPr>
              <w:pStyle w:val="null3"/>
            </w:pPr>
            <w:r>
              <w:rPr>
                <w:rFonts w:ascii="仿宋_GB2312" w:hAnsi="仿宋_GB2312" w:cs="仿宋_GB2312" w:eastAsia="仿宋_GB2312"/>
              </w:rPr>
              <w:t>供应商资质证明文件（2）.docx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供应商资质</w:t>
            </w:r>
          </w:p>
        </w:tc>
        <w:tc>
          <w:tcPr>
            <w:tcW w:type="dxa" w:w="3322"/>
          </w:tcPr>
          <w:p>
            <w:pPr>
              <w:pStyle w:val="null3"/>
            </w:pPr>
            <w:r>
              <w:rPr>
                <w:rFonts w:ascii="仿宋_GB2312" w:hAnsi="仿宋_GB2312" w:cs="仿宋_GB2312" w:eastAsia="仿宋_GB2312"/>
              </w:rPr>
              <w:t>供应商具备会计师事务所执业证书；</w:t>
            </w:r>
          </w:p>
        </w:tc>
        <w:tc>
          <w:tcPr>
            <w:tcW w:type="dxa" w:w="1661"/>
          </w:tcPr>
          <w:p>
            <w:pPr>
              <w:pStyle w:val="null3"/>
            </w:pPr>
            <w:r>
              <w:rPr>
                <w:rFonts w:ascii="仿宋_GB2312" w:hAnsi="仿宋_GB2312" w:cs="仿宋_GB2312" w:eastAsia="仿宋_GB2312"/>
              </w:rPr>
              <w:t>供应商资质证明文件（2）.docx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联合体要求</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供应商资质证明文件（2）.docx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响应文件语言、有效期</w:t>
            </w:r>
          </w:p>
        </w:tc>
        <w:tc>
          <w:tcPr>
            <w:tcW w:type="dxa" w:w="3322"/>
          </w:tcPr>
          <w:p>
            <w:pPr>
              <w:pStyle w:val="null3"/>
            </w:pPr>
            <w:r>
              <w:rPr>
                <w:rFonts w:ascii="仿宋_GB2312" w:hAnsi="仿宋_GB2312" w:cs="仿宋_GB2312" w:eastAsia="仿宋_GB2312"/>
              </w:rPr>
              <w:t>响应文件语言、有效期符合磋商文件的要求。</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第一次磋商报价表</w:t>
            </w:r>
          </w:p>
        </w:tc>
        <w:tc>
          <w:tcPr>
            <w:tcW w:type="dxa" w:w="3322"/>
          </w:tcPr>
          <w:p>
            <w:pPr>
              <w:pStyle w:val="null3"/>
            </w:pPr>
            <w:r>
              <w:rPr>
                <w:rFonts w:ascii="仿宋_GB2312" w:hAnsi="仿宋_GB2312" w:cs="仿宋_GB2312" w:eastAsia="仿宋_GB2312"/>
              </w:rPr>
              <w:t>（1）第一次磋商报价表填写符合要求； （2）计量单位、报价货币均符合磋商文件要求； （3）第一次磋商报价未超出采购预算或磋商文件规定的最高限价。</w:t>
            </w:r>
          </w:p>
        </w:tc>
        <w:tc>
          <w:tcPr>
            <w:tcW w:type="dxa" w:w="1661"/>
          </w:tcPr>
          <w:p>
            <w:pPr>
              <w:pStyle w:val="null3"/>
            </w:pPr>
            <w:r>
              <w:rPr>
                <w:rFonts w:ascii="仿宋_GB2312" w:hAnsi="仿宋_GB2312" w:cs="仿宋_GB2312" w:eastAsia="仿宋_GB2312"/>
              </w:rPr>
              <w:t>标的清单 报价表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技术服务要求</w:t>
            </w:r>
          </w:p>
        </w:tc>
        <w:tc>
          <w:tcPr>
            <w:tcW w:type="dxa" w:w="3322"/>
          </w:tcPr>
          <w:p>
            <w:pPr>
              <w:pStyle w:val="null3"/>
            </w:pPr>
            <w:r>
              <w:rPr>
                <w:rFonts w:ascii="仿宋_GB2312" w:hAnsi="仿宋_GB2312" w:cs="仿宋_GB2312" w:eastAsia="仿宋_GB2312"/>
              </w:rPr>
              <w:t>完全理解并接受对合格供应商、合格的货物、工程或服务要求。</w:t>
            </w:r>
          </w:p>
        </w:tc>
        <w:tc>
          <w:tcPr>
            <w:tcW w:type="dxa" w:w="1661"/>
          </w:tcPr>
          <w:p>
            <w:pPr>
              <w:pStyle w:val="null3"/>
            </w:pPr>
            <w:r>
              <w:rPr>
                <w:rFonts w:ascii="仿宋_GB2312" w:hAnsi="仿宋_GB2312" w:cs="仿宋_GB2312" w:eastAsia="仿宋_GB2312"/>
              </w:rPr>
              <w:t>服务内容及服务邀请应答表 商务应答表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无其他磋商文件或法规明确规定响应无效的事项</w:t>
            </w:r>
          </w:p>
        </w:tc>
        <w:tc>
          <w:tcPr>
            <w:tcW w:type="dxa" w:w="3322"/>
          </w:tcPr>
          <w:p>
            <w:pPr>
              <w:pStyle w:val="null3"/>
            </w:pPr>
            <w:r>
              <w:rPr>
                <w:rFonts w:ascii="仿宋_GB2312" w:hAnsi="仿宋_GB2312" w:cs="仿宋_GB2312" w:eastAsia="仿宋_GB2312"/>
              </w:rPr>
              <w:t>没有不符合磋商文件规定的被视为无效响应的其他条款。</w:t>
            </w:r>
          </w:p>
        </w:tc>
        <w:tc>
          <w:tcPr>
            <w:tcW w:type="dxa" w:w="1661"/>
          </w:tcPr>
          <w:p>
            <w:pPr>
              <w:pStyle w:val="null3"/>
            </w:pPr>
            <w:r>
              <w:rPr>
                <w:rFonts w:ascii="仿宋_GB2312" w:hAnsi="仿宋_GB2312" w:cs="仿宋_GB2312" w:eastAsia="仿宋_GB2312"/>
              </w:rPr>
              <w:t>服务内容及服务邀请应答表 商务应答表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合同条款响应</w:t>
            </w:r>
          </w:p>
        </w:tc>
        <w:tc>
          <w:tcPr>
            <w:tcW w:type="dxa" w:w="3322"/>
          </w:tcPr>
          <w:p>
            <w:pPr>
              <w:pStyle w:val="null3"/>
            </w:pPr>
            <w:r>
              <w:rPr>
                <w:rFonts w:ascii="仿宋_GB2312" w:hAnsi="仿宋_GB2312" w:cs="仿宋_GB2312" w:eastAsia="仿宋_GB2312"/>
              </w:rPr>
              <w:t>有完全理解并接受磋商文件合同基本条款要求的描述。</w:t>
            </w:r>
          </w:p>
        </w:tc>
        <w:tc>
          <w:tcPr>
            <w:tcW w:type="dxa" w:w="1661"/>
          </w:tcPr>
          <w:p>
            <w:pPr>
              <w:pStyle w:val="null3"/>
            </w:pPr>
            <w:r>
              <w:rPr>
                <w:rFonts w:ascii="仿宋_GB2312" w:hAnsi="仿宋_GB2312" w:cs="仿宋_GB2312" w:eastAsia="仿宋_GB2312"/>
              </w:rPr>
              <w:t>服务内容及服务邀请应答表 服务方案</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不能详细列明采购标的的技术、服务要求，需由供应商提供最终设计方案或解决方案的，磋商/谈判/协商结束后，磋商/谈判/协商小组应当按照少数服从多数的原则投票推荐3家实质性响应的供应商的设计方案或解决方案，进入最后报价环节；不足3家的，终止本次采购活动。</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整体理解方案</w:t>
            </w:r>
          </w:p>
        </w:tc>
        <w:tc>
          <w:tcPr>
            <w:tcW w:type="dxa" w:w="2492"/>
          </w:tcPr>
          <w:p>
            <w:pPr>
              <w:pStyle w:val="null3"/>
            </w:pPr>
            <w:r>
              <w:rPr>
                <w:rFonts w:ascii="仿宋_GB2312" w:hAnsi="仿宋_GB2312" w:cs="仿宋_GB2312" w:eastAsia="仿宋_GB2312"/>
              </w:rPr>
              <w:t>供应商提供针对本项目的整体理解方案。 1、充分理解本项目服务需求对项目现状和整体认知的理解，服务理念、工作目标、整体设想和策划完善，思路清晰明确得5分； 2、理解方案完整合理，但还有可以优化空间得3分； 3、方案内容有缺陷、表述前后不一致、套用其他项目方案或与项目需求匹配性差得1分； 4、未提供不得分。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整体服务方案</w:t>
            </w:r>
          </w:p>
        </w:tc>
        <w:tc>
          <w:tcPr>
            <w:tcW w:type="dxa" w:w="2492"/>
          </w:tcPr>
          <w:p>
            <w:pPr>
              <w:pStyle w:val="null3"/>
            </w:pPr>
            <w:r>
              <w:rPr>
                <w:rFonts w:ascii="仿宋_GB2312" w:hAnsi="仿宋_GB2312" w:cs="仿宋_GB2312" w:eastAsia="仿宋_GB2312"/>
              </w:rPr>
              <w:t>整体服务方案方案至少包含：1、质量控制保障措施。2、按照采购人的质量要求出具成果，专项审计工作流程及工作要点；3、审计程序及方法；4、可预见项目存在的问题 方案各项内容全面详细、阐述条理清晰、技术先进、功能配置合理，能有效保障本项目实施，每有一项缺项扣3分，每有一处内容存在缺陷，扣1分，扣完为止。 备注：缺陷是指内容不合理、虽有内容但不完善、内容表述前后不一致、与项目需求不匹配及其他不利于项目实施的等任意一种情形。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具体实施方案</w:t>
            </w:r>
          </w:p>
        </w:tc>
        <w:tc>
          <w:tcPr>
            <w:tcW w:type="dxa" w:w="2492"/>
          </w:tcPr>
          <w:p>
            <w:pPr>
              <w:pStyle w:val="null3"/>
            </w:pPr>
            <w:r>
              <w:rPr>
                <w:rFonts w:ascii="仿宋_GB2312" w:hAnsi="仿宋_GB2312" w:cs="仿宋_GB2312" w:eastAsia="仿宋_GB2312"/>
              </w:rPr>
              <w:t>针对本项目的结决算审计服务阐述具体实施方案。 1、实施方案全面具体，内容完整，条理清晰得5分。 2、实施方案有针对性，但还有可以优化空间得3分； 3、方案虽有内容但不完善、内容表述前后不一致、与项目需求不匹配及其他不利于项目实施得1分； 4、未提供不得分。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进度保证措施</w:t>
            </w:r>
          </w:p>
        </w:tc>
        <w:tc>
          <w:tcPr>
            <w:tcW w:type="dxa" w:w="2492"/>
          </w:tcPr>
          <w:p>
            <w:pPr>
              <w:pStyle w:val="null3"/>
            </w:pPr>
            <w:r>
              <w:rPr>
                <w:rFonts w:ascii="仿宋_GB2312" w:hAnsi="仿宋_GB2312" w:cs="仿宋_GB2312" w:eastAsia="仿宋_GB2312"/>
              </w:rPr>
              <w:t>进度保证措施方案至少包含：1、对结决算审计服务的进度保证措施；2、有完整的工作大纲、工作计划、工作时效；3、关键节点安排。 方案各项内容全面详细、阐述条理清晰、技术先进、功能配置合理，能有效保障本项目实施，每有一项缺项扣3分，每有一处内容存在缺陷，扣1分，扣完为止。 备注：缺陷是指内容不合理、虽有内容但不完善、内容表述前后不一致、与项目需求不匹配及其他不利于项目实施的等任意一种情形。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重难点梳理</w:t>
            </w:r>
          </w:p>
        </w:tc>
        <w:tc>
          <w:tcPr>
            <w:tcW w:type="dxa" w:w="2492"/>
          </w:tcPr>
          <w:p>
            <w:pPr>
              <w:pStyle w:val="null3"/>
            </w:pPr>
            <w:r>
              <w:rPr>
                <w:rFonts w:ascii="仿宋_GB2312" w:hAnsi="仿宋_GB2312" w:cs="仿宋_GB2312" w:eastAsia="仿宋_GB2312"/>
              </w:rPr>
              <w:t>对专项审计的重难点梳理。 1、熟悉结决算审计服务项目，对重难点梳理清晰、全面，有针对性措施，措施具体得5分； 2、了解结决算审计服务项目，对重难点分析有针对性，但还有可以优化空间得3分； 3、项目重点难点分析虽有内容但不完善、内容表述前后不一致、存在逻辑漏洞、科学原理或常识错误，与项目需求不匹配及其他不利于项目实施得1分； 4、未提供不得分。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预见性建议</w:t>
            </w:r>
          </w:p>
        </w:tc>
        <w:tc>
          <w:tcPr>
            <w:tcW w:type="dxa" w:w="2492"/>
          </w:tcPr>
          <w:p>
            <w:pPr>
              <w:pStyle w:val="null3"/>
            </w:pPr>
            <w:r>
              <w:rPr>
                <w:rFonts w:ascii="仿宋_GB2312" w:hAnsi="仿宋_GB2312" w:cs="仿宋_GB2312" w:eastAsia="仿宋_GB2312"/>
              </w:rPr>
              <w:t>对项目实施过程中能提供预见性建议。 1、合理化建议全面、合理，可行性高、针对性强得5分； 2、合理化建议有针对性，但还有可以优化空间得3分； 3、合理化建议虽有内容但不完善、内容表述前后不一致、与项目需求不匹配及其他不利于项目实施得1分； 4、未提供不得分。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应急服务承诺及措施</w:t>
            </w:r>
          </w:p>
        </w:tc>
        <w:tc>
          <w:tcPr>
            <w:tcW w:type="dxa" w:w="2492"/>
          </w:tcPr>
          <w:p>
            <w:pPr>
              <w:pStyle w:val="null3"/>
            </w:pPr>
            <w:r>
              <w:rPr>
                <w:rFonts w:ascii="仿宋_GB2312" w:hAnsi="仿宋_GB2312" w:cs="仿宋_GB2312" w:eastAsia="仿宋_GB2312"/>
              </w:rPr>
              <w:t>针对在审核工作中，因特殊情况对审核时限的要求有特殊的应急服务承诺及措施。 1、内容梳理清晰、全面，有针对性措施得5分； 2、内容有针对性，但还有可以优化空间得3分； 3、虽有内容但不完善、内容表述前后不一致、与项目需求不匹配及其他不利于项目实施得1分； 4、未提供不得分。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档案管理制度方案</w:t>
            </w:r>
          </w:p>
        </w:tc>
        <w:tc>
          <w:tcPr>
            <w:tcW w:type="dxa" w:w="2492"/>
          </w:tcPr>
          <w:p>
            <w:pPr>
              <w:pStyle w:val="null3"/>
            </w:pPr>
            <w:r>
              <w:rPr>
                <w:rFonts w:ascii="仿宋_GB2312" w:hAnsi="仿宋_GB2312" w:cs="仿宋_GB2312" w:eastAsia="仿宋_GB2312"/>
              </w:rPr>
              <w:t>供应商提供档案管理制度方案，方案至少包含：1、档案资料管理制度；2、移交工作制度。 方案各项内容全面详细、阐述条理清晰，制度可操作性强，具体细致，内容贴合实际。能有效保障本项目实施得6分，每有一项缺项扣3分，每有一处内容存在缺陷，扣1分，扣完为止。 备注：缺陷是指内容不合理、虽有内容但不完善、内容表述前后不一致、与项目需求不匹配及其他不利于项目实施的等任意一种情形。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项目总负责人</w:t>
            </w:r>
          </w:p>
        </w:tc>
        <w:tc>
          <w:tcPr>
            <w:tcW w:type="dxa" w:w="2492"/>
          </w:tcPr>
          <w:p>
            <w:pPr>
              <w:pStyle w:val="null3"/>
            </w:pPr>
            <w:r>
              <w:rPr>
                <w:rFonts w:ascii="仿宋_GB2312" w:hAnsi="仿宋_GB2312" w:cs="仿宋_GB2312" w:eastAsia="仿宋_GB2312"/>
              </w:rPr>
              <w:t>拟派项目总负责人具有相关专业工程师资格证书得2分，未提供不得分。（注：提供开标前近三个月的社保缴纳证明，须在本单位注册，以上证件提供复印件加盖公章。）</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结算审核负责人</w:t>
            </w:r>
          </w:p>
        </w:tc>
        <w:tc>
          <w:tcPr>
            <w:tcW w:type="dxa" w:w="2492"/>
          </w:tcPr>
          <w:p>
            <w:pPr>
              <w:pStyle w:val="null3"/>
            </w:pPr>
            <w:r>
              <w:rPr>
                <w:rFonts w:ascii="仿宋_GB2312" w:hAnsi="仿宋_GB2312" w:cs="仿宋_GB2312" w:eastAsia="仿宋_GB2312"/>
              </w:rPr>
              <w:t>拟派结算审核负责人具有相关专业工程师资格证书得2分，未提供不得分。（注：提供开标前近三个月的社保缴纳证明，须在本单位注册，以上证件提供复印件加盖公章。）</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竣工财务决算审计负责人</w:t>
            </w:r>
          </w:p>
        </w:tc>
        <w:tc>
          <w:tcPr>
            <w:tcW w:type="dxa" w:w="2492"/>
          </w:tcPr>
          <w:p>
            <w:pPr>
              <w:pStyle w:val="null3"/>
            </w:pPr>
            <w:r>
              <w:rPr>
                <w:rFonts w:ascii="仿宋_GB2312" w:hAnsi="仿宋_GB2312" w:cs="仿宋_GB2312" w:eastAsia="仿宋_GB2312"/>
              </w:rPr>
              <w:t>拟派竣工财务决算审计负责人具有注册会计师得2分，未提供不得分。（注：提供开标前近三个月的社保缴纳证明，须在本单位注册，以上证件提供复印件加盖公章。）</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项目组其他人员</w:t>
            </w:r>
          </w:p>
        </w:tc>
        <w:tc>
          <w:tcPr>
            <w:tcW w:type="dxa" w:w="2492"/>
          </w:tcPr>
          <w:p>
            <w:pPr>
              <w:pStyle w:val="null3"/>
            </w:pPr>
            <w:r>
              <w:rPr>
                <w:rFonts w:ascii="仿宋_GB2312" w:hAnsi="仿宋_GB2312" w:cs="仿宋_GB2312" w:eastAsia="仿宋_GB2312"/>
              </w:rPr>
              <w:t>项目组其他人员总数不少于6人（须至少具有2名注册会计师）。满足上述要求得基础分2分。在上述要求的基础上： 1、注册会计师每增加1人加1分；最多加2分； 3、具有高级职称的每增加1人加1分，最多加3分。 （相同人员不重复计分）（注：提供开标前近三个月的社保缴纳证明，须在本单位注册，以上证件提供复印件加盖公章。）</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工作组成员</w:t>
            </w:r>
          </w:p>
        </w:tc>
        <w:tc>
          <w:tcPr>
            <w:tcW w:type="dxa" w:w="2492"/>
          </w:tcPr>
          <w:p>
            <w:pPr>
              <w:pStyle w:val="null3"/>
            </w:pPr>
            <w:r>
              <w:rPr>
                <w:rFonts w:ascii="仿宋_GB2312" w:hAnsi="仿宋_GB2312" w:cs="仿宋_GB2312" w:eastAsia="仿宋_GB2312"/>
              </w:rPr>
              <w:t>供应商提供针对本项目拟投入的工作组成员的情况说明及经验能力证明材料。方案内容至少包含: 1、工作组成员管理组织架构、人员分工； 2、工作职责划分； 3、业务管理流程等内容。 方案所涉及的拟投入的工作组成员管理组织架构清晰，人员分工和工作职责划分明确、业务管理流程详细，能有效保障本项目实施，每有一项缺项扣2分，每有一处内容存在缺陷，扣1分，扣完为止。 备注:缺陷是指内容不合理、虽有内容但不完善、内容表述前后不一致，与项目需求不匹配及其他不利于项目实施的等任意一种情形。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保密措施</w:t>
            </w:r>
          </w:p>
        </w:tc>
        <w:tc>
          <w:tcPr>
            <w:tcW w:type="dxa" w:w="2492"/>
          </w:tcPr>
          <w:p>
            <w:pPr>
              <w:pStyle w:val="null3"/>
            </w:pPr>
            <w:r>
              <w:rPr>
                <w:rFonts w:ascii="仿宋_GB2312" w:hAnsi="仿宋_GB2312" w:cs="仿宋_GB2312" w:eastAsia="仿宋_GB2312"/>
              </w:rPr>
              <w:t>供应商提供在审计工作中的保密措施。 1、内容梳理清晰、全面，有针对性措施得3分； 2、内容有针对性，但还有可以优化空间得2分； 3、虽有内容但不完善、内容表述前后不一致、与项目需求不匹配及其他不利于项目实施得1分； 4、未提供不得分。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投标人针对项目完成后的售后服务方案，方案至少包含：1、底稿的存档工作方案；2、后续交接配合工作方案。 切合项目具体情况，提出责任明确，服务定位，能有效保障本项目实施得6分，每有一项缺项扣3分，每有一处内容存在缺陷，扣1分，扣完为止。 备注：缺陷是指内容不合理、虽有内容但不完善、内容表述前后不一致、与项目需求不匹配及其他不利于项目实施的等任意一种情形。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2022年1月1日至今同类（信息化或信息系统项目结算审核或决算审计业绩）项目合同，每提供一个完整合同得2分，满分10分。以合同签订日期为准，提供合同复印件加盖公章。如合同为框架合同需提供合同加成果性文件复印件加盖公章，成果性文件应为2022年1月1日以后文件。</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1.经初审合格的投标响应文件，其投标总报价为有效报价。 2.满足文件实质性要求且总报价最低的供应商的投标总报价为基准价，其价格分为满分10分。 3.报价得分=（基准价/总报价） × 10的公式计算得分。 4.报价不完整的，不计入评标标准价的计算，本项得0分。 5.经评审小组一致认定，供应商的总报价低于公认市场成本，或超过采购预算，其响应将被拒绝。 6.本项目为专门面向中小企业采购，故不参与政策性扣减得分。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详见附件：供应商资质证明文件（2）.docx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