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70D811">
      <w:pPr>
        <w:pStyle w:val="3"/>
        <w:ind w:firstLine="0"/>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b/>
          <w:bCs/>
          <w:sz w:val="28"/>
          <w:szCs w:val="28"/>
        </w:rPr>
        <w:t>(仅供参考)</w:t>
      </w:r>
      <w:bookmarkStart w:id="0" w:name="_Toc7708"/>
      <w:bookmarkStart w:id="1" w:name="_Toc30319"/>
      <w:bookmarkStart w:id="2" w:name="_Toc11509"/>
      <w:bookmarkStart w:id="3" w:name="_Toc14376"/>
    </w:p>
    <w:p w14:paraId="4955F9A2">
      <w:pPr>
        <w:pStyle w:val="2"/>
        <w:jc w:val="both"/>
        <w:rPr>
          <w:rFonts w:ascii="方正仿宋_GB2312" w:hAnsi="方正仿宋_GB2312" w:eastAsia="方正仿宋_GB2312" w:cs="方正仿宋_GB2312"/>
          <w:bCs/>
          <w:sz w:val="24"/>
        </w:rPr>
      </w:pPr>
      <w:bookmarkStart w:id="4" w:name="_Toc25686"/>
      <w:bookmarkStart w:id="5" w:name="_Toc28674"/>
      <w:bookmarkStart w:id="6" w:name="_Toc27761"/>
      <w:r>
        <w:rPr>
          <w:rFonts w:hint="eastAsia" w:ascii="方正仿宋_GB2312" w:hAnsi="方正仿宋_GB2312" w:eastAsia="方正仿宋_GB2312" w:cs="方正仿宋_GB2312"/>
          <w:b w:val="0"/>
          <w:sz w:val="24"/>
        </w:rPr>
        <w:t>（合同签订时采购人有权根据供应商响应文件中的内容及承诺对合同内容进行补充和完善）</w:t>
      </w:r>
      <w:bookmarkEnd w:id="0"/>
      <w:bookmarkEnd w:id="1"/>
      <w:bookmarkEnd w:id="2"/>
      <w:bookmarkEnd w:id="3"/>
      <w:bookmarkEnd w:id="4"/>
      <w:bookmarkEnd w:id="5"/>
      <w:bookmarkEnd w:id="6"/>
    </w:p>
    <w:p w14:paraId="68916479">
      <w:pPr>
        <w:spacing w:line="360" w:lineRule="auto"/>
        <w:jc w:val="center"/>
        <w:rPr>
          <w:rFonts w:ascii="方正仿宋_GB2312" w:hAnsi="方正仿宋_GB2312" w:eastAsia="方正仿宋_GB2312" w:cs="方正仿宋_GB2312"/>
          <w:b/>
          <w:bCs/>
          <w:kern w:val="0"/>
          <w:sz w:val="24"/>
        </w:rPr>
      </w:pPr>
    </w:p>
    <w:p w14:paraId="29C8CB3B">
      <w:pPr>
        <w:pStyle w:val="2"/>
        <w:rPr>
          <w:rFonts w:ascii="方正仿宋_GB2312" w:hAnsi="方正仿宋_GB2312" w:eastAsia="方正仿宋_GB2312" w:cs="方正仿宋_GB2312"/>
          <w:bCs/>
          <w:snapToGrid w:val="0"/>
          <w:sz w:val="24"/>
        </w:rPr>
      </w:pPr>
    </w:p>
    <w:p w14:paraId="18B79DF7">
      <w:pPr>
        <w:spacing w:line="360" w:lineRule="auto"/>
        <w:rPr>
          <w:rFonts w:ascii="方正仿宋_GB2312" w:hAnsi="方正仿宋_GB2312" w:eastAsia="方正仿宋_GB2312" w:cs="方正仿宋_GB2312"/>
          <w:b/>
          <w:bCs/>
          <w:snapToGrid w:val="0"/>
          <w:sz w:val="24"/>
        </w:rPr>
      </w:pPr>
    </w:p>
    <w:p w14:paraId="3CDCDEF3">
      <w:pPr>
        <w:pStyle w:val="4"/>
        <w:rPr>
          <w:rFonts w:ascii="方正仿宋_GB2312" w:hAnsi="方正仿宋_GB2312" w:eastAsia="方正仿宋_GB2312" w:cs="方正仿宋_GB2312"/>
          <w:b/>
          <w:bCs/>
          <w:snapToGrid w:val="0"/>
          <w:sz w:val="24"/>
        </w:rPr>
      </w:pPr>
    </w:p>
    <w:p w14:paraId="2F31E287">
      <w:pPr>
        <w:rPr>
          <w:rFonts w:ascii="方正仿宋_GB2312" w:hAnsi="方正仿宋_GB2312" w:eastAsia="方正仿宋_GB2312" w:cs="方正仿宋_GB2312"/>
          <w:b/>
          <w:bCs/>
          <w:snapToGrid w:val="0"/>
          <w:sz w:val="24"/>
        </w:rPr>
      </w:pPr>
    </w:p>
    <w:p w14:paraId="10B0FD16">
      <w:pPr>
        <w:pStyle w:val="4"/>
        <w:spacing w:line="360" w:lineRule="auto"/>
        <w:rPr>
          <w:rFonts w:ascii="方正仿宋_GB2312" w:hAnsi="方正仿宋_GB2312" w:eastAsia="方正仿宋_GB2312" w:cs="方正仿宋_GB2312"/>
          <w:sz w:val="24"/>
        </w:rPr>
      </w:pPr>
    </w:p>
    <w:p w14:paraId="52ABD204">
      <w:pPr>
        <w:pStyle w:val="2"/>
        <w:rPr>
          <w:rFonts w:ascii="方正仿宋_GB2312" w:hAnsi="方正仿宋_GB2312" w:eastAsia="方正仿宋_GB2312" w:cs="方正仿宋_GB2312"/>
          <w:sz w:val="40"/>
          <w:szCs w:val="40"/>
        </w:rPr>
      </w:pPr>
      <w:r>
        <w:rPr>
          <w:rFonts w:hint="eastAsia" w:ascii="方正仿宋_GB2312" w:hAnsi="方正仿宋_GB2312" w:eastAsia="方正仿宋_GB2312" w:cs="方正仿宋_GB2312"/>
          <w:sz w:val="40"/>
          <w:szCs w:val="40"/>
        </w:rPr>
        <w:t>汉阳陵国家考古遗址公园文物保护管理用房</w:t>
      </w:r>
    </w:p>
    <w:p w14:paraId="17D22BFF">
      <w:pPr>
        <w:pStyle w:val="2"/>
        <w:rPr>
          <w:rFonts w:ascii="方正仿宋_GB2312" w:hAnsi="方正仿宋_GB2312" w:eastAsia="方正仿宋_GB2312" w:cs="方正仿宋_GB2312"/>
          <w:sz w:val="40"/>
          <w:szCs w:val="40"/>
        </w:rPr>
      </w:pPr>
      <w:r>
        <w:rPr>
          <w:rFonts w:hint="eastAsia" w:ascii="方正仿宋_GB2312" w:hAnsi="方正仿宋_GB2312" w:eastAsia="方正仿宋_GB2312" w:cs="方正仿宋_GB2312"/>
          <w:sz w:val="40"/>
          <w:szCs w:val="40"/>
        </w:rPr>
        <w:t>提升改造项目</w:t>
      </w:r>
    </w:p>
    <w:p w14:paraId="42BE3CBB">
      <w:pPr>
        <w:spacing w:line="360" w:lineRule="auto"/>
        <w:rPr>
          <w:rFonts w:ascii="方正仿宋_GB2312" w:hAnsi="方正仿宋_GB2312" w:eastAsia="方正仿宋_GB2312" w:cs="方正仿宋_GB2312"/>
          <w:sz w:val="22"/>
          <w:szCs w:val="22"/>
        </w:rPr>
      </w:pPr>
    </w:p>
    <w:p w14:paraId="15A8B7C7">
      <w:pPr>
        <w:pStyle w:val="4"/>
        <w:spacing w:line="360" w:lineRule="auto"/>
        <w:rPr>
          <w:rFonts w:ascii="方正仿宋_GB2312" w:hAnsi="方正仿宋_GB2312" w:eastAsia="方正仿宋_GB2312" w:cs="方正仿宋_GB2312"/>
          <w:sz w:val="22"/>
          <w:szCs w:val="22"/>
        </w:rPr>
      </w:pPr>
    </w:p>
    <w:p w14:paraId="5CE84C4F">
      <w:pPr>
        <w:spacing w:line="360" w:lineRule="auto"/>
        <w:rPr>
          <w:rFonts w:ascii="方正仿宋_GB2312" w:hAnsi="方正仿宋_GB2312" w:eastAsia="方正仿宋_GB2312" w:cs="方正仿宋_GB2312"/>
          <w:sz w:val="22"/>
          <w:szCs w:val="22"/>
        </w:rPr>
      </w:pPr>
    </w:p>
    <w:p w14:paraId="091FCA2D">
      <w:pPr>
        <w:spacing w:line="360" w:lineRule="auto"/>
        <w:rPr>
          <w:rFonts w:ascii="方正仿宋_GB2312" w:hAnsi="方正仿宋_GB2312" w:eastAsia="方正仿宋_GB2312" w:cs="方正仿宋_GB2312"/>
          <w:sz w:val="22"/>
          <w:szCs w:val="22"/>
        </w:rPr>
      </w:pPr>
    </w:p>
    <w:p w14:paraId="1B96239B">
      <w:pPr>
        <w:spacing w:line="360" w:lineRule="auto"/>
        <w:rPr>
          <w:rFonts w:ascii="方正仿宋_GB2312" w:hAnsi="方正仿宋_GB2312" w:eastAsia="方正仿宋_GB2312" w:cs="方正仿宋_GB2312"/>
          <w:sz w:val="22"/>
          <w:szCs w:val="22"/>
        </w:rPr>
      </w:pPr>
    </w:p>
    <w:p w14:paraId="2C644520">
      <w:pPr>
        <w:rPr>
          <w:rFonts w:ascii="方正仿宋_GB2312" w:hAnsi="方正仿宋_GB2312" w:eastAsia="方正仿宋_GB2312" w:cs="方正仿宋_GB2312"/>
          <w:sz w:val="20"/>
          <w:szCs w:val="18"/>
        </w:rPr>
      </w:pPr>
    </w:p>
    <w:p w14:paraId="21832AEC">
      <w:pPr>
        <w:spacing w:line="360" w:lineRule="auto"/>
        <w:rPr>
          <w:rFonts w:ascii="方正仿宋_GB2312" w:hAnsi="方正仿宋_GB2312" w:eastAsia="方正仿宋_GB2312" w:cs="方正仿宋_GB2312"/>
          <w:sz w:val="22"/>
          <w:szCs w:val="22"/>
        </w:rPr>
      </w:pPr>
    </w:p>
    <w:p w14:paraId="20AA1D0B">
      <w:pPr>
        <w:pStyle w:val="4"/>
        <w:spacing w:line="360" w:lineRule="auto"/>
        <w:rPr>
          <w:rFonts w:ascii="方正仿宋_GB2312" w:hAnsi="方正仿宋_GB2312" w:eastAsia="方正仿宋_GB2312" w:cs="方正仿宋_GB2312"/>
          <w:sz w:val="22"/>
          <w:szCs w:val="22"/>
        </w:rPr>
      </w:pPr>
    </w:p>
    <w:p w14:paraId="14E2BD72">
      <w:pPr>
        <w:spacing w:line="360" w:lineRule="auto"/>
        <w:rPr>
          <w:rFonts w:ascii="方正仿宋_GB2312" w:hAnsi="方正仿宋_GB2312" w:eastAsia="方正仿宋_GB2312" w:cs="方正仿宋_GB2312"/>
          <w:sz w:val="22"/>
          <w:szCs w:val="22"/>
        </w:rPr>
      </w:pPr>
    </w:p>
    <w:p w14:paraId="0A671165">
      <w:pPr>
        <w:pStyle w:val="9"/>
        <w:spacing w:line="360" w:lineRule="auto"/>
        <w:rPr>
          <w:rFonts w:ascii="方正仿宋_GB2312" w:hAnsi="方正仿宋_GB2312" w:eastAsia="方正仿宋_GB2312" w:cs="方正仿宋_GB2312"/>
          <w:sz w:val="22"/>
          <w:szCs w:val="22"/>
        </w:rPr>
      </w:pPr>
    </w:p>
    <w:p w14:paraId="7D7DC080">
      <w:pPr>
        <w:spacing w:line="360" w:lineRule="auto"/>
        <w:jc w:val="center"/>
        <w:rPr>
          <w:rFonts w:ascii="方正仿宋_GB2312" w:hAnsi="方正仿宋_GB2312" w:eastAsia="方正仿宋_GB2312" w:cs="方正仿宋_GB2312"/>
          <w:sz w:val="32"/>
          <w:szCs w:val="32"/>
        </w:rPr>
        <w:sectPr>
          <w:headerReference r:id="rId3" w:type="default"/>
          <w:footerReference r:id="rId4" w:type="default"/>
          <w:pgSz w:w="11906" w:h="16838"/>
          <w:pgMar w:top="1134" w:right="991" w:bottom="1440" w:left="1418" w:header="851" w:footer="992" w:gutter="0"/>
          <w:pgNumType w:start="1"/>
          <w:cols w:space="720" w:num="1"/>
          <w:docGrid w:type="lines" w:linePitch="312" w:charSpace="0"/>
        </w:sectPr>
      </w:pPr>
      <w:r>
        <w:rPr>
          <w:rFonts w:hint="eastAsia" w:ascii="方正仿宋_GB2312" w:hAnsi="方正仿宋_GB2312" w:eastAsia="方正仿宋_GB2312" w:cs="方正仿宋_GB2312"/>
          <w:sz w:val="32"/>
          <w:szCs w:val="32"/>
        </w:rPr>
        <w:t>签订日期：    年   月   日</w:t>
      </w:r>
    </w:p>
    <w:p w14:paraId="257BDE21">
      <w:pPr>
        <w:adjustRightInd w:val="0"/>
        <w:snapToGrid w:val="0"/>
        <w:spacing w:line="360" w:lineRule="auto"/>
        <w:jc w:val="left"/>
        <w:rPr>
          <w:rFonts w:ascii="方正仿宋_GB2312" w:hAnsi="方正仿宋_GB2312" w:eastAsia="方正仿宋_GB2312" w:cs="方正仿宋_GB2312"/>
          <w:b/>
          <w:sz w:val="22"/>
          <w:szCs w:val="22"/>
          <w:u w:val="single"/>
        </w:rPr>
      </w:pPr>
      <w:r>
        <w:rPr>
          <w:rFonts w:hint="eastAsia" w:ascii="方正仿宋_GB2312" w:hAnsi="方正仿宋_GB2312" w:eastAsia="方正仿宋_GB2312" w:cs="方正仿宋_GB2312"/>
          <w:b/>
          <w:sz w:val="22"/>
          <w:szCs w:val="22"/>
        </w:rPr>
        <w:t>发包人：</w:t>
      </w:r>
      <w:r>
        <w:rPr>
          <w:rFonts w:hint="eastAsia" w:ascii="方正仿宋_GB2312" w:hAnsi="方正仿宋_GB2312" w:eastAsia="方正仿宋_GB2312" w:cs="方正仿宋_GB2312"/>
          <w:b/>
          <w:sz w:val="22"/>
          <w:szCs w:val="22"/>
          <w:u w:val="single"/>
        </w:rPr>
        <w:t xml:space="preserve"> 汉景帝阳陵博物院 </w:t>
      </w:r>
    </w:p>
    <w:p w14:paraId="3CA97C6E">
      <w:pPr>
        <w:adjustRightInd w:val="0"/>
        <w:snapToGrid w:val="0"/>
        <w:spacing w:line="360" w:lineRule="auto"/>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b/>
          <w:sz w:val="22"/>
          <w:szCs w:val="22"/>
        </w:rPr>
        <w:t>承包人：</w:t>
      </w:r>
      <w:r>
        <w:rPr>
          <w:rFonts w:hint="eastAsia" w:ascii="方正仿宋_GB2312" w:hAnsi="方正仿宋_GB2312" w:eastAsia="方正仿宋_GB2312" w:cs="方正仿宋_GB2312"/>
          <w:b/>
          <w:sz w:val="22"/>
          <w:szCs w:val="22"/>
          <w:u w:val="single"/>
        </w:rPr>
        <w:t xml:space="preserve">                </w:t>
      </w:r>
    </w:p>
    <w:p w14:paraId="00544F84">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根据《中华人民共和国民法典》、《中华人民共和国建筑法》及有关法律规定，遵循平等、自愿、公平和诚实信用的原则，双方经过磋商的采购方式，就汉阳陵国家考古遗址公园文物保护管理用房提升改造项目及有关事项协商一致，共同达成如下协议：</w:t>
      </w:r>
    </w:p>
    <w:p w14:paraId="09256139">
      <w:pPr>
        <w:keepNext/>
        <w:keepLines/>
        <w:adjustRightInd w:val="0"/>
        <w:snapToGrid w:val="0"/>
        <w:spacing w:before="156" w:beforeLines="50" w:after="156" w:afterLines="50" w:line="360" w:lineRule="auto"/>
        <w:jc w:val="left"/>
        <w:outlineLvl w:val="3"/>
        <w:rPr>
          <w:rFonts w:ascii="方正仿宋_GB2312" w:hAnsi="方正仿宋_GB2312" w:eastAsia="方正仿宋_GB2312" w:cs="方正仿宋_GB2312"/>
          <w:b/>
          <w:bCs/>
          <w:sz w:val="22"/>
          <w:szCs w:val="22"/>
        </w:rPr>
      </w:pPr>
      <w:bookmarkStart w:id="7" w:name="_Toc351203481"/>
      <w:r>
        <w:rPr>
          <w:rFonts w:hint="eastAsia" w:ascii="方正仿宋_GB2312" w:hAnsi="方正仿宋_GB2312" w:eastAsia="方正仿宋_GB2312" w:cs="方正仿宋_GB2312"/>
          <w:b/>
          <w:bCs/>
          <w:sz w:val="22"/>
          <w:szCs w:val="22"/>
        </w:rPr>
        <w:t>一、工程概况</w:t>
      </w:r>
      <w:bookmarkEnd w:id="7"/>
      <w:r>
        <w:rPr>
          <w:rFonts w:hint="eastAsia" w:ascii="方正仿宋_GB2312" w:hAnsi="方正仿宋_GB2312" w:eastAsia="方正仿宋_GB2312" w:cs="方正仿宋_GB2312"/>
          <w:b/>
          <w:bCs/>
          <w:sz w:val="22"/>
          <w:szCs w:val="22"/>
        </w:rPr>
        <w:t>及其他说明</w:t>
      </w:r>
    </w:p>
    <w:p w14:paraId="26ABA56B">
      <w:pPr>
        <w:adjustRightInd w:val="0"/>
        <w:snapToGrid w:val="0"/>
        <w:spacing w:after="120"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1.工程名称：汉阳陵国家考古遗址公园文物保护管理用房提升改造项目。</w:t>
      </w:r>
    </w:p>
    <w:p w14:paraId="6701431B">
      <w:pPr>
        <w:adjustRightInd w:val="0"/>
        <w:snapToGrid w:val="0"/>
        <w:spacing w:after="120"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2.工程地点：采购人指定地点。</w:t>
      </w:r>
    </w:p>
    <w:p w14:paraId="1B34A614">
      <w:pPr>
        <w:adjustRightInd w:val="0"/>
        <w:snapToGrid w:val="0"/>
        <w:spacing w:after="120"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3.资金来源： 已落实。</w:t>
      </w:r>
    </w:p>
    <w:p w14:paraId="4A4DFC28">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4.工程内容：本工程为汉阳陵国家考古遗址公园文物保护管理用房提升改造项目。</w:t>
      </w:r>
    </w:p>
    <w:p w14:paraId="55C05845">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5.工程承包范围：本项目的竞争性磋商文件、工程量清单、答疑文件及其他补充说明文件等。</w:t>
      </w:r>
      <w:bookmarkStart w:id="8" w:name="_Toc351203482"/>
    </w:p>
    <w:p w14:paraId="08F7B852">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6.适用于合同的其他规范性文件：《中华人民共和国建筑法》《中华人民共和国民法典》《中华人民共和国安全生产法》《建筑工程质量管理条例》《建筑工程强制性标准条文》《建筑工程质量保修办法》；陕西省、西安市关于安全生产文明施工的法规、条例和规范性文件等。</w:t>
      </w:r>
    </w:p>
    <w:p w14:paraId="507BDFAA">
      <w:pPr>
        <w:adjustRightInd w:val="0"/>
        <w:snapToGrid w:val="0"/>
        <w:spacing w:after="120"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7.标准和规范</w:t>
      </w:r>
    </w:p>
    <w:p w14:paraId="478D74A0">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适用于工程的标准规范包括： 根据《文物保护工程管理办法》及现行建筑安全规范等国家建筑工程施工及验收规范标准以及材料、设备所涉及的现行国家、省、市或行业的工程建设标准、规范的要求；以上技术规范由承包人自备，如有不足之处或未能达到国家最新标准时，承包人应使施工及选用的材料符合最新版本的国家标准、规范。</w:t>
      </w:r>
    </w:p>
    <w:p w14:paraId="742D2720">
      <w:pPr>
        <w:adjustRightInd w:val="0"/>
        <w:snapToGrid w:val="0"/>
        <w:spacing w:after="120"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8.交通运输</w:t>
      </w:r>
    </w:p>
    <w:p w14:paraId="6244DC66">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bookmarkStart w:id="9" w:name="_Toc304295521"/>
      <w:bookmarkStart w:id="10" w:name="_Toc303539100"/>
      <w:bookmarkStart w:id="11" w:name="_Toc312677986"/>
      <w:bookmarkStart w:id="12" w:name="_Toc300934943"/>
      <w:bookmarkStart w:id="13" w:name="_Toc318581155"/>
      <w:r>
        <w:rPr>
          <w:rFonts w:hint="eastAsia" w:ascii="方正仿宋_GB2312" w:hAnsi="方正仿宋_GB2312" w:eastAsia="方正仿宋_GB2312" w:cs="方正仿宋_GB2312"/>
          <w:sz w:val="22"/>
          <w:szCs w:val="22"/>
        </w:rPr>
        <w:t>关于出入现场的权利的约定：</w:t>
      </w:r>
      <w:r>
        <w:rPr>
          <w:rFonts w:hint="eastAsia" w:ascii="方正仿宋_GB2312" w:hAnsi="方正仿宋_GB2312" w:eastAsia="方正仿宋_GB2312" w:cs="方正仿宋_GB2312"/>
          <w:sz w:val="22"/>
          <w:szCs w:val="22"/>
          <w:u w:val="single"/>
        </w:rPr>
        <w:t>承包人负责现场管理，发包人遵守承包人现场管理的规定。</w:t>
      </w:r>
      <w:bookmarkEnd w:id="9"/>
      <w:bookmarkEnd w:id="10"/>
      <w:bookmarkEnd w:id="11"/>
      <w:bookmarkEnd w:id="12"/>
      <w:bookmarkEnd w:id="13"/>
      <w:bookmarkStart w:id="14" w:name="_Toc312677987"/>
      <w:bookmarkStart w:id="15" w:name="_Toc303539101"/>
      <w:bookmarkStart w:id="16" w:name="_Toc300934944"/>
      <w:bookmarkStart w:id="17" w:name="_Toc304295522"/>
      <w:bookmarkStart w:id="18" w:name="_Toc318581156"/>
    </w:p>
    <w:p w14:paraId="6A898DA3">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关于场外交通和场内交通的边界的约定：</w:t>
      </w:r>
      <w:r>
        <w:rPr>
          <w:rFonts w:hint="eastAsia" w:ascii="方正仿宋_GB2312" w:hAnsi="方正仿宋_GB2312" w:eastAsia="方正仿宋_GB2312" w:cs="方正仿宋_GB2312"/>
          <w:sz w:val="22"/>
          <w:szCs w:val="22"/>
          <w:u w:val="single"/>
        </w:rPr>
        <w:t xml:space="preserve">根据现场情况，双方另行约定 </w:t>
      </w:r>
      <w:r>
        <w:rPr>
          <w:rFonts w:hint="eastAsia" w:ascii="方正仿宋_GB2312" w:hAnsi="方正仿宋_GB2312" w:eastAsia="方正仿宋_GB2312" w:cs="方正仿宋_GB2312"/>
          <w:sz w:val="22"/>
          <w:szCs w:val="22"/>
        </w:rPr>
        <w:t>。</w:t>
      </w:r>
    </w:p>
    <w:p w14:paraId="5CDCE354">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关于发包人向承包人免费提供满足工程施工需要的场内道路和交通设施的约定：</w:t>
      </w:r>
      <w:r>
        <w:rPr>
          <w:rFonts w:hint="eastAsia" w:ascii="方正仿宋_GB2312" w:hAnsi="方正仿宋_GB2312" w:eastAsia="方正仿宋_GB2312" w:cs="方正仿宋_GB2312"/>
          <w:sz w:val="22"/>
          <w:szCs w:val="22"/>
          <w:u w:val="single"/>
        </w:rPr>
        <w:t>以场地现状为准，发包人不提供除现状外的其他道路</w:t>
      </w:r>
      <w:r>
        <w:rPr>
          <w:rFonts w:hint="eastAsia" w:ascii="方正仿宋_GB2312" w:hAnsi="方正仿宋_GB2312" w:eastAsia="方正仿宋_GB2312" w:cs="方正仿宋_GB2312"/>
          <w:sz w:val="22"/>
          <w:szCs w:val="22"/>
        </w:rPr>
        <w:t>。</w:t>
      </w:r>
      <w:bookmarkEnd w:id="14"/>
      <w:bookmarkEnd w:id="15"/>
      <w:bookmarkEnd w:id="16"/>
      <w:bookmarkEnd w:id="17"/>
      <w:bookmarkEnd w:id="18"/>
      <w:r>
        <w:rPr>
          <w:rFonts w:hint="eastAsia" w:ascii="方正仿宋_GB2312" w:hAnsi="方正仿宋_GB2312" w:eastAsia="方正仿宋_GB2312" w:cs="方正仿宋_GB2312"/>
          <w:sz w:val="22"/>
          <w:szCs w:val="22"/>
        </w:rPr>
        <w:t xml:space="preserve">  </w:t>
      </w:r>
      <w:bookmarkStart w:id="19" w:name="_Toc318581157"/>
    </w:p>
    <w:p w14:paraId="6B677FD1">
      <w:pPr>
        <w:adjustRightInd w:val="0"/>
        <w:snapToGrid w:val="0"/>
        <w:spacing w:line="360" w:lineRule="auto"/>
        <w:ind w:firstLine="440" w:firstLineChars="200"/>
        <w:jc w:val="left"/>
        <w:rPr>
          <w:rFonts w:ascii="方正仿宋_GB2312" w:hAnsi="方正仿宋_GB2312" w:eastAsia="方正仿宋_GB2312" w:cs="方正仿宋_GB2312"/>
          <w:sz w:val="22"/>
          <w:szCs w:val="22"/>
          <w:u w:val="single"/>
        </w:rPr>
      </w:pPr>
      <w:r>
        <w:rPr>
          <w:rFonts w:hint="eastAsia" w:ascii="方正仿宋_GB2312" w:hAnsi="方正仿宋_GB2312" w:eastAsia="方正仿宋_GB2312" w:cs="方正仿宋_GB2312"/>
          <w:sz w:val="22"/>
          <w:szCs w:val="22"/>
        </w:rPr>
        <w:t>超大件和超重件的运输：运输超大件或超重件所需的道路和桥梁临时加固改造费用和其他有关费用由承包人承担。</w:t>
      </w:r>
    </w:p>
    <w:bookmarkEnd w:id="19"/>
    <w:p w14:paraId="09B5C771">
      <w:pPr>
        <w:adjustRightInd w:val="0"/>
        <w:snapToGrid w:val="0"/>
        <w:spacing w:after="120"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9.知识产权</w:t>
      </w:r>
    </w:p>
    <w:p w14:paraId="226AA2AF">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关于发包人提供给承包人的资料、发包人为实施工程自行编制或委托编制的技术规范以及反映发包人关于合同要求或其他类似性质的文件的著作权的归属：</w:t>
      </w:r>
      <w:r>
        <w:rPr>
          <w:rFonts w:hint="eastAsia" w:ascii="方正仿宋_GB2312" w:hAnsi="方正仿宋_GB2312" w:eastAsia="方正仿宋_GB2312" w:cs="方正仿宋_GB2312"/>
          <w:sz w:val="22"/>
          <w:szCs w:val="22"/>
          <w:u w:val="single"/>
        </w:rPr>
        <w:t xml:space="preserve">归属于发包人 </w:t>
      </w:r>
      <w:r>
        <w:rPr>
          <w:rFonts w:hint="eastAsia" w:ascii="方正仿宋_GB2312" w:hAnsi="方正仿宋_GB2312" w:eastAsia="方正仿宋_GB2312" w:cs="方正仿宋_GB2312"/>
          <w:sz w:val="22"/>
          <w:szCs w:val="22"/>
        </w:rPr>
        <w:t>。</w:t>
      </w:r>
    </w:p>
    <w:p w14:paraId="1F166371">
      <w:pPr>
        <w:adjustRightInd w:val="0"/>
        <w:snapToGrid w:val="0"/>
        <w:spacing w:line="360" w:lineRule="auto"/>
        <w:ind w:firstLine="440" w:firstLineChars="200"/>
        <w:jc w:val="left"/>
        <w:rPr>
          <w:rFonts w:ascii="方正仿宋_GB2312" w:hAnsi="方正仿宋_GB2312" w:eastAsia="方正仿宋_GB2312" w:cs="方正仿宋_GB2312"/>
          <w:sz w:val="22"/>
          <w:szCs w:val="22"/>
          <w:u w:val="single"/>
        </w:rPr>
      </w:pPr>
      <w:r>
        <w:rPr>
          <w:rFonts w:hint="eastAsia" w:ascii="方正仿宋_GB2312" w:hAnsi="方正仿宋_GB2312" w:eastAsia="方正仿宋_GB2312" w:cs="方正仿宋_GB2312"/>
          <w:sz w:val="22"/>
          <w:szCs w:val="22"/>
        </w:rPr>
        <w:t>关于发包人提供的上述文件的使用限制的要求：</w:t>
      </w:r>
      <w:r>
        <w:rPr>
          <w:rFonts w:hint="eastAsia" w:ascii="方正仿宋_GB2312" w:hAnsi="方正仿宋_GB2312" w:eastAsia="方正仿宋_GB2312" w:cs="方正仿宋_GB2312"/>
          <w:sz w:val="22"/>
          <w:szCs w:val="22"/>
          <w:u w:val="single"/>
        </w:rPr>
        <w:t xml:space="preserve"> 承包人对上述文件复制应经发包人同意并记录，按受控文件要求进行管理，不得外传、外借。</w:t>
      </w:r>
    </w:p>
    <w:p w14:paraId="4C34DDC1">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关于承包人为实施工程所编制文件的著作权的归属：</w:t>
      </w:r>
      <w:r>
        <w:rPr>
          <w:rFonts w:hint="eastAsia" w:ascii="方正仿宋_GB2312" w:hAnsi="方正仿宋_GB2312" w:eastAsia="方正仿宋_GB2312" w:cs="方正仿宋_GB2312"/>
          <w:sz w:val="22"/>
          <w:szCs w:val="22"/>
          <w:u w:val="single"/>
        </w:rPr>
        <w:t xml:space="preserve"> 除署名权以外的著作权属于发包人 </w:t>
      </w:r>
      <w:r>
        <w:rPr>
          <w:rFonts w:hint="eastAsia" w:ascii="方正仿宋_GB2312" w:hAnsi="方正仿宋_GB2312" w:eastAsia="方正仿宋_GB2312" w:cs="方正仿宋_GB2312"/>
          <w:sz w:val="22"/>
          <w:szCs w:val="22"/>
        </w:rPr>
        <w:t>。</w:t>
      </w:r>
    </w:p>
    <w:p w14:paraId="7DA0E4C5">
      <w:pPr>
        <w:adjustRightInd w:val="0"/>
        <w:snapToGrid w:val="0"/>
        <w:spacing w:line="360" w:lineRule="auto"/>
        <w:ind w:firstLine="440" w:firstLineChars="200"/>
        <w:jc w:val="left"/>
        <w:rPr>
          <w:rFonts w:ascii="方正仿宋_GB2312" w:hAnsi="方正仿宋_GB2312" w:eastAsia="方正仿宋_GB2312" w:cs="方正仿宋_GB2312"/>
          <w:sz w:val="22"/>
          <w:szCs w:val="22"/>
          <w:u w:val="single"/>
        </w:rPr>
      </w:pPr>
      <w:r>
        <w:rPr>
          <w:rFonts w:hint="eastAsia" w:ascii="方正仿宋_GB2312" w:hAnsi="方正仿宋_GB2312" w:eastAsia="方正仿宋_GB2312" w:cs="方正仿宋_GB2312"/>
          <w:sz w:val="22"/>
          <w:szCs w:val="22"/>
        </w:rPr>
        <w:t>关于承包人提供的上述文件的使用限制的要求：</w:t>
      </w:r>
      <w:r>
        <w:rPr>
          <w:rFonts w:hint="eastAsia" w:ascii="方正仿宋_GB2312" w:hAnsi="方正仿宋_GB2312" w:eastAsia="方正仿宋_GB2312" w:cs="方正仿宋_GB2312"/>
          <w:sz w:val="22"/>
          <w:szCs w:val="22"/>
          <w:u w:val="single"/>
        </w:rPr>
        <w:t xml:space="preserve">承包人对上述文件复制应经发包人同意并记录，按受控文件要求进行管理，不得外传、外借 </w:t>
      </w:r>
      <w:r>
        <w:rPr>
          <w:rFonts w:hint="eastAsia" w:ascii="方正仿宋_GB2312" w:hAnsi="方正仿宋_GB2312" w:eastAsia="方正仿宋_GB2312" w:cs="方正仿宋_GB2312"/>
          <w:sz w:val="22"/>
          <w:szCs w:val="22"/>
        </w:rPr>
        <w:t>。</w:t>
      </w:r>
    </w:p>
    <w:p w14:paraId="66EE3C59">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承包人在施工过程中所采用的专利、专有技术、技术秘密的使用费的承担方式：</w:t>
      </w:r>
      <w:r>
        <w:rPr>
          <w:rFonts w:hint="eastAsia" w:ascii="方正仿宋_GB2312" w:hAnsi="方正仿宋_GB2312" w:eastAsia="方正仿宋_GB2312" w:cs="方正仿宋_GB2312"/>
          <w:sz w:val="22"/>
          <w:szCs w:val="22"/>
          <w:u w:val="single"/>
        </w:rPr>
        <w:t xml:space="preserve"> 已包含在磋商报价中，发包人不再另行支付费用 </w:t>
      </w:r>
      <w:r>
        <w:rPr>
          <w:rFonts w:hint="eastAsia" w:ascii="方正仿宋_GB2312" w:hAnsi="方正仿宋_GB2312" w:eastAsia="方正仿宋_GB2312" w:cs="方正仿宋_GB2312"/>
          <w:sz w:val="22"/>
          <w:szCs w:val="22"/>
        </w:rPr>
        <w:t>。</w:t>
      </w:r>
    </w:p>
    <w:p w14:paraId="56C52C4E">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10.分包：除发包人指定分包的内容外一律不允许分包。</w:t>
      </w:r>
    </w:p>
    <w:p w14:paraId="6874AE1A">
      <w:pPr>
        <w:adjustRightInd w:val="0"/>
        <w:snapToGrid w:val="0"/>
        <w:spacing w:line="360" w:lineRule="auto"/>
        <w:ind w:left="479" w:leftChars="228"/>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11.工程照管与成品、半成品保护均由承包人负责并不另外记取任何费用。</w:t>
      </w:r>
    </w:p>
    <w:p w14:paraId="4505EC44">
      <w:pPr>
        <w:keepNext/>
        <w:keepLines/>
        <w:adjustRightInd w:val="0"/>
        <w:snapToGrid w:val="0"/>
        <w:spacing w:before="156" w:beforeLines="50" w:after="156" w:afterLines="50" w:line="360" w:lineRule="auto"/>
        <w:jc w:val="left"/>
        <w:outlineLvl w:val="3"/>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二、合同工期</w:t>
      </w:r>
      <w:bookmarkEnd w:id="8"/>
    </w:p>
    <w:p w14:paraId="45400A7A">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工期：合同签订后120日历天</w:t>
      </w:r>
    </w:p>
    <w:p w14:paraId="3D953D55">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开工日期：</w:t>
      </w:r>
      <w:r>
        <w:rPr>
          <w:rFonts w:hint="eastAsia" w:ascii="方正仿宋_GB2312" w:hAnsi="方正仿宋_GB2312" w:eastAsia="方正仿宋_GB2312" w:cs="方正仿宋_GB2312"/>
          <w:sz w:val="22"/>
          <w:szCs w:val="22"/>
          <w:u w:val="single"/>
        </w:rPr>
        <w:t></w:t>
      </w:r>
      <w:r>
        <w:rPr>
          <w:rFonts w:hint="eastAsia" w:ascii="方正仿宋_GB2312" w:hAnsi="方正仿宋_GB2312" w:eastAsia="方正仿宋_GB2312" w:cs="方正仿宋_GB2312"/>
          <w:sz w:val="22"/>
          <w:szCs w:val="22"/>
        </w:rPr>
        <w:t>年</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月</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日，竣工日期：</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年</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月</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日。</w:t>
      </w:r>
    </w:p>
    <w:p w14:paraId="6471FD50">
      <w:pPr>
        <w:keepNext/>
        <w:keepLines/>
        <w:adjustRightInd w:val="0"/>
        <w:snapToGrid w:val="0"/>
        <w:spacing w:before="156" w:beforeLines="50" w:after="156" w:afterLines="50" w:line="360" w:lineRule="auto"/>
        <w:jc w:val="left"/>
        <w:outlineLvl w:val="3"/>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三、项目经理</w:t>
      </w:r>
    </w:p>
    <w:p w14:paraId="2FED7AD2">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承包人项目经理：</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。项目经理无正当理由不得更换，否则发包人有权解除本合同并由承包人承担由此带来的全部损失。</w:t>
      </w:r>
    </w:p>
    <w:p w14:paraId="23E466DA">
      <w:pPr>
        <w:keepNext/>
        <w:keepLines/>
        <w:adjustRightInd w:val="0"/>
        <w:snapToGrid w:val="0"/>
        <w:spacing w:before="156" w:beforeLines="50" w:after="156" w:afterLines="50" w:line="360" w:lineRule="auto"/>
        <w:jc w:val="left"/>
        <w:outlineLvl w:val="3"/>
        <w:rPr>
          <w:rFonts w:ascii="方正仿宋_GB2312" w:hAnsi="方正仿宋_GB2312" w:eastAsia="方正仿宋_GB2312" w:cs="方正仿宋_GB2312"/>
          <w:b/>
          <w:bCs/>
          <w:sz w:val="22"/>
          <w:szCs w:val="22"/>
        </w:rPr>
      </w:pPr>
      <w:bookmarkStart w:id="20" w:name="_Toc351203483"/>
      <w:r>
        <w:rPr>
          <w:rFonts w:hint="eastAsia" w:ascii="方正仿宋_GB2312" w:hAnsi="方正仿宋_GB2312" w:eastAsia="方正仿宋_GB2312" w:cs="方正仿宋_GB2312"/>
          <w:b/>
          <w:bCs/>
          <w:sz w:val="22"/>
          <w:szCs w:val="22"/>
        </w:rPr>
        <w:t>四、质量</w:t>
      </w:r>
      <w:bookmarkEnd w:id="20"/>
      <w:r>
        <w:rPr>
          <w:rFonts w:hint="eastAsia" w:ascii="方正仿宋_GB2312" w:hAnsi="方正仿宋_GB2312" w:eastAsia="方正仿宋_GB2312" w:cs="方正仿宋_GB2312"/>
          <w:b/>
          <w:bCs/>
          <w:sz w:val="22"/>
          <w:szCs w:val="22"/>
        </w:rPr>
        <w:t>要求</w:t>
      </w:r>
    </w:p>
    <w:p w14:paraId="10573167">
      <w:pPr>
        <w:adjustRightInd w:val="0"/>
        <w:snapToGrid w:val="0"/>
        <w:spacing w:line="360" w:lineRule="auto"/>
        <w:ind w:firstLine="424" w:firstLineChars="200"/>
        <w:jc w:val="left"/>
        <w:rPr>
          <w:rFonts w:ascii="方正仿宋_GB2312" w:hAnsi="方正仿宋_GB2312" w:eastAsia="方正仿宋_GB2312" w:cs="方正仿宋_GB2312"/>
          <w:spacing w:val="-4"/>
          <w:sz w:val="22"/>
          <w:szCs w:val="22"/>
        </w:rPr>
      </w:pPr>
      <w:bookmarkStart w:id="21" w:name="_Toc351203484"/>
      <w:r>
        <w:rPr>
          <w:rFonts w:hint="eastAsia" w:ascii="方正仿宋_GB2312" w:hAnsi="方正仿宋_GB2312" w:eastAsia="方正仿宋_GB2312" w:cs="方正仿宋_GB2312"/>
          <w:spacing w:val="-4"/>
          <w:sz w:val="22"/>
          <w:szCs w:val="22"/>
        </w:rPr>
        <w:t>1．本工程质量</w:t>
      </w:r>
      <w:r>
        <w:rPr>
          <w:rFonts w:hint="eastAsia" w:ascii="方正仿宋_GB2312" w:hAnsi="方正仿宋_GB2312" w:eastAsia="方正仿宋_GB2312" w:cs="方正仿宋_GB2312"/>
          <w:spacing w:val="-4"/>
          <w:sz w:val="22"/>
          <w:szCs w:val="22"/>
          <w:u w:val="single"/>
        </w:rPr>
        <w:t xml:space="preserve"> 合格（达到国家强制性合格标准）</w:t>
      </w:r>
      <w:r>
        <w:rPr>
          <w:rFonts w:hint="eastAsia" w:ascii="方正仿宋_GB2312" w:hAnsi="方正仿宋_GB2312" w:eastAsia="方正仿宋_GB2312" w:cs="方正仿宋_GB2312"/>
          <w:spacing w:val="-4"/>
          <w:sz w:val="22"/>
          <w:szCs w:val="22"/>
        </w:rPr>
        <w:t>。</w:t>
      </w:r>
    </w:p>
    <w:p w14:paraId="5BFF7645">
      <w:pPr>
        <w:adjustRightInd w:val="0"/>
        <w:snapToGrid w:val="0"/>
        <w:spacing w:line="360" w:lineRule="auto"/>
        <w:ind w:firstLine="424" w:firstLineChars="200"/>
        <w:jc w:val="left"/>
        <w:rPr>
          <w:rFonts w:ascii="方正仿宋_GB2312" w:hAnsi="方正仿宋_GB2312" w:eastAsia="方正仿宋_GB2312" w:cs="方正仿宋_GB2312"/>
          <w:spacing w:val="-4"/>
          <w:sz w:val="22"/>
          <w:szCs w:val="22"/>
        </w:rPr>
      </w:pPr>
      <w:r>
        <w:rPr>
          <w:rFonts w:hint="eastAsia" w:ascii="方正仿宋_GB2312" w:hAnsi="方正仿宋_GB2312" w:eastAsia="方正仿宋_GB2312" w:cs="方正仿宋_GB2312"/>
          <w:spacing w:val="-4"/>
          <w:sz w:val="22"/>
          <w:szCs w:val="22"/>
        </w:rPr>
        <w:t>2．承包人必须严格按照竞争性磋商文件和建筑工程规范、规程和标准进行施工，并接受发包人代表及监理人员的管理和监督。</w:t>
      </w:r>
    </w:p>
    <w:p w14:paraId="1E42076B">
      <w:pPr>
        <w:adjustRightInd w:val="0"/>
        <w:snapToGrid w:val="0"/>
        <w:spacing w:line="360" w:lineRule="auto"/>
        <w:ind w:firstLine="424" w:firstLineChars="200"/>
        <w:jc w:val="left"/>
        <w:rPr>
          <w:rFonts w:ascii="方正仿宋_GB2312" w:hAnsi="方正仿宋_GB2312" w:eastAsia="方正仿宋_GB2312" w:cs="方正仿宋_GB2312"/>
          <w:spacing w:val="-4"/>
          <w:sz w:val="22"/>
          <w:szCs w:val="22"/>
        </w:rPr>
      </w:pPr>
      <w:r>
        <w:rPr>
          <w:rFonts w:hint="eastAsia" w:ascii="方正仿宋_GB2312" w:hAnsi="方正仿宋_GB2312" w:eastAsia="方正仿宋_GB2312" w:cs="方正仿宋_GB2312"/>
          <w:spacing w:val="-4"/>
          <w:sz w:val="22"/>
          <w:szCs w:val="22"/>
        </w:rPr>
        <w:t>3．承包人应严格按照质量验收标准对工程组织施工。工程完工应会同发包人进行验收。竣工资料（一式三份），逾期未提交，每天按总造价万分之三向发包人支付违约金。</w:t>
      </w:r>
    </w:p>
    <w:p w14:paraId="455B1913">
      <w:pPr>
        <w:adjustRightInd w:val="0"/>
        <w:snapToGrid w:val="0"/>
        <w:spacing w:line="360" w:lineRule="auto"/>
        <w:ind w:firstLine="424" w:firstLineChars="200"/>
        <w:jc w:val="left"/>
        <w:rPr>
          <w:rFonts w:ascii="方正仿宋_GB2312" w:hAnsi="方正仿宋_GB2312" w:eastAsia="方正仿宋_GB2312" w:cs="方正仿宋_GB2312"/>
          <w:spacing w:val="-4"/>
          <w:sz w:val="22"/>
          <w:szCs w:val="22"/>
        </w:rPr>
      </w:pPr>
      <w:r>
        <w:rPr>
          <w:rFonts w:hint="eastAsia" w:ascii="方正仿宋_GB2312" w:hAnsi="方正仿宋_GB2312" w:eastAsia="方正仿宋_GB2312" w:cs="方正仿宋_GB2312"/>
          <w:spacing w:val="-4"/>
          <w:sz w:val="22"/>
          <w:szCs w:val="22"/>
        </w:rPr>
        <w:t>4．工程竣工后，承包人应按规定对工程进行保修，保修日期自交工验收之日算起，</w:t>
      </w:r>
      <w:r>
        <w:rPr>
          <w:rFonts w:hint="eastAsia" w:ascii="方正仿宋_GB2312" w:hAnsi="方正仿宋_GB2312" w:eastAsia="方正仿宋_GB2312" w:cs="方正仿宋_GB2312"/>
          <w:b/>
          <w:bCs/>
          <w:spacing w:val="-4"/>
          <w:sz w:val="22"/>
          <w:szCs w:val="22"/>
        </w:rPr>
        <w:t>质量保修期2年。</w:t>
      </w:r>
    </w:p>
    <w:bookmarkEnd w:id="21"/>
    <w:p w14:paraId="0E5D14C6">
      <w:pPr>
        <w:keepNext/>
        <w:keepLines/>
        <w:adjustRightInd w:val="0"/>
        <w:snapToGrid w:val="0"/>
        <w:spacing w:before="156" w:beforeLines="50" w:after="156" w:afterLines="50" w:line="360" w:lineRule="auto"/>
        <w:jc w:val="left"/>
        <w:outlineLvl w:val="3"/>
        <w:rPr>
          <w:rFonts w:ascii="方正仿宋_GB2312" w:hAnsi="方正仿宋_GB2312" w:eastAsia="方正仿宋_GB2312" w:cs="方正仿宋_GB2312"/>
          <w:b/>
          <w:bCs/>
          <w:sz w:val="22"/>
          <w:szCs w:val="22"/>
        </w:rPr>
      </w:pPr>
      <w:bookmarkStart w:id="22" w:name="_Toc351203485"/>
      <w:r>
        <w:rPr>
          <w:rFonts w:hint="eastAsia" w:ascii="方正仿宋_GB2312" w:hAnsi="方正仿宋_GB2312" w:eastAsia="方正仿宋_GB2312" w:cs="方正仿宋_GB2312"/>
          <w:b/>
          <w:bCs/>
          <w:sz w:val="22"/>
          <w:szCs w:val="22"/>
        </w:rPr>
        <w:t>五、签约合同价与合同价格形式</w:t>
      </w:r>
      <w:r>
        <w:rPr>
          <w:rFonts w:hint="eastAsia" w:ascii="方正仿宋_GB2312" w:hAnsi="方正仿宋_GB2312" w:eastAsia="方正仿宋_GB2312" w:cs="方正仿宋_GB2312"/>
          <w:b/>
          <w:bCs/>
          <w:sz w:val="22"/>
          <w:szCs w:val="22"/>
        </w:rPr>
        <w:tab/>
      </w:r>
    </w:p>
    <w:p w14:paraId="0C86AB52">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1.签约合同价为：</w:t>
      </w:r>
    </w:p>
    <w:p w14:paraId="76DC3CA1">
      <w:pPr>
        <w:adjustRightInd w:val="0"/>
        <w:snapToGrid w:val="0"/>
        <w:spacing w:line="360" w:lineRule="auto"/>
        <w:ind w:firstLine="440" w:firstLineChars="200"/>
        <w:jc w:val="left"/>
        <w:rPr>
          <w:rFonts w:ascii="方正仿宋_GB2312" w:hAnsi="方正仿宋_GB2312" w:eastAsia="方正仿宋_GB2312" w:cs="方正仿宋_GB2312"/>
          <w:b/>
          <w:sz w:val="22"/>
          <w:szCs w:val="22"/>
        </w:rPr>
      </w:pPr>
      <w:r>
        <w:rPr>
          <w:rFonts w:hint="eastAsia" w:ascii="方正仿宋_GB2312" w:hAnsi="方正仿宋_GB2312" w:eastAsia="方正仿宋_GB2312" w:cs="方正仿宋_GB2312"/>
          <w:sz w:val="22"/>
          <w:szCs w:val="22"/>
        </w:rPr>
        <w:t>人民币（大写）</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元)；</w:t>
      </w:r>
      <w:r>
        <w:rPr>
          <w:rFonts w:hint="eastAsia" w:ascii="方正仿宋_GB2312" w:hAnsi="方正仿宋_GB2312" w:eastAsia="方正仿宋_GB2312" w:cs="方正仿宋_GB2312"/>
          <w:b/>
          <w:sz w:val="22"/>
          <w:szCs w:val="22"/>
        </w:rPr>
        <w:t>最终价款以审计结果为准。</w:t>
      </w:r>
    </w:p>
    <w:p w14:paraId="008667A6">
      <w:pPr>
        <w:numPr>
          <w:ilvl w:val="0"/>
          <w:numId w:val="1"/>
        </w:numPr>
        <w:adjustRightInd w:val="0"/>
        <w:snapToGrid w:val="0"/>
        <w:spacing w:line="360" w:lineRule="auto"/>
        <w:ind w:firstLine="442" w:firstLineChars="200"/>
        <w:jc w:val="left"/>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合同价格形式：</w:t>
      </w:r>
      <w:r>
        <w:rPr>
          <w:rFonts w:hint="eastAsia" w:ascii="方正仿宋_GB2312" w:hAnsi="方正仿宋_GB2312" w:eastAsia="方正仿宋_GB2312" w:cs="方正仿宋_GB2312"/>
          <w:b/>
          <w:bCs/>
          <w:sz w:val="22"/>
          <w:szCs w:val="22"/>
          <w:u w:val="single"/>
        </w:rPr>
        <w:t>固定综合单价合同</w:t>
      </w:r>
      <w:r>
        <w:rPr>
          <w:rFonts w:hint="eastAsia" w:ascii="方正仿宋_GB2312" w:hAnsi="方正仿宋_GB2312" w:eastAsia="方正仿宋_GB2312" w:cs="方正仿宋_GB2312"/>
          <w:b/>
          <w:bCs/>
          <w:sz w:val="22"/>
          <w:szCs w:val="22"/>
        </w:rPr>
        <w:t>。</w:t>
      </w:r>
    </w:p>
    <w:p w14:paraId="2CF07C5A">
      <w:pPr>
        <w:numPr>
          <w:ilvl w:val="0"/>
          <w:numId w:val="2"/>
        </w:numPr>
        <w:adjustRightInd w:val="0"/>
        <w:snapToGrid w:val="0"/>
        <w:spacing w:line="360" w:lineRule="auto"/>
        <w:jc w:val="left"/>
        <w:outlineLvl w:val="3"/>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履约保证金</w:t>
      </w:r>
    </w:p>
    <w:p w14:paraId="4DD944AD">
      <w:pPr>
        <w:keepNext/>
        <w:keepLines/>
        <w:adjustRightInd w:val="0"/>
        <w:snapToGrid w:val="0"/>
        <w:spacing w:before="156" w:beforeLines="50" w:after="156" w:afterLines="50" w:line="360" w:lineRule="auto"/>
        <w:jc w:val="left"/>
        <w:outlineLvl w:val="3"/>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1.履约保证金：不收取</w:t>
      </w:r>
    </w:p>
    <w:p w14:paraId="7D8B7EFE">
      <w:pPr>
        <w:keepNext/>
        <w:keepLines/>
        <w:adjustRightInd w:val="0"/>
        <w:snapToGrid w:val="0"/>
        <w:spacing w:before="156" w:beforeLines="50" w:after="156" w:afterLines="50" w:line="360" w:lineRule="auto"/>
        <w:jc w:val="left"/>
        <w:outlineLvl w:val="3"/>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sz w:val="22"/>
          <w:szCs w:val="22"/>
        </w:rPr>
        <w:t xml:space="preserve"> </w:t>
      </w:r>
      <w:r>
        <w:rPr>
          <w:rFonts w:hint="eastAsia" w:ascii="方正仿宋_GB2312" w:hAnsi="方正仿宋_GB2312" w:eastAsia="方正仿宋_GB2312" w:cs="方正仿宋_GB2312"/>
          <w:b/>
          <w:bCs/>
          <w:sz w:val="22"/>
          <w:szCs w:val="22"/>
        </w:rPr>
        <w:t>七、固定单价合同包含的风险范围及其他风险以外情形的调价方法：</w:t>
      </w:r>
    </w:p>
    <w:p w14:paraId="6E560FFE">
      <w:pPr>
        <w:adjustRightInd w:val="0"/>
        <w:snapToGrid w:val="0"/>
        <w:spacing w:line="360" w:lineRule="auto"/>
        <w:jc w:val="left"/>
        <w:rPr>
          <w:rFonts w:ascii="方正仿宋_GB2312" w:hAnsi="方正仿宋_GB2312" w:eastAsia="方正仿宋_GB2312" w:cs="方正仿宋_GB2312"/>
          <w:b/>
          <w:spacing w:val="-4"/>
          <w:sz w:val="22"/>
          <w:szCs w:val="22"/>
        </w:rPr>
      </w:pPr>
      <w:r>
        <w:rPr>
          <w:rFonts w:hint="eastAsia" w:ascii="方正仿宋_GB2312" w:hAnsi="方正仿宋_GB2312" w:eastAsia="方正仿宋_GB2312" w:cs="方正仿宋_GB2312"/>
          <w:b/>
          <w:spacing w:val="-4"/>
          <w:sz w:val="22"/>
          <w:szCs w:val="22"/>
        </w:rPr>
        <w:t>（一）风险范围及计价</w:t>
      </w:r>
    </w:p>
    <w:p w14:paraId="47AD18A1">
      <w:pPr>
        <w:adjustRightInd w:val="0"/>
        <w:snapToGrid w:val="0"/>
        <w:spacing w:line="360" w:lineRule="auto"/>
        <w:ind w:firstLine="424" w:firstLineChars="200"/>
        <w:jc w:val="left"/>
        <w:rPr>
          <w:rFonts w:ascii="方正仿宋_GB2312" w:hAnsi="方正仿宋_GB2312" w:eastAsia="方正仿宋_GB2312" w:cs="方正仿宋_GB2312"/>
          <w:spacing w:val="-4"/>
          <w:sz w:val="22"/>
          <w:szCs w:val="22"/>
        </w:rPr>
      </w:pPr>
      <w:r>
        <w:rPr>
          <w:rFonts w:hint="eastAsia" w:ascii="方正仿宋_GB2312" w:hAnsi="方正仿宋_GB2312" w:eastAsia="方正仿宋_GB2312" w:cs="方正仿宋_GB2312"/>
          <w:spacing w:val="-4"/>
          <w:sz w:val="22"/>
          <w:szCs w:val="22"/>
        </w:rPr>
        <w:t>1.本协议书中规定承包范围的所有工作内容的风险；</w:t>
      </w:r>
    </w:p>
    <w:p w14:paraId="5FAE16B5">
      <w:pPr>
        <w:adjustRightInd w:val="0"/>
        <w:snapToGrid w:val="0"/>
        <w:spacing w:line="360" w:lineRule="auto"/>
        <w:ind w:firstLine="424" w:firstLineChars="200"/>
        <w:jc w:val="left"/>
        <w:rPr>
          <w:rFonts w:ascii="方正仿宋_GB2312" w:hAnsi="方正仿宋_GB2312" w:eastAsia="方正仿宋_GB2312" w:cs="方正仿宋_GB2312"/>
          <w:spacing w:val="-4"/>
          <w:sz w:val="22"/>
          <w:szCs w:val="22"/>
        </w:rPr>
      </w:pPr>
      <w:r>
        <w:rPr>
          <w:rFonts w:hint="eastAsia" w:ascii="方正仿宋_GB2312" w:hAnsi="方正仿宋_GB2312" w:eastAsia="方正仿宋_GB2312" w:cs="方正仿宋_GB2312"/>
          <w:spacing w:val="-4"/>
          <w:sz w:val="22"/>
          <w:szCs w:val="22"/>
        </w:rPr>
        <w:t>2.合同执行期间响应文件自主报价内容的市场价格变化；</w:t>
      </w:r>
    </w:p>
    <w:p w14:paraId="106291BB">
      <w:pPr>
        <w:adjustRightInd w:val="0"/>
        <w:snapToGrid w:val="0"/>
        <w:spacing w:line="360" w:lineRule="auto"/>
        <w:ind w:firstLine="424" w:firstLineChars="200"/>
        <w:jc w:val="left"/>
        <w:rPr>
          <w:rFonts w:ascii="方正仿宋_GB2312" w:hAnsi="方正仿宋_GB2312" w:eastAsia="方正仿宋_GB2312" w:cs="方正仿宋_GB2312"/>
          <w:spacing w:val="-4"/>
          <w:sz w:val="22"/>
          <w:szCs w:val="22"/>
        </w:rPr>
      </w:pPr>
      <w:r>
        <w:rPr>
          <w:rFonts w:hint="eastAsia" w:ascii="方正仿宋_GB2312" w:hAnsi="方正仿宋_GB2312" w:eastAsia="方正仿宋_GB2312" w:cs="方正仿宋_GB2312"/>
          <w:spacing w:val="-4"/>
          <w:sz w:val="22"/>
          <w:szCs w:val="22"/>
        </w:rPr>
        <w:t>3.材料费（除约定材料）、机械费的社会价格浮动，除不可抗力因素规定以外发生的自然灾害、雨季施工的防御措施费、停水、停电的费用及国家政策调整、金融汇率变化、银行存贷款利率调整、承包人在响应前及合同明示或暗示的所有风险、责任和义务等均视为综合单价的风险；</w:t>
      </w:r>
    </w:p>
    <w:p w14:paraId="0E827BB2">
      <w:pPr>
        <w:adjustRightInd w:val="0"/>
        <w:snapToGrid w:val="0"/>
        <w:spacing w:line="360" w:lineRule="auto"/>
        <w:ind w:firstLine="424" w:firstLineChars="200"/>
        <w:jc w:val="left"/>
        <w:rPr>
          <w:rFonts w:ascii="方正仿宋_GB2312" w:hAnsi="方正仿宋_GB2312" w:eastAsia="方正仿宋_GB2312" w:cs="方正仿宋_GB2312"/>
          <w:spacing w:val="-4"/>
          <w:sz w:val="22"/>
          <w:szCs w:val="22"/>
        </w:rPr>
      </w:pPr>
      <w:r>
        <w:rPr>
          <w:rFonts w:hint="eastAsia" w:ascii="方正仿宋_GB2312" w:hAnsi="方正仿宋_GB2312" w:eastAsia="方正仿宋_GB2312" w:cs="方正仿宋_GB2312"/>
          <w:spacing w:val="-4"/>
          <w:sz w:val="22"/>
          <w:szCs w:val="22"/>
        </w:rPr>
        <w:t>4.采购工程量清单包含的由于承包人漏报、未报的项目，采购人视同供应商优惠，不予调整，并认为此项费用已包括在工程量清单的其它综合单价和合价中。</w:t>
      </w:r>
    </w:p>
    <w:p w14:paraId="19A2D505">
      <w:pPr>
        <w:adjustRightInd w:val="0"/>
        <w:snapToGrid w:val="0"/>
        <w:spacing w:line="360" w:lineRule="auto"/>
        <w:ind w:firstLine="424" w:firstLineChars="200"/>
        <w:jc w:val="left"/>
        <w:rPr>
          <w:rFonts w:ascii="方正仿宋_GB2312" w:hAnsi="方正仿宋_GB2312" w:eastAsia="方正仿宋_GB2312" w:cs="方正仿宋_GB2312"/>
          <w:spacing w:val="-4"/>
          <w:sz w:val="22"/>
          <w:szCs w:val="22"/>
        </w:rPr>
      </w:pPr>
      <w:r>
        <w:rPr>
          <w:rFonts w:hint="eastAsia" w:ascii="方正仿宋_GB2312" w:hAnsi="方正仿宋_GB2312" w:eastAsia="方正仿宋_GB2312" w:cs="方正仿宋_GB2312"/>
          <w:spacing w:val="-4"/>
          <w:sz w:val="22"/>
          <w:szCs w:val="22"/>
        </w:rPr>
        <w:t>5.风险费用的计算方法：应由承包人承担的风险费用已由承包人根据自身经验作了充分估计并已计入合同协议确定的合同价款中，风险费用未单独计列的，应认为已经包含在合同价款中。</w:t>
      </w:r>
    </w:p>
    <w:p w14:paraId="3CD40A7E">
      <w:pPr>
        <w:adjustRightInd w:val="0"/>
        <w:snapToGrid w:val="0"/>
        <w:spacing w:line="360" w:lineRule="auto"/>
        <w:ind w:firstLine="426" w:firstLineChars="200"/>
        <w:jc w:val="left"/>
        <w:rPr>
          <w:rFonts w:ascii="方正仿宋_GB2312" w:hAnsi="方正仿宋_GB2312" w:eastAsia="方正仿宋_GB2312" w:cs="方正仿宋_GB2312"/>
          <w:b/>
          <w:spacing w:val="-4"/>
          <w:sz w:val="22"/>
          <w:szCs w:val="22"/>
        </w:rPr>
      </w:pPr>
      <w:r>
        <w:rPr>
          <w:rFonts w:hint="eastAsia" w:ascii="方正仿宋_GB2312" w:hAnsi="方正仿宋_GB2312" w:eastAsia="方正仿宋_GB2312" w:cs="方正仿宋_GB2312"/>
          <w:b/>
          <w:spacing w:val="-4"/>
          <w:sz w:val="22"/>
          <w:szCs w:val="22"/>
        </w:rPr>
        <w:t>（二）风险范围以外合同价格的调整方法</w:t>
      </w:r>
    </w:p>
    <w:p w14:paraId="7EFB2421">
      <w:pPr>
        <w:adjustRightInd w:val="0"/>
        <w:snapToGrid w:val="0"/>
        <w:spacing w:line="360" w:lineRule="auto"/>
        <w:ind w:firstLine="424" w:firstLineChars="200"/>
        <w:jc w:val="left"/>
        <w:rPr>
          <w:rFonts w:ascii="方正仿宋_GB2312" w:hAnsi="方正仿宋_GB2312" w:eastAsia="方正仿宋_GB2312" w:cs="方正仿宋_GB2312"/>
          <w:spacing w:val="-4"/>
          <w:sz w:val="22"/>
          <w:szCs w:val="22"/>
        </w:rPr>
      </w:pPr>
      <w:r>
        <w:rPr>
          <w:rFonts w:hint="eastAsia" w:ascii="方正仿宋_GB2312" w:hAnsi="方正仿宋_GB2312" w:eastAsia="方正仿宋_GB2312" w:cs="方正仿宋_GB2312"/>
          <w:spacing w:val="-4"/>
          <w:sz w:val="22"/>
          <w:szCs w:val="22"/>
        </w:rPr>
        <w:t xml:space="preserve">竞争性磋商文件中的工程量清单标明的工程量作为供应商磋商报价的共同基础，竣工结算的工程量按照发、承包双方实际完成的工程量确定。采购工程量清单中的暂定项、专业暂估工程、清单漏项、经发包人确认的变更、签证，属于风险范围外合同价款，计算费用时按下列方法进行：  </w:t>
      </w:r>
    </w:p>
    <w:p w14:paraId="43027EA3">
      <w:pPr>
        <w:shd w:val="clear"/>
        <w:spacing w:line="360" w:lineRule="auto"/>
        <w:ind w:left="241" w:leftChars="115" w:firstLine="210" w:firstLineChars="1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1）工程量清单的工程数量有误或设计变更引起工程量增减，单项工程量变化在15％（含15％）以内的，执行原有的综合单价；单项工程量变化超过15％的，其增加部分的工程量或减少后剩余部分的工程量的综合单价，发包方有权进行调整。</w:t>
      </w:r>
    </w:p>
    <w:p w14:paraId="2F5863EA">
      <w:pPr>
        <w:shd w:val="clear"/>
        <w:spacing w:line="360" w:lineRule="auto"/>
        <w:ind w:left="451" w:leftChars="115" w:hanging="210" w:hangingChars="1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 xml:space="preserve">  （2）由于承包人自身原因引起的设计变更、洽商，其费用由承包人承担，合同价不做调整。</w:t>
      </w:r>
    </w:p>
    <w:p w14:paraId="698820B5">
      <w:pPr>
        <w:shd w:val="clear"/>
        <w:spacing w:line="360" w:lineRule="auto"/>
        <w:ind w:firstLine="210" w:firstLineChars="1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 xml:space="preserve">  （3）工程清单漏项有误或设计变更引起缺项，其相应的单价的确定方法为：</w:t>
      </w:r>
    </w:p>
    <w:p w14:paraId="39C06ADF">
      <w:pPr>
        <w:shd w:val="clear"/>
        <w:spacing w:line="360" w:lineRule="auto"/>
        <w:ind w:firstLine="472" w:firstLineChars="225"/>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①中标价中已经包含和存在同样项目特征的综合单价，仍按照此中标单价确定；</w:t>
      </w:r>
    </w:p>
    <w:p w14:paraId="401B74A8">
      <w:pPr>
        <w:shd w:val="clear"/>
        <w:spacing w:line="360" w:lineRule="auto"/>
        <w:ind w:firstLine="472" w:firstLineChars="225"/>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②中标价中有类似项目特征的综合单价，可参照其中类似的综合单价确定；</w:t>
      </w:r>
    </w:p>
    <w:p w14:paraId="7637F8B3">
      <w:pPr>
        <w:shd w:val="clear"/>
        <w:spacing w:line="360" w:lineRule="auto"/>
        <w:ind w:firstLine="472" w:firstLineChars="225"/>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③中标价中没有类似工程项目综合单价的，依据工程量清单总说明中的编制依据，重新组成综合单价，经发包人确认后，作为结算的依据。</w:t>
      </w:r>
    </w:p>
    <w:p w14:paraId="11BB4D6A">
      <w:pPr>
        <w:shd w:val="clear"/>
        <w:adjustRightInd w:val="0"/>
        <w:snapToGrid w:val="0"/>
        <w:spacing w:line="360" w:lineRule="auto"/>
        <w:jc w:val="left"/>
        <w:outlineLvl w:val="3"/>
        <w:rPr>
          <w:rFonts w:hint="eastAsia" w:ascii="方正仿宋_GB2312" w:hAnsi="方正仿宋_GB2312" w:eastAsia="方正仿宋_GB2312" w:cs="方正仿宋_GB2312"/>
          <w:b/>
          <w:bCs/>
          <w:color w:val="auto"/>
          <w:sz w:val="21"/>
          <w:szCs w:val="21"/>
        </w:rPr>
      </w:pPr>
      <w:r>
        <w:rPr>
          <w:rFonts w:hint="eastAsia" w:ascii="方正仿宋_GB2312" w:hAnsi="方正仿宋_GB2312" w:eastAsia="方正仿宋_GB2312" w:cs="方正仿宋_GB2312"/>
          <w:b/>
          <w:bCs/>
          <w:color w:val="auto"/>
          <w:sz w:val="21"/>
          <w:szCs w:val="21"/>
        </w:rPr>
        <w:t>八、工程款的支付与决算</w:t>
      </w:r>
    </w:p>
    <w:p w14:paraId="100B65A4">
      <w:pPr>
        <w:widowControl/>
        <w:shd w:val="clear"/>
        <w:spacing w:line="360" w:lineRule="auto"/>
        <w:ind w:firstLine="420" w:firstLineChars="200"/>
        <w:rPr>
          <w:rFonts w:hint="eastAsia" w:ascii="方正仿宋_GB2312" w:hAnsi="方正仿宋_GB2312" w:eastAsia="方正仿宋_GB2312" w:cs="方正仿宋_GB2312"/>
          <w:color w:val="auto"/>
          <w:kern w:val="0"/>
          <w:sz w:val="21"/>
          <w:szCs w:val="21"/>
        </w:rPr>
      </w:pPr>
      <w:r>
        <w:rPr>
          <w:rFonts w:hint="eastAsia" w:ascii="方正仿宋_GB2312" w:hAnsi="方正仿宋_GB2312" w:eastAsia="方正仿宋_GB2312" w:cs="方正仿宋_GB2312"/>
          <w:color w:val="auto"/>
          <w:kern w:val="0"/>
          <w:sz w:val="21"/>
          <w:szCs w:val="21"/>
        </w:rPr>
        <w:t>工程预付款</w:t>
      </w:r>
    </w:p>
    <w:p w14:paraId="5D5AE815">
      <w:pPr>
        <w:widowControl/>
        <w:shd w:val="clear"/>
        <w:spacing w:line="360" w:lineRule="auto"/>
        <w:ind w:firstLine="420" w:firstLineChars="200"/>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kern w:val="0"/>
          <w:sz w:val="21"/>
          <w:szCs w:val="21"/>
        </w:rPr>
        <w:t>发包人向承包人预付工程款的时间和金额或占合同价款总额的比例：</w:t>
      </w:r>
      <w:r>
        <w:rPr>
          <w:rFonts w:hint="eastAsia" w:ascii="方正仿宋_GB2312" w:hAnsi="方正仿宋_GB2312" w:eastAsia="方正仿宋_GB2312" w:cs="方正仿宋_GB2312"/>
          <w:b/>
          <w:color w:val="auto"/>
          <w:sz w:val="21"/>
          <w:szCs w:val="21"/>
          <w:u w:val="single"/>
        </w:rPr>
        <w:t>工程预付款支付比例为合同价（扣除甲供材及其他项目费中的发包方预留金）的30％（其中含30%的安全文明施工费），在合同签订后一个月内支付。</w:t>
      </w:r>
      <w:r>
        <w:rPr>
          <w:rFonts w:hint="eastAsia" w:ascii="方正仿宋_GB2312" w:hAnsi="方正仿宋_GB2312" w:eastAsia="方正仿宋_GB2312" w:cs="方正仿宋_GB2312"/>
          <w:color w:val="auto"/>
          <w:sz w:val="21"/>
          <w:szCs w:val="21"/>
          <w:u w:val="single"/>
        </w:rPr>
        <w:t xml:space="preserve"> 承包方不得将该备料款用于与本工程无关的支付，监理工程师有权监督承包方对该项费用的使用，如经查实承包方滥用工程备料款，发包方有权立即收回工程备料款。</w:t>
      </w:r>
    </w:p>
    <w:p w14:paraId="4F9E575E">
      <w:pPr>
        <w:widowControl/>
        <w:shd w:val="clear"/>
        <w:spacing w:line="360" w:lineRule="auto"/>
        <w:ind w:firstLine="420" w:firstLineChars="200"/>
        <w:rPr>
          <w:rFonts w:hint="eastAsia" w:ascii="方正仿宋_GB2312" w:hAnsi="方正仿宋_GB2312" w:eastAsia="方正仿宋_GB2312" w:cs="方正仿宋_GB2312"/>
          <w:color w:val="auto"/>
          <w:kern w:val="0"/>
          <w:sz w:val="21"/>
          <w:szCs w:val="21"/>
        </w:rPr>
      </w:pPr>
      <w:r>
        <w:rPr>
          <w:rFonts w:hint="eastAsia" w:ascii="方正仿宋_GB2312" w:hAnsi="方正仿宋_GB2312" w:eastAsia="方正仿宋_GB2312" w:cs="方正仿宋_GB2312"/>
          <w:color w:val="auto"/>
          <w:kern w:val="0"/>
          <w:sz w:val="21"/>
          <w:szCs w:val="21"/>
        </w:rPr>
        <w:t>农民工工资保证金</w:t>
      </w:r>
    </w:p>
    <w:p w14:paraId="3E8AFD4F">
      <w:pPr>
        <w:widowControl/>
        <w:shd w:val="clear"/>
        <w:spacing w:line="360" w:lineRule="auto"/>
        <w:ind w:firstLine="420" w:firstLineChars="200"/>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kern w:val="0"/>
          <w:sz w:val="21"/>
          <w:szCs w:val="21"/>
        </w:rPr>
        <w:t>本合同签订后5个工作日，承包方需按照《工程建设领域农民工工资保证金规定》、《保障农民工工资支付条例》的相关规定开立工资保证金专门账户存储工</w:t>
      </w:r>
      <w:r>
        <w:rPr>
          <w:rFonts w:hint="eastAsia" w:ascii="方正仿宋_GB2312" w:hAnsi="方正仿宋_GB2312" w:eastAsia="方正仿宋_GB2312" w:cs="方正仿宋_GB2312"/>
          <w:color w:val="auto"/>
          <w:sz w:val="21"/>
          <w:szCs w:val="21"/>
          <w:u w:val="single"/>
        </w:rPr>
        <w:t>资保证金。</w:t>
      </w:r>
    </w:p>
    <w:p w14:paraId="4ABF4FC3">
      <w:pPr>
        <w:widowControl/>
        <w:shd w:val="clear"/>
        <w:spacing w:line="360" w:lineRule="auto"/>
        <w:ind w:firstLine="420" w:firstLineChars="200"/>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rPr>
        <w:t>扣回工程预付款项的时间、比例： 从工程进度款同比例扣回，直至扣完为止。</w:t>
      </w:r>
    </w:p>
    <w:p w14:paraId="48352465">
      <w:pPr>
        <w:widowControl/>
        <w:shd w:val="clear"/>
        <w:spacing w:line="360" w:lineRule="auto"/>
        <w:ind w:firstLine="420" w:firstLineChars="200"/>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rPr>
        <w:t>预付安全防护、文明施工措施费用的比例和时间：安全文明措施费同工程进度款同时支付。</w:t>
      </w:r>
    </w:p>
    <w:p w14:paraId="766DC8D7">
      <w:pPr>
        <w:widowControl/>
        <w:shd w:val="clear"/>
        <w:spacing w:line="360" w:lineRule="auto"/>
        <w:ind w:firstLine="420" w:firstLineChars="200"/>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rPr>
        <w:t>工程量确认</w:t>
      </w:r>
    </w:p>
    <w:p w14:paraId="4318E3F1">
      <w:pPr>
        <w:widowControl/>
        <w:shd w:val="clear"/>
        <w:spacing w:line="360" w:lineRule="auto"/>
        <w:ind w:firstLine="420" w:firstLineChars="200"/>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rPr>
        <w:t>承包人向工程师提交已完工程量报告的时间：</w:t>
      </w:r>
    </w:p>
    <w:p w14:paraId="3357FA2C">
      <w:pPr>
        <w:widowControl/>
        <w:shd w:val="clear"/>
        <w:spacing w:line="360" w:lineRule="auto"/>
        <w:ind w:firstLine="420" w:firstLineChars="200"/>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rPr>
        <w:t>承包人每十日向监理提交已完合格工程量报告，监理审核通过后报工程师核准。</w:t>
      </w:r>
    </w:p>
    <w:p w14:paraId="43FAA314">
      <w:pPr>
        <w:widowControl/>
        <w:shd w:val="clear"/>
        <w:spacing w:line="360" w:lineRule="auto"/>
        <w:ind w:firstLine="420" w:firstLineChars="2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u w:val="single"/>
        </w:rPr>
        <w:t>合同中未在工程量清单中填入单价或总额价的工程</w:t>
      </w:r>
      <w:r>
        <w:rPr>
          <w:rFonts w:hint="eastAsia" w:ascii="方正仿宋_GB2312" w:hAnsi="方正仿宋_GB2312" w:eastAsia="方正仿宋_GB2312" w:cs="方正仿宋_GB2312"/>
          <w:color w:val="auto"/>
          <w:sz w:val="21"/>
          <w:szCs w:val="21"/>
        </w:rPr>
        <w:t>项目，将被认为其已包含在本合同的其他细目的单价和总额价中，发包人将不另行支付。</w:t>
      </w:r>
    </w:p>
    <w:p w14:paraId="433BD835">
      <w:pPr>
        <w:shd w:val="clear"/>
        <w:spacing w:line="360" w:lineRule="auto"/>
        <w:ind w:firstLine="420" w:firstLineChars="2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除另有规定外，工程师应当根据现行《陕西省建设工程工程量清单计价规则》对承包人提出的已完工程量通过计量来核实工程量和确定其价值，作为向承包人支付的依据。</w:t>
      </w:r>
    </w:p>
    <w:p w14:paraId="01594D0F">
      <w:pPr>
        <w:widowControl/>
        <w:shd w:val="clear"/>
        <w:spacing w:line="360" w:lineRule="auto"/>
        <w:ind w:firstLine="420" w:firstLineChars="200"/>
        <w:rPr>
          <w:rFonts w:hint="eastAsia" w:ascii="方正仿宋_GB2312" w:hAnsi="方正仿宋_GB2312" w:eastAsia="方正仿宋_GB2312" w:cs="方正仿宋_GB2312"/>
          <w:color w:val="auto"/>
          <w:kern w:val="0"/>
          <w:sz w:val="21"/>
          <w:szCs w:val="21"/>
        </w:rPr>
      </w:pPr>
      <w:r>
        <w:rPr>
          <w:rFonts w:hint="eastAsia" w:ascii="方正仿宋_GB2312" w:hAnsi="方正仿宋_GB2312" w:eastAsia="方正仿宋_GB2312" w:cs="方正仿宋_GB2312"/>
          <w:color w:val="auto"/>
          <w:kern w:val="0"/>
          <w:sz w:val="21"/>
          <w:szCs w:val="21"/>
        </w:rPr>
        <w:t>工程进度款结算与支付</w:t>
      </w:r>
    </w:p>
    <w:p w14:paraId="29F5AAAD">
      <w:pPr>
        <w:widowControl/>
        <w:shd w:val="clear"/>
        <w:spacing w:line="360" w:lineRule="auto"/>
        <w:ind w:firstLine="420" w:firstLineChars="200"/>
        <w:rPr>
          <w:rFonts w:hint="eastAsia" w:ascii="方正仿宋_GB2312" w:hAnsi="方正仿宋_GB2312" w:eastAsia="方正仿宋_GB2312" w:cs="方正仿宋_GB2312"/>
          <w:color w:val="auto"/>
          <w:kern w:val="0"/>
          <w:sz w:val="21"/>
          <w:szCs w:val="21"/>
        </w:rPr>
      </w:pPr>
      <w:r>
        <w:rPr>
          <w:rFonts w:hint="eastAsia" w:ascii="方正仿宋_GB2312" w:hAnsi="方正仿宋_GB2312" w:eastAsia="方正仿宋_GB2312" w:cs="方正仿宋_GB2312"/>
          <w:color w:val="auto"/>
          <w:kern w:val="0"/>
          <w:sz w:val="21"/>
          <w:szCs w:val="21"/>
        </w:rPr>
        <w:t>双方约定的工程进度款支付的方式、时间和比例是：</w:t>
      </w:r>
    </w:p>
    <w:p w14:paraId="73F5F5F2">
      <w:pPr>
        <w:shd w:val="clear"/>
        <w:spacing w:line="360" w:lineRule="auto"/>
        <w:ind w:firstLine="411" w:firstLineChars="196"/>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承包人按期完成月计划进度后，经监理工程师审核，按核定合格工程量计算进度款，经发包人审定后支付。</w:t>
      </w:r>
    </w:p>
    <w:p w14:paraId="3F901B6E">
      <w:pPr>
        <w:shd w:val="clear"/>
        <w:spacing w:line="360" w:lineRule="auto"/>
        <w:ind w:firstLine="411" w:firstLineChars="196"/>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rPr>
        <w:t>（1）本工程实行按月支付承包人进度款。发包人及监理工程师每月对承包人申报的已完合格工程进度款进行审核，并每月进行一次阶段支付，支付额为当月经发包人和监理工程师审定的进度款的80%；</w:t>
      </w:r>
    </w:p>
    <w:p w14:paraId="74AA93E4">
      <w:pPr>
        <w:shd w:val="clear"/>
        <w:spacing w:line="360" w:lineRule="auto"/>
        <w:ind w:firstLine="411" w:firstLineChars="196"/>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rPr>
        <w:t>（2）工程全部竣工验收合格后15日内，支付工程进度款至施工合同金额的80%；</w:t>
      </w:r>
    </w:p>
    <w:p w14:paraId="5D5E3DA5">
      <w:pPr>
        <w:shd w:val="clear"/>
        <w:spacing w:line="360" w:lineRule="auto"/>
        <w:ind w:firstLine="411" w:firstLineChars="196"/>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rPr>
        <w:t>（3）工程竣工结算审计结束后15日内，扣除3%的工程质量保修金后，所余款额一次付清；</w:t>
      </w:r>
    </w:p>
    <w:p w14:paraId="2AA180AD">
      <w:pPr>
        <w:shd w:val="clear"/>
        <w:spacing w:line="360" w:lineRule="auto"/>
        <w:ind w:firstLine="411" w:firstLineChars="196"/>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rPr>
        <w:t>（4）剩余3%的工程质量保修金在施工保修期满后14日内无息付清；</w:t>
      </w:r>
    </w:p>
    <w:p w14:paraId="1E0505EC">
      <w:pPr>
        <w:shd w:val="clear"/>
        <w:spacing w:line="360" w:lineRule="auto"/>
        <w:ind w:firstLine="411" w:firstLineChars="196"/>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rPr>
        <w:t>（5）措施费按所占合同金额比例随工程进度款支付；</w:t>
      </w:r>
    </w:p>
    <w:p w14:paraId="6E4C8076">
      <w:pPr>
        <w:shd w:val="clear"/>
        <w:spacing w:line="360" w:lineRule="auto"/>
        <w:ind w:firstLine="411" w:firstLineChars="196"/>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rPr>
        <w:t>（6）变更、签证结算；随工程进度款一并计算、支付。</w:t>
      </w:r>
    </w:p>
    <w:p w14:paraId="22891161">
      <w:pPr>
        <w:shd w:val="clear"/>
        <w:spacing w:line="360" w:lineRule="auto"/>
        <w:ind w:firstLine="411" w:firstLineChars="196"/>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rPr>
        <w:t>（7）如遇特殊情况，乙方在接到甲方通知后5个工作日内向甲方提交履约保证金（金额等同于合同余款），甲方收到后 5 个工作日内向乙方账户付清合同余款。乙方按双方约定时间完成施工内容，甲方应在竣工验收通过之日起 5 个工作日内全额无息退还履约保证金给乙方。</w:t>
      </w:r>
    </w:p>
    <w:p w14:paraId="6B0FDC15">
      <w:pPr>
        <w:shd w:val="clear"/>
        <w:spacing w:line="360" w:lineRule="auto"/>
        <w:ind w:firstLine="411" w:firstLineChars="196"/>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如果发包人未按上述条款付款时，承包人不能以此成为停工或延误工期的理由。</w:t>
      </w:r>
    </w:p>
    <w:p w14:paraId="4E661AA5">
      <w:pPr>
        <w:shd w:val="clear"/>
        <w:spacing w:line="360" w:lineRule="auto"/>
        <w:ind w:firstLine="411" w:firstLineChars="196"/>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承包人应严格遵守劳社部[2004]22号“劳动保障部和建设部关于印发《建设领域农民工工资支付管理办法》的通知”《保障农民工工资支付条例》规定，按时足额支付农民工工资。如发现拖欠农民工工资的，发包人将不予支付工程款，并没收履约保证金。</w:t>
      </w:r>
    </w:p>
    <w:p w14:paraId="2277E99C">
      <w:pPr>
        <w:shd w:val="clear"/>
        <w:adjustRightInd w:val="0"/>
        <w:snapToGrid w:val="0"/>
        <w:spacing w:line="360" w:lineRule="auto"/>
        <w:jc w:val="left"/>
        <w:outlineLvl w:val="3"/>
        <w:rPr>
          <w:rFonts w:hint="eastAsia" w:ascii="方正仿宋_GB2312" w:hAnsi="方正仿宋_GB2312" w:eastAsia="方正仿宋_GB2312" w:cs="方正仿宋_GB2312"/>
          <w:b/>
          <w:bCs/>
          <w:color w:val="auto"/>
          <w:sz w:val="21"/>
          <w:szCs w:val="21"/>
        </w:rPr>
      </w:pPr>
      <w:r>
        <w:rPr>
          <w:rFonts w:hint="eastAsia" w:ascii="方正仿宋_GB2312" w:hAnsi="方正仿宋_GB2312" w:eastAsia="方正仿宋_GB2312" w:cs="方正仿宋_GB2312"/>
          <w:b/>
          <w:bCs/>
          <w:color w:val="auto"/>
          <w:sz w:val="21"/>
          <w:szCs w:val="21"/>
        </w:rPr>
        <w:t>九、安全文明施工与环境保护</w:t>
      </w:r>
    </w:p>
    <w:p w14:paraId="2B1B33EA">
      <w:pPr>
        <w:shd w:val="clear"/>
        <w:adjustRightInd w:val="0"/>
        <w:snapToGrid w:val="0"/>
        <w:spacing w:line="360" w:lineRule="auto"/>
        <w:ind w:firstLine="420" w:firstLineChars="200"/>
        <w:jc w:val="left"/>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承包人应遵守工程建设安全生产有关管理规定，严格按现行安全标准组织施工，并随时接受行业安全检查人员依法实施的监督检查，采取必要的安全防护措施，消除事故隐患。其安全施工防护费用已经含在合同价款内。</w:t>
      </w:r>
    </w:p>
    <w:p w14:paraId="2CA705B9">
      <w:pPr>
        <w:shd w:val="clear"/>
        <w:adjustRightInd w:val="0"/>
        <w:snapToGrid w:val="0"/>
        <w:spacing w:line="360" w:lineRule="auto"/>
        <w:ind w:firstLine="420" w:firstLineChars="200"/>
        <w:jc w:val="left"/>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关于治安保卫的特别约定：</w:t>
      </w:r>
      <w:r>
        <w:rPr>
          <w:rFonts w:hint="eastAsia" w:ascii="方正仿宋_GB2312" w:hAnsi="方正仿宋_GB2312" w:eastAsia="方正仿宋_GB2312" w:cs="方正仿宋_GB2312"/>
          <w:color w:val="auto"/>
          <w:sz w:val="21"/>
          <w:szCs w:val="21"/>
          <w:u w:val="single"/>
        </w:rPr>
        <w:t>按通用条款执行</w:t>
      </w:r>
      <w:r>
        <w:rPr>
          <w:rFonts w:hint="eastAsia" w:ascii="方正仿宋_GB2312" w:hAnsi="方正仿宋_GB2312" w:eastAsia="方正仿宋_GB2312" w:cs="方正仿宋_GB2312"/>
          <w:color w:val="auto"/>
          <w:sz w:val="21"/>
          <w:szCs w:val="21"/>
        </w:rPr>
        <w:t>。</w:t>
      </w:r>
    </w:p>
    <w:p w14:paraId="042F3276">
      <w:pPr>
        <w:shd w:val="clear"/>
        <w:adjustRightInd w:val="0"/>
        <w:snapToGrid w:val="0"/>
        <w:spacing w:line="360" w:lineRule="auto"/>
        <w:ind w:firstLine="420" w:firstLineChars="200"/>
        <w:jc w:val="left"/>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关于编制施工场地治安管理计划的约定：</w:t>
      </w:r>
      <w:r>
        <w:rPr>
          <w:rFonts w:hint="eastAsia" w:ascii="方正仿宋_GB2312" w:hAnsi="方正仿宋_GB2312" w:eastAsia="方正仿宋_GB2312" w:cs="方正仿宋_GB2312"/>
          <w:color w:val="auto"/>
          <w:sz w:val="21"/>
          <w:szCs w:val="21"/>
          <w:u w:val="single"/>
        </w:rPr>
        <w:t>由承包人编制，开工前提供</w:t>
      </w:r>
      <w:r>
        <w:rPr>
          <w:rFonts w:hint="eastAsia" w:ascii="方正仿宋_GB2312" w:hAnsi="方正仿宋_GB2312" w:eastAsia="方正仿宋_GB2312" w:cs="方正仿宋_GB2312"/>
          <w:color w:val="auto"/>
          <w:sz w:val="21"/>
          <w:szCs w:val="21"/>
        </w:rPr>
        <w:t>。</w:t>
      </w:r>
    </w:p>
    <w:p w14:paraId="0F85931C">
      <w:pPr>
        <w:shd w:val="clear"/>
        <w:adjustRightInd w:val="0"/>
        <w:snapToGrid w:val="0"/>
        <w:spacing w:line="360" w:lineRule="auto"/>
        <w:ind w:firstLine="420" w:firstLineChars="200"/>
        <w:jc w:val="left"/>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rPr>
        <w:t>合同当事人对文明施工的要求：</w:t>
      </w:r>
      <w:r>
        <w:rPr>
          <w:rFonts w:hint="eastAsia" w:ascii="方正仿宋_GB2312" w:hAnsi="方正仿宋_GB2312" w:eastAsia="方正仿宋_GB2312" w:cs="方正仿宋_GB2312"/>
          <w:color w:val="auto"/>
          <w:sz w:val="21"/>
          <w:szCs w:val="21"/>
          <w:u w:val="single"/>
        </w:rPr>
        <w:t>满足陕西省对文明工地的要求</w:t>
      </w:r>
      <w:r>
        <w:rPr>
          <w:rFonts w:hint="eastAsia" w:ascii="方正仿宋_GB2312" w:hAnsi="方正仿宋_GB2312" w:eastAsia="方正仿宋_GB2312" w:cs="方正仿宋_GB2312"/>
          <w:color w:val="auto"/>
          <w:sz w:val="21"/>
          <w:szCs w:val="21"/>
        </w:rPr>
        <w:t>。</w:t>
      </w:r>
    </w:p>
    <w:p w14:paraId="6A9936CA">
      <w:pPr>
        <w:keepNext/>
        <w:keepLines/>
        <w:shd w:val="clear"/>
        <w:adjustRightInd w:val="0"/>
        <w:snapToGrid w:val="0"/>
        <w:spacing w:before="156" w:beforeLines="50" w:after="156" w:afterLines="50" w:line="360" w:lineRule="auto"/>
        <w:jc w:val="left"/>
        <w:outlineLvl w:val="3"/>
        <w:rPr>
          <w:rFonts w:hint="eastAsia" w:ascii="方正仿宋_GB2312" w:hAnsi="方正仿宋_GB2312" w:eastAsia="方正仿宋_GB2312" w:cs="方正仿宋_GB2312"/>
          <w:b/>
          <w:bCs/>
          <w:color w:val="auto"/>
          <w:sz w:val="21"/>
          <w:szCs w:val="21"/>
        </w:rPr>
      </w:pPr>
      <w:r>
        <w:rPr>
          <w:rFonts w:hint="eastAsia" w:ascii="方正仿宋_GB2312" w:hAnsi="方正仿宋_GB2312" w:eastAsia="方正仿宋_GB2312" w:cs="方正仿宋_GB2312"/>
          <w:b/>
          <w:bCs/>
          <w:color w:val="auto"/>
          <w:sz w:val="21"/>
          <w:szCs w:val="21"/>
        </w:rPr>
        <w:t>十、工程验收</w:t>
      </w:r>
    </w:p>
    <w:p w14:paraId="4D0143E5">
      <w:pPr>
        <w:shd w:val="clear"/>
        <w:adjustRightInd w:val="0"/>
        <w:snapToGrid w:val="0"/>
        <w:spacing w:line="360" w:lineRule="auto"/>
        <w:ind w:firstLine="420" w:firstLineChars="200"/>
        <w:jc w:val="left"/>
        <w:rPr>
          <w:rFonts w:hint="eastAsia" w:ascii="方正仿宋_GB2312" w:hAnsi="方正仿宋_GB2312" w:eastAsia="方正仿宋_GB2312" w:cs="方正仿宋_GB2312"/>
          <w:color w:val="auto"/>
          <w:spacing w:val="-6"/>
          <w:sz w:val="21"/>
          <w:szCs w:val="21"/>
        </w:rPr>
      </w:pPr>
      <w:r>
        <w:rPr>
          <w:rFonts w:hint="eastAsia" w:ascii="方正仿宋_GB2312" w:hAnsi="方正仿宋_GB2312" w:eastAsia="方正仿宋_GB2312" w:cs="方正仿宋_GB2312"/>
          <w:color w:val="auto"/>
          <w:sz w:val="21"/>
          <w:szCs w:val="21"/>
        </w:rPr>
        <w:t>1.</w:t>
      </w:r>
      <w:r>
        <w:rPr>
          <w:rFonts w:hint="eastAsia" w:ascii="方正仿宋_GB2312" w:hAnsi="方正仿宋_GB2312" w:eastAsia="方正仿宋_GB2312" w:cs="方正仿宋_GB2312"/>
          <w:color w:val="auto"/>
          <w:spacing w:val="-6"/>
          <w:sz w:val="21"/>
          <w:szCs w:val="21"/>
        </w:rPr>
        <w:t>工程竣工验收。以国家颁发的《关于基本建设项目竣工验收暂行规定》、《工程施工及验收规范》等文件及施工技术文件为依据组织总体验收。</w:t>
      </w:r>
    </w:p>
    <w:p w14:paraId="574D0716">
      <w:pPr>
        <w:shd w:val="clear"/>
        <w:adjustRightInd w:val="0"/>
        <w:snapToGrid w:val="0"/>
        <w:spacing w:line="360" w:lineRule="auto"/>
        <w:ind w:firstLine="396" w:firstLineChars="200"/>
        <w:jc w:val="left"/>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pacing w:val="-6"/>
          <w:sz w:val="21"/>
          <w:szCs w:val="21"/>
        </w:rPr>
        <w:t>2.施工材料到达现场后由发包人、承包人共同验收，验收合格后方能使用。</w:t>
      </w:r>
    </w:p>
    <w:p w14:paraId="0D9CDDA5">
      <w:pPr>
        <w:shd w:val="clear"/>
        <w:adjustRightInd w:val="0"/>
        <w:snapToGrid w:val="0"/>
        <w:spacing w:line="360" w:lineRule="auto"/>
        <w:ind w:firstLine="420" w:firstLineChars="200"/>
        <w:jc w:val="left"/>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3.项目验收：由甲方组织相关职能部门验收。</w:t>
      </w:r>
    </w:p>
    <w:p w14:paraId="48EC8E04">
      <w:pPr>
        <w:keepNext/>
        <w:keepLines/>
        <w:shd w:val="clear"/>
        <w:adjustRightInd w:val="0"/>
        <w:snapToGrid w:val="0"/>
        <w:spacing w:before="156" w:beforeLines="50" w:after="156" w:afterLines="50" w:line="360" w:lineRule="auto"/>
        <w:jc w:val="left"/>
        <w:outlineLvl w:val="3"/>
        <w:rPr>
          <w:rFonts w:hint="eastAsia" w:ascii="方正仿宋_GB2312" w:hAnsi="方正仿宋_GB2312" w:eastAsia="方正仿宋_GB2312" w:cs="方正仿宋_GB2312"/>
          <w:b/>
          <w:bCs/>
          <w:color w:val="auto"/>
          <w:sz w:val="21"/>
          <w:szCs w:val="21"/>
        </w:rPr>
      </w:pPr>
      <w:bookmarkStart w:id="23" w:name="_Toc351203647"/>
      <w:bookmarkStart w:id="24" w:name="_Toc267251483"/>
      <w:bookmarkStart w:id="25" w:name="_Toc267251482"/>
      <w:bookmarkStart w:id="26" w:name="_Toc267251485"/>
      <w:bookmarkStart w:id="27" w:name="_Toc267251484"/>
      <w:bookmarkStart w:id="28" w:name="_Toc267251489"/>
      <w:bookmarkStart w:id="29" w:name="_Toc267251486"/>
      <w:bookmarkStart w:id="30" w:name="_Toc267251488"/>
      <w:bookmarkStart w:id="31" w:name="_Toc267251490"/>
      <w:r>
        <w:rPr>
          <w:rFonts w:hint="eastAsia" w:ascii="方正仿宋_GB2312" w:hAnsi="方正仿宋_GB2312" w:eastAsia="方正仿宋_GB2312" w:cs="方正仿宋_GB2312"/>
          <w:b/>
          <w:bCs/>
          <w:color w:val="auto"/>
          <w:sz w:val="21"/>
          <w:szCs w:val="21"/>
        </w:rPr>
        <w:t>十一、 缺陷责任期与保修</w:t>
      </w:r>
      <w:bookmarkEnd w:id="23"/>
    </w:p>
    <w:p w14:paraId="3D76B448">
      <w:pPr>
        <w:shd w:val="clear"/>
        <w:spacing w:line="360" w:lineRule="auto"/>
        <w:ind w:firstLine="420" w:firstLineChars="2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1.缺陷责任期</w:t>
      </w:r>
      <w:bookmarkEnd w:id="24"/>
    </w:p>
    <w:p w14:paraId="61179E7D">
      <w:pPr>
        <w:shd w:val="clear"/>
        <w:spacing w:line="360" w:lineRule="auto"/>
        <w:ind w:firstLine="420" w:firstLineChars="2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缺陷责任期的具体期限：本项目缺陷责任期为</w:t>
      </w:r>
      <w:r>
        <w:rPr>
          <w:rFonts w:hint="eastAsia" w:ascii="方正仿宋_GB2312" w:hAnsi="方正仿宋_GB2312" w:eastAsia="方正仿宋_GB2312" w:cs="方正仿宋_GB2312"/>
          <w:color w:val="auto"/>
          <w:sz w:val="21"/>
          <w:szCs w:val="21"/>
          <w:u w:val="single"/>
        </w:rPr>
        <w:t>24</w:t>
      </w:r>
      <w:r>
        <w:rPr>
          <w:rFonts w:hint="eastAsia" w:ascii="方正仿宋_GB2312" w:hAnsi="方正仿宋_GB2312" w:eastAsia="方正仿宋_GB2312" w:cs="方正仿宋_GB2312"/>
          <w:color w:val="auto"/>
          <w:sz w:val="21"/>
          <w:szCs w:val="21"/>
        </w:rPr>
        <w:t>个月；</w:t>
      </w:r>
    </w:p>
    <w:bookmarkEnd w:id="25"/>
    <w:bookmarkEnd w:id="26"/>
    <w:bookmarkEnd w:id="27"/>
    <w:p w14:paraId="5DB21FA1">
      <w:pPr>
        <w:shd w:val="clear"/>
        <w:spacing w:line="360" w:lineRule="auto"/>
        <w:ind w:firstLine="420" w:firstLineChars="2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2.质量保修金：/</w:t>
      </w:r>
    </w:p>
    <w:p w14:paraId="74E5BC08">
      <w:pPr>
        <w:shd w:val="clear"/>
        <w:spacing w:line="360" w:lineRule="auto"/>
        <w:ind w:firstLine="420" w:firstLineChars="2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3.保修责任</w:t>
      </w:r>
    </w:p>
    <w:p w14:paraId="29DBF900">
      <w:pPr>
        <w:shd w:val="clear"/>
        <w:adjustRightInd w:val="0"/>
        <w:snapToGrid w:val="0"/>
        <w:spacing w:line="360" w:lineRule="auto"/>
        <w:ind w:firstLine="420" w:firstLineChars="200"/>
        <w:jc w:val="left"/>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工程质量保修期为：以中国《</w:t>
      </w:r>
      <w:r>
        <w:rPr>
          <w:rFonts w:hint="eastAsia" w:ascii="方正仿宋_GB2312" w:hAnsi="方正仿宋_GB2312" w:eastAsia="方正仿宋_GB2312" w:cs="方正仿宋_GB2312"/>
          <w:color w:val="auto"/>
          <w:sz w:val="21"/>
          <w:szCs w:val="21"/>
          <w:u w:val="single"/>
        </w:rPr>
        <w:t>建设工程质量管理条例</w:t>
      </w:r>
      <w:r>
        <w:rPr>
          <w:rFonts w:hint="eastAsia" w:ascii="方正仿宋_GB2312" w:hAnsi="方正仿宋_GB2312" w:eastAsia="方正仿宋_GB2312" w:cs="方正仿宋_GB2312"/>
          <w:color w:val="auto"/>
          <w:sz w:val="21"/>
          <w:szCs w:val="21"/>
        </w:rPr>
        <w:t>》为准。</w:t>
      </w:r>
    </w:p>
    <w:p w14:paraId="4DA0ACAF">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4.修复通知</w:t>
      </w:r>
    </w:p>
    <w:p w14:paraId="1647FAA6">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承包人收到保修通知并到达工程现场的合理时间：</w:t>
      </w:r>
      <w:r>
        <w:rPr>
          <w:rFonts w:hint="eastAsia" w:ascii="方正仿宋_GB2312" w:hAnsi="方正仿宋_GB2312" w:eastAsia="方正仿宋_GB2312" w:cs="方正仿宋_GB2312"/>
          <w:sz w:val="22"/>
          <w:szCs w:val="22"/>
          <w:u w:val="single"/>
        </w:rPr>
        <w:t>响应时间为正常工作日二小时内答复，十二小时内到现场处理。节假日及法定休息日六小时内答复，二十四小时内到现场处理</w:t>
      </w:r>
      <w:r>
        <w:rPr>
          <w:rFonts w:hint="eastAsia" w:ascii="方正仿宋_GB2312" w:hAnsi="方正仿宋_GB2312" w:eastAsia="方正仿宋_GB2312" w:cs="方正仿宋_GB2312"/>
          <w:sz w:val="22"/>
          <w:szCs w:val="22"/>
        </w:rPr>
        <w:t>。</w:t>
      </w:r>
      <w:bookmarkEnd w:id="28"/>
      <w:bookmarkEnd w:id="29"/>
      <w:bookmarkEnd w:id="30"/>
      <w:bookmarkEnd w:id="31"/>
    </w:p>
    <w:p w14:paraId="27FF485E">
      <w:pPr>
        <w:keepNext/>
        <w:keepLines/>
        <w:adjustRightInd w:val="0"/>
        <w:snapToGrid w:val="0"/>
        <w:spacing w:before="156" w:beforeLines="50" w:after="156" w:afterLines="50" w:line="360" w:lineRule="auto"/>
        <w:jc w:val="left"/>
        <w:outlineLvl w:val="3"/>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十二、</w:t>
      </w:r>
      <w:bookmarkEnd w:id="22"/>
      <w:bookmarkStart w:id="32" w:name="_Toc351203486"/>
      <w:r>
        <w:rPr>
          <w:rFonts w:hint="eastAsia" w:ascii="方正仿宋_GB2312" w:hAnsi="方正仿宋_GB2312" w:eastAsia="方正仿宋_GB2312" w:cs="方正仿宋_GB2312"/>
          <w:b/>
          <w:bCs/>
          <w:sz w:val="22"/>
          <w:szCs w:val="22"/>
        </w:rPr>
        <w:t>违约责任</w:t>
      </w:r>
    </w:p>
    <w:p w14:paraId="550FAA5B">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1.发包人违约</w:t>
      </w:r>
    </w:p>
    <w:p w14:paraId="26D6DE47">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（1）因发包人原因未能在计划开工日期前7天内下达开工通知的违约责任：工期顺延。</w:t>
      </w:r>
    </w:p>
    <w:p w14:paraId="5F622EFF">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（2）因发包人原因未能按合同约定支付合同价款的违约责任双方另行协商。</w:t>
      </w:r>
    </w:p>
    <w:p w14:paraId="0DBE12CD">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（3）因发包人违反合同约定造成暂停施工的违约责任：若影响工期的，工期予以顺延。</w:t>
      </w:r>
    </w:p>
    <w:p w14:paraId="7B29F24B">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（4）发包人无正当理由没有在约定期限内发出复工指示，导致承包人无法复工的违约责任：若影响工期的，工期予以顺延。</w:t>
      </w:r>
    </w:p>
    <w:p w14:paraId="07F0D271">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（5）其他：双方协商解决。</w:t>
      </w:r>
    </w:p>
    <w:p w14:paraId="5B6C9179">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2.承包人违约</w:t>
      </w:r>
    </w:p>
    <w:p w14:paraId="4CDAA33D">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1）承包人不得更换经发包人认定的项目经理。承包人擅自更换项目经理，应按1万元/人·次的标准向发包人支付违约金。如需要更换项目经理及其它专业工程师，应至少提前15天以书面形式通知发包人，并征得发包人同意；后任继续行使合同文件约定的前任的职权，履行前任的义务。</w:t>
      </w:r>
    </w:p>
    <w:p w14:paraId="1F5DA885">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2）承包人项目经理和经理无特殊情况每月坚守工地时间不得少于22天，项目经理在工程施工期间，要暂时离开工地现场2天以上，应事先征得工程师的同意。项目经理每次请假时间不超过7天，一年累计离场时间不得超过30天。随意离开工地，承包人向发包人支付2000元/天的违约金。项目经理和经理需要离开工地时必须提前一天书面向发包人请假，获批准后方可离开工地，否则按缺勤处理。</w:t>
      </w:r>
    </w:p>
    <w:p w14:paraId="17E6D29D">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3）项目经理不胜任本职工作，发包人和工程师可提前7天以书面形式通知承包人更换合格的项目经理，如更换后的项目经理仍旧不能胜任本职工作，发包人有解除合同的权利。项目经理及其他专业工程师不称职，发包人和工程师也可提前5天以书面形式通知承包人更换合格的人员。上述人员更换，承包人应在3日内更换完毕。</w:t>
      </w:r>
    </w:p>
    <w:p w14:paraId="08E81DA1">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4）承包人主要机械设备未能按工程计划（或监理工程师要求的设备）及时到场或到场设备不能正常运转以及擅自调走已进场的机械设备，应按200元/天·台（套）标准向发包人支付违约金；迟到或调离超过10天时，发包人可自行组织采购，费用直接在向承包人支付工程款时予以扣除，同时对到场时限的延迟仍旧计算违约金</w:t>
      </w:r>
    </w:p>
    <w:p w14:paraId="23DBE9A2">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（5）同时出现以下问题：</w:t>
      </w:r>
    </w:p>
    <w:p w14:paraId="1CA7A7E9">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a.出现重大质量问题，经发包人、监理单位提出，没有采取有效措施进行补救。</w:t>
      </w:r>
    </w:p>
    <w:p w14:paraId="67495C6F">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b.被建设行政主管部门因为质量问题通报两次者。</w:t>
      </w:r>
    </w:p>
    <w:p w14:paraId="77EDA0FA">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c.出现重大安全隐患，经监理提出，在限期内没有得到整改。</w:t>
      </w:r>
    </w:p>
    <w:p w14:paraId="72859700">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d.被建设行政主管部门因为安全问题通报两次者。</w:t>
      </w:r>
    </w:p>
    <w:p w14:paraId="491D2C61">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e.或发生其它使合同无法履行的行为。发包人可单方解除合同。</w:t>
      </w:r>
    </w:p>
    <w:p w14:paraId="72262EEF">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因以上原因终止施工合同，承包人应支付合同价款3%的违约金，另由于终止合同对发包人造成的损失由承包人承担。</w:t>
      </w:r>
    </w:p>
    <w:p w14:paraId="4A1534FA">
      <w:pPr>
        <w:keepNext/>
        <w:keepLines/>
        <w:adjustRightInd w:val="0"/>
        <w:snapToGrid w:val="0"/>
        <w:spacing w:before="156" w:beforeLines="50" w:after="156" w:afterLines="50" w:line="360" w:lineRule="auto"/>
        <w:ind w:firstLine="442" w:firstLineChars="200"/>
        <w:jc w:val="left"/>
        <w:outlineLvl w:val="3"/>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十三、不可抗力</w:t>
      </w:r>
    </w:p>
    <w:p w14:paraId="18C794DE">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p>
    <w:p w14:paraId="0531E3C9">
      <w:pPr>
        <w:keepNext/>
        <w:keepLines/>
        <w:adjustRightInd w:val="0"/>
        <w:snapToGrid w:val="0"/>
        <w:spacing w:before="156" w:beforeLines="50" w:after="156" w:afterLines="50" w:line="360" w:lineRule="auto"/>
        <w:ind w:firstLine="442" w:firstLineChars="200"/>
        <w:jc w:val="left"/>
        <w:outlineLvl w:val="3"/>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十四、保险</w:t>
      </w:r>
    </w:p>
    <w:p w14:paraId="65AFF90A">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关于工程保险、承包人员相关保险、设备设施保险等已包含在合同价款中，</w:t>
      </w:r>
    </w:p>
    <w:p w14:paraId="1343143D">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保险费用由承包人承担，未购买的承包人承担全部责任。</w:t>
      </w:r>
    </w:p>
    <w:p w14:paraId="59B061ED">
      <w:pPr>
        <w:keepNext/>
        <w:keepLines/>
        <w:adjustRightInd w:val="0"/>
        <w:snapToGrid w:val="0"/>
        <w:spacing w:before="156" w:beforeLines="50" w:after="156" w:afterLines="50" w:line="360" w:lineRule="auto"/>
        <w:ind w:firstLine="442" w:firstLineChars="200"/>
        <w:jc w:val="left"/>
        <w:outlineLvl w:val="3"/>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十五、其他</w:t>
      </w:r>
    </w:p>
    <w:p w14:paraId="44D1DB90">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1.在合同要求许可的范围内，在施工、完成工程及保修过程中，承包人所必需的一切操作均不应对公众的便利及公用道路，以及通往属于发包人和他人财产的人行道的进入、使用或占有，产生不必要及不适当的干扰；</w:t>
      </w:r>
    </w:p>
    <w:p w14:paraId="0C557AA8">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2.承包人的施工管理区及施工现场应设有临时的污水处理设施和施工排水设施，生活、施工垃圾等处置应妥当；</w:t>
      </w:r>
    </w:p>
    <w:p w14:paraId="0C292B58">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3.竣工验收合格后，承包人应立即从签发了移交证书的那部分工地上将所有有关承包人的设备、多余材料、垃圾及各种临时工程清除、移走，恢复损坏的原有公共设施，并使这一部分工程及工地保持清洁，使发包人满意。在质量保修期结束之前，未完成质量保修期内的义务，将其需要的材料、承包人的和设备、临时设施保留在发包人指定的位置；</w:t>
      </w:r>
    </w:p>
    <w:p w14:paraId="3F37DBD2">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4.承包人应全权负责其劳务及资源的雇佣、工资的支付、房屋、膳食及运输的安排。承包人在任何时候应采取一切合理的预防措施，以防止其职员发生任何违法的、妨碍治安的行为，并维护治安和保护工程附近的个人或财产免遭上述行为的破坏；</w:t>
      </w:r>
    </w:p>
    <w:p w14:paraId="7369AB68">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5.承包人应按安全施工管理有关规定，配备安全管理机构，配备合格的安全管理人员，负责处理全体工作人员和劳务人员的安全保护和防止事故等问题。在施工中发生的任何机械及人身伤害事故均由承包方承担赔偿责任；</w:t>
      </w:r>
    </w:p>
    <w:p w14:paraId="583B1409">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6.承包人应以迅速而有序的方式将所采购的材料运至工地现场，并按工程规范要求做相应的试验、试样和检测工作，当这些工作不符合现行有关规定（包括不及时开展相关工作）时，发包人有权直接指定由相关资质的检测单位进行试验、试样、检测工作，由此发生的所有费用由承包人承担；</w:t>
      </w:r>
    </w:p>
    <w:p w14:paraId="2C5D3EB4">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7.承包人应负责各分包人在施工过程的之前、之中、之后协调工作，包括工序、场地、材料堆放、人员食宿、水、电供应等，所发生的费用由承包人自行解决；</w:t>
      </w:r>
    </w:p>
    <w:p w14:paraId="62859985">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8.承包人必须服从发包人对总平面管理和现场平面管理的要求，现场设施搭建必须按发包人批准的搭建方案实施，严禁擅自乱建或扩大面积；</w:t>
      </w:r>
    </w:p>
    <w:p w14:paraId="5B5F8F39">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9.承包人负责处理与主体施工单位的协调问题。</w:t>
      </w:r>
    </w:p>
    <w:p w14:paraId="4BB5D3F3">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10.承包人负责处理当地农民对施工的干扰（非采购人原因），自行处理与当地农民的关系。</w:t>
      </w:r>
    </w:p>
    <w:p w14:paraId="4C88F4D7">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11.承包人自行解决临时用房。</w:t>
      </w:r>
    </w:p>
    <w:bookmarkEnd w:id="32"/>
    <w:p w14:paraId="4951452F">
      <w:pPr>
        <w:keepNext/>
        <w:keepLines/>
        <w:adjustRightInd w:val="0"/>
        <w:snapToGrid w:val="0"/>
        <w:spacing w:before="156" w:beforeLines="50" w:after="156" w:afterLines="50" w:line="360" w:lineRule="auto"/>
        <w:ind w:firstLine="442" w:firstLineChars="200"/>
        <w:jc w:val="left"/>
        <w:outlineLvl w:val="3"/>
        <w:rPr>
          <w:rFonts w:ascii="方正仿宋_GB2312" w:hAnsi="方正仿宋_GB2312" w:eastAsia="方正仿宋_GB2312" w:cs="方正仿宋_GB2312"/>
          <w:b/>
          <w:bCs/>
          <w:sz w:val="22"/>
          <w:szCs w:val="22"/>
        </w:rPr>
      </w:pPr>
      <w:bookmarkStart w:id="33" w:name="_Toc351203487"/>
      <w:r>
        <w:rPr>
          <w:rFonts w:hint="eastAsia" w:ascii="方正仿宋_GB2312" w:hAnsi="方正仿宋_GB2312" w:eastAsia="方正仿宋_GB2312" w:cs="方正仿宋_GB2312"/>
          <w:b/>
          <w:bCs/>
          <w:sz w:val="22"/>
          <w:szCs w:val="22"/>
        </w:rPr>
        <w:t>十六、合同文件构成</w:t>
      </w:r>
    </w:p>
    <w:p w14:paraId="2FBD6523">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组成本合同的文件包括：</w:t>
      </w:r>
    </w:p>
    <w:p w14:paraId="63FC2729">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响应文件、工程报价单或预算书及其附件、竞争性磋商文件、答疑纪要及工程量清单、标准、规范及有关技术文件。</w:t>
      </w:r>
    </w:p>
    <w:p w14:paraId="43D28A56">
      <w:pPr>
        <w:widowControl/>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双方为履行本合同的有关洽商、变更等书面协议、文件，视为本合同的组成部分。</w:t>
      </w:r>
    </w:p>
    <w:p w14:paraId="76C9739A">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上述各项合同文件包括合同当事人就该项合同文件所作出的补充和修改，属于同一类内容的文件，应以最新签署的为准。专用合同条款及其附件须经合同当事人签字或盖章。</w:t>
      </w:r>
    </w:p>
    <w:p w14:paraId="221ABB1F">
      <w:pPr>
        <w:keepNext/>
        <w:keepLines/>
        <w:adjustRightInd w:val="0"/>
        <w:snapToGrid w:val="0"/>
        <w:spacing w:before="156" w:beforeLines="50" w:after="156" w:afterLines="50" w:line="360" w:lineRule="auto"/>
        <w:ind w:firstLine="442" w:firstLineChars="200"/>
        <w:jc w:val="left"/>
        <w:outlineLvl w:val="3"/>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十七、承包人承诺</w:t>
      </w:r>
      <w:bookmarkEnd w:id="33"/>
    </w:p>
    <w:p w14:paraId="0C83547A">
      <w:pPr>
        <w:widowControl/>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承包人承诺按</w:t>
      </w:r>
      <w:r>
        <w:rPr>
          <w:rFonts w:hint="eastAsia" w:ascii="方正仿宋_GB2312" w:hAnsi="方正仿宋_GB2312" w:eastAsia="方正仿宋_GB2312" w:cs="方正仿宋_GB2312"/>
          <w:bCs/>
          <w:sz w:val="22"/>
          <w:szCs w:val="22"/>
        </w:rPr>
        <w:t>照法律规定及合同约定组织完成工程施工，确保工程质量和安全，不进行转包及违法分包，并在缺陷责任期及质量保修期内承担相应的工程维修责</w:t>
      </w:r>
      <w:r>
        <w:rPr>
          <w:rFonts w:hint="eastAsia" w:ascii="方正仿宋_GB2312" w:hAnsi="方正仿宋_GB2312" w:eastAsia="方正仿宋_GB2312" w:cs="方正仿宋_GB2312"/>
          <w:sz w:val="22"/>
          <w:szCs w:val="22"/>
        </w:rPr>
        <w:t xml:space="preserve">任。    </w:t>
      </w:r>
      <w:bookmarkStart w:id="34" w:name="_Toc351203489"/>
    </w:p>
    <w:p w14:paraId="76C1B941">
      <w:pPr>
        <w:keepNext/>
        <w:keepLines/>
        <w:adjustRightInd w:val="0"/>
        <w:snapToGrid w:val="0"/>
        <w:spacing w:before="156" w:beforeLines="50" w:after="156" w:afterLines="50" w:line="360" w:lineRule="auto"/>
        <w:ind w:firstLine="442" w:firstLineChars="200"/>
        <w:jc w:val="left"/>
        <w:outlineLvl w:val="3"/>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十八、签订时间</w:t>
      </w:r>
      <w:bookmarkEnd w:id="34"/>
      <w:r>
        <w:rPr>
          <w:rFonts w:hint="eastAsia" w:ascii="方正仿宋_GB2312" w:hAnsi="方正仿宋_GB2312" w:eastAsia="方正仿宋_GB2312" w:cs="方正仿宋_GB2312"/>
          <w:b/>
          <w:bCs/>
          <w:sz w:val="22"/>
          <w:szCs w:val="22"/>
        </w:rPr>
        <w:t>及地点</w:t>
      </w:r>
    </w:p>
    <w:p w14:paraId="33577451">
      <w:pPr>
        <w:widowControl/>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 xml:space="preserve">本合同于 </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年</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月</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日签订。  </w:t>
      </w:r>
      <w:bookmarkStart w:id="35" w:name="_Toc351203490"/>
    </w:p>
    <w:bookmarkEnd w:id="35"/>
    <w:p w14:paraId="2A0C2FBD">
      <w:pPr>
        <w:widowControl/>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本合同签订地点：在</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签订。  </w:t>
      </w:r>
      <w:bookmarkStart w:id="36" w:name="_Toc351203492"/>
    </w:p>
    <w:p w14:paraId="2ED23F45">
      <w:pPr>
        <w:keepNext/>
        <w:keepLines/>
        <w:adjustRightInd w:val="0"/>
        <w:snapToGrid w:val="0"/>
        <w:spacing w:before="156" w:beforeLines="50" w:after="156" w:afterLines="50" w:line="360" w:lineRule="auto"/>
        <w:ind w:firstLine="442" w:firstLineChars="200"/>
        <w:jc w:val="left"/>
        <w:outlineLvl w:val="3"/>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十九、</w:t>
      </w:r>
      <w:bookmarkEnd w:id="36"/>
      <w:r>
        <w:rPr>
          <w:rFonts w:hint="eastAsia" w:ascii="方正仿宋_GB2312" w:hAnsi="方正仿宋_GB2312" w:eastAsia="方正仿宋_GB2312" w:cs="方正仿宋_GB2312"/>
          <w:b/>
          <w:bCs/>
          <w:sz w:val="22"/>
          <w:szCs w:val="22"/>
        </w:rPr>
        <w:t>附则</w:t>
      </w:r>
    </w:p>
    <w:p w14:paraId="44ACC779">
      <w:pPr>
        <w:adjustRightInd w:val="0"/>
        <w:snapToGrid w:val="0"/>
        <w:spacing w:line="360" w:lineRule="auto"/>
        <w:ind w:firstLine="440" w:firstLineChars="200"/>
        <w:jc w:val="left"/>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本合同一式捌份，甲乙双方各执肆份，本合同双方签字盖章后生效。</w:t>
      </w:r>
    </w:p>
    <w:p w14:paraId="539B573F">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p w14:paraId="30C72FDA">
      <w:pPr>
        <w:adjustRightInd w:val="0"/>
        <w:snapToGrid w:val="0"/>
        <w:spacing w:line="360" w:lineRule="auto"/>
        <w:ind w:firstLine="440" w:firstLineChars="200"/>
        <w:jc w:val="left"/>
        <w:rPr>
          <w:rFonts w:ascii="方正仿宋_GB2312" w:hAnsi="方正仿宋_GB2312" w:eastAsia="方正仿宋_GB2312" w:cs="方正仿宋_GB2312"/>
          <w:sz w:val="22"/>
          <w:szCs w:val="22"/>
          <w:u w:val="single"/>
        </w:rPr>
      </w:pPr>
      <w:r>
        <w:rPr>
          <w:rFonts w:hint="eastAsia" w:ascii="方正仿宋_GB2312" w:hAnsi="方正仿宋_GB2312" w:eastAsia="方正仿宋_GB2312" w:cs="方正仿宋_GB2312"/>
          <w:sz w:val="22"/>
          <w:szCs w:val="22"/>
        </w:rPr>
        <w:t xml:space="preserve">发包人：  (公章)                     承包人：  (公章)                            </w:t>
      </w:r>
    </w:p>
    <w:p w14:paraId="5D18476F">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法定代表人或                         法定代表人或</w:t>
      </w:r>
    </w:p>
    <w:p w14:paraId="1DF9D31B">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 xml:space="preserve">其委托代理人：（签字）               其委托代理人：（签字） </w:t>
      </w:r>
    </w:p>
    <w:p w14:paraId="0B7BDD15">
      <w:pPr>
        <w:adjustRightInd w:val="0"/>
        <w:snapToGrid w:val="0"/>
        <w:spacing w:line="360" w:lineRule="auto"/>
        <w:ind w:firstLine="440" w:firstLineChars="200"/>
        <w:jc w:val="left"/>
        <w:rPr>
          <w:rFonts w:ascii="方正仿宋_GB2312" w:hAnsi="方正仿宋_GB2312" w:eastAsia="方正仿宋_GB2312" w:cs="方正仿宋_GB2312"/>
          <w:sz w:val="22"/>
          <w:szCs w:val="22"/>
          <w:u w:val="single"/>
        </w:rPr>
      </w:pPr>
      <w:r>
        <w:rPr>
          <w:rFonts w:hint="eastAsia" w:ascii="方正仿宋_GB2312" w:hAnsi="方正仿宋_GB2312" w:eastAsia="方正仿宋_GB2312" w:cs="方正仿宋_GB2312"/>
          <w:sz w:val="22"/>
          <w:szCs w:val="22"/>
        </w:rPr>
        <w:t>组织机构代码：</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         组织机构代码：</w:t>
      </w:r>
      <w:r>
        <w:rPr>
          <w:rFonts w:hint="eastAsia" w:ascii="方正仿宋_GB2312" w:hAnsi="方正仿宋_GB2312" w:eastAsia="方正仿宋_GB2312" w:cs="方正仿宋_GB2312"/>
          <w:sz w:val="22"/>
          <w:szCs w:val="22"/>
          <w:u w:val="single"/>
        </w:rPr>
        <w:t xml:space="preserve">                </w:t>
      </w:r>
    </w:p>
    <w:p w14:paraId="6654F739">
      <w:pPr>
        <w:adjustRightInd w:val="0"/>
        <w:snapToGrid w:val="0"/>
        <w:spacing w:line="360" w:lineRule="auto"/>
        <w:ind w:firstLine="440" w:firstLineChars="200"/>
        <w:jc w:val="left"/>
        <w:rPr>
          <w:rFonts w:ascii="方正仿宋_GB2312" w:hAnsi="方正仿宋_GB2312" w:eastAsia="方正仿宋_GB2312" w:cs="方正仿宋_GB2312"/>
          <w:sz w:val="22"/>
          <w:szCs w:val="22"/>
          <w:u w:val="single"/>
        </w:rPr>
      </w:pPr>
      <w:r>
        <w:rPr>
          <w:rFonts w:hint="eastAsia" w:ascii="方正仿宋_GB2312" w:hAnsi="方正仿宋_GB2312" w:eastAsia="方正仿宋_GB2312" w:cs="方正仿宋_GB2312"/>
          <w:sz w:val="22"/>
          <w:szCs w:val="22"/>
        </w:rPr>
        <w:t>地址：</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         地址：</w:t>
      </w:r>
      <w:r>
        <w:rPr>
          <w:rFonts w:hint="eastAsia" w:ascii="方正仿宋_GB2312" w:hAnsi="方正仿宋_GB2312" w:eastAsia="方正仿宋_GB2312" w:cs="方正仿宋_GB2312"/>
          <w:sz w:val="22"/>
          <w:szCs w:val="22"/>
          <w:u w:val="single"/>
        </w:rPr>
        <w:t xml:space="preserve">                           </w:t>
      </w:r>
    </w:p>
    <w:p w14:paraId="23CC6FFB">
      <w:pPr>
        <w:adjustRightInd w:val="0"/>
        <w:snapToGrid w:val="0"/>
        <w:spacing w:line="360" w:lineRule="auto"/>
        <w:ind w:firstLine="440" w:firstLineChars="200"/>
        <w:jc w:val="left"/>
        <w:rPr>
          <w:rFonts w:ascii="方正仿宋_GB2312" w:hAnsi="方正仿宋_GB2312" w:eastAsia="方正仿宋_GB2312" w:cs="方正仿宋_GB2312"/>
          <w:sz w:val="22"/>
          <w:szCs w:val="22"/>
          <w:u w:val="single"/>
        </w:rPr>
      </w:pPr>
      <w:r>
        <w:rPr>
          <w:rFonts w:hint="eastAsia" w:ascii="方正仿宋_GB2312" w:hAnsi="方正仿宋_GB2312" w:eastAsia="方正仿宋_GB2312" w:cs="方正仿宋_GB2312"/>
          <w:sz w:val="22"/>
          <w:szCs w:val="22"/>
        </w:rPr>
        <w:t>法定代表人：</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         法定代表人：</w:t>
      </w:r>
      <w:r>
        <w:rPr>
          <w:rFonts w:hint="eastAsia" w:ascii="方正仿宋_GB2312" w:hAnsi="方正仿宋_GB2312" w:eastAsia="方正仿宋_GB2312" w:cs="方正仿宋_GB2312"/>
          <w:sz w:val="22"/>
          <w:szCs w:val="22"/>
          <w:u w:val="single"/>
        </w:rPr>
        <w:t xml:space="preserve">                     </w:t>
      </w:r>
    </w:p>
    <w:p w14:paraId="2B385F55">
      <w:pPr>
        <w:adjustRightInd w:val="0"/>
        <w:snapToGrid w:val="0"/>
        <w:spacing w:line="360" w:lineRule="auto"/>
        <w:ind w:firstLine="440" w:firstLineChars="200"/>
        <w:jc w:val="left"/>
        <w:rPr>
          <w:rFonts w:ascii="方正仿宋_GB2312" w:hAnsi="方正仿宋_GB2312" w:eastAsia="方正仿宋_GB2312" w:cs="方正仿宋_GB2312"/>
          <w:sz w:val="22"/>
          <w:szCs w:val="22"/>
          <w:u w:val="single"/>
        </w:rPr>
      </w:pPr>
      <w:r>
        <w:rPr>
          <w:rFonts w:hint="eastAsia" w:ascii="方正仿宋_GB2312" w:hAnsi="方正仿宋_GB2312" w:eastAsia="方正仿宋_GB2312" w:cs="方正仿宋_GB2312"/>
          <w:sz w:val="22"/>
          <w:szCs w:val="22"/>
        </w:rPr>
        <w:t>委托代理人：</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         委托代理人：</w:t>
      </w:r>
      <w:r>
        <w:rPr>
          <w:rFonts w:hint="eastAsia" w:ascii="方正仿宋_GB2312" w:hAnsi="方正仿宋_GB2312" w:eastAsia="方正仿宋_GB2312" w:cs="方正仿宋_GB2312"/>
          <w:sz w:val="22"/>
          <w:szCs w:val="22"/>
          <w:u w:val="single"/>
        </w:rPr>
        <w:t xml:space="preserve">                     </w:t>
      </w:r>
    </w:p>
    <w:p w14:paraId="573F9ABD">
      <w:pPr>
        <w:adjustRightInd w:val="0"/>
        <w:snapToGrid w:val="0"/>
        <w:spacing w:line="360" w:lineRule="auto"/>
        <w:ind w:firstLine="440" w:firstLineChars="200"/>
        <w:jc w:val="left"/>
        <w:rPr>
          <w:rFonts w:ascii="方正仿宋_GB2312" w:hAnsi="方正仿宋_GB2312" w:eastAsia="方正仿宋_GB2312" w:cs="方正仿宋_GB2312"/>
          <w:sz w:val="22"/>
          <w:szCs w:val="22"/>
          <w:u w:val="single"/>
        </w:rPr>
      </w:pPr>
      <w:r>
        <w:rPr>
          <w:rFonts w:hint="eastAsia" w:ascii="方正仿宋_GB2312" w:hAnsi="方正仿宋_GB2312" w:eastAsia="方正仿宋_GB2312" w:cs="方正仿宋_GB2312"/>
          <w:sz w:val="22"/>
          <w:szCs w:val="22"/>
        </w:rPr>
        <w:t>电话：</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         电话：</w:t>
      </w:r>
      <w:r>
        <w:rPr>
          <w:rFonts w:hint="eastAsia" w:ascii="方正仿宋_GB2312" w:hAnsi="方正仿宋_GB2312" w:eastAsia="方正仿宋_GB2312" w:cs="方正仿宋_GB2312"/>
          <w:sz w:val="22"/>
          <w:szCs w:val="22"/>
          <w:u w:val="single"/>
        </w:rPr>
        <w:t xml:space="preserve">                         </w:t>
      </w:r>
    </w:p>
    <w:p w14:paraId="2FE6D914">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开户银行：</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         开户银行：</w:t>
      </w:r>
      <w:r>
        <w:rPr>
          <w:rFonts w:hint="eastAsia" w:ascii="方正仿宋_GB2312" w:hAnsi="方正仿宋_GB2312" w:eastAsia="方正仿宋_GB2312" w:cs="方正仿宋_GB2312"/>
          <w:sz w:val="22"/>
          <w:szCs w:val="22"/>
          <w:u w:val="single"/>
        </w:rPr>
        <w:t xml:space="preserve">                     </w:t>
      </w:r>
    </w:p>
    <w:p w14:paraId="1B9223A0">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帐号：</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         帐号：</w:t>
      </w:r>
      <w:r>
        <w:rPr>
          <w:rFonts w:hint="eastAsia" w:ascii="方正仿宋_GB2312" w:hAnsi="方正仿宋_GB2312" w:eastAsia="方正仿宋_GB2312" w:cs="方正仿宋_GB2312"/>
          <w:sz w:val="22"/>
          <w:szCs w:val="22"/>
          <w:u w:val="single"/>
        </w:rPr>
        <w:t xml:space="preserve">                     </w:t>
      </w:r>
    </w:p>
    <w:p w14:paraId="25924B02">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附件1：承包人承揽工程项目一览表</w:t>
      </w:r>
    </w:p>
    <w:p w14:paraId="6195A7E8">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附件2：发包人供应材料设备一览表</w:t>
      </w:r>
    </w:p>
    <w:p w14:paraId="466D862A">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附件3：材料、设备品牌清单</w:t>
      </w:r>
    </w:p>
    <w:p w14:paraId="2DB86A8E">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附件4：工程质量保修书</w:t>
      </w:r>
    </w:p>
    <w:p w14:paraId="73F0AFB7">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p w14:paraId="233E8F87">
      <w:pPr>
        <w:pageBreakBefore/>
        <w:adjustRightInd w:val="0"/>
        <w:snapToGrid w:val="0"/>
        <w:spacing w:line="360" w:lineRule="auto"/>
        <w:ind w:firstLine="442" w:firstLineChars="200"/>
        <w:jc w:val="left"/>
        <w:rPr>
          <w:rFonts w:ascii="方正仿宋_GB2312" w:hAnsi="方正仿宋_GB2312" w:eastAsia="方正仿宋_GB2312" w:cs="方正仿宋_GB2312"/>
          <w:b/>
          <w:sz w:val="22"/>
          <w:szCs w:val="22"/>
        </w:rPr>
      </w:pPr>
      <w:r>
        <w:rPr>
          <w:rFonts w:hint="eastAsia" w:ascii="方正仿宋_GB2312" w:hAnsi="方正仿宋_GB2312" w:eastAsia="方正仿宋_GB2312" w:cs="方正仿宋_GB2312"/>
          <w:b/>
          <w:sz w:val="22"/>
          <w:szCs w:val="22"/>
        </w:rPr>
        <w:t>附件1：</w:t>
      </w:r>
    </w:p>
    <w:p w14:paraId="2FEA5D89">
      <w:pPr>
        <w:adjustRightInd w:val="0"/>
        <w:snapToGrid w:val="0"/>
        <w:spacing w:line="360" w:lineRule="auto"/>
        <w:ind w:firstLine="442" w:firstLineChars="200"/>
        <w:jc w:val="center"/>
        <w:rPr>
          <w:rFonts w:ascii="方正仿宋_GB2312" w:hAnsi="方正仿宋_GB2312" w:eastAsia="方正仿宋_GB2312" w:cs="方正仿宋_GB2312"/>
          <w:b/>
          <w:sz w:val="22"/>
          <w:szCs w:val="22"/>
        </w:rPr>
      </w:pPr>
      <w:r>
        <w:rPr>
          <w:rFonts w:hint="eastAsia" w:ascii="方正仿宋_GB2312" w:hAnsi="方正仿宋_GB2312" w:eastAsia="方正仿宋_GB2312" w:cs="方正仿宋_GB2312"/>
          <w:b/>
          <w:sz w:val="22"/>
          <w:szCs w:val="22"/>
        </w:rPr>
        <w:t>承包人承揽工程项目一览表</w:t>
      </w:r>
    </w:p>
    <w:tbl>
      <w:tblPr>
        <w:tblStyle w:val="7"/>
        <w:tblW w:w="84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128"/>
        <w:gridCol w:w="793"/>
        <w:gridCol w:w="459"/>
        <w:gridCol w:w="703"/>
        <w:gridCol w:w="795"/>
        <w:gridCol w:w="1134"/>
        <w:gridCol w:w="709"/>
        <w:gridCol w:w="850"/>
        <w:gridCol w:w="851"/>
      </w:tblGrid>
      <w:tr w14:paraId="103E5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1014" w:type="dxa"/>
            <w:vAlign w:val="center"/>
          </w:tcPr>
          <w:p w14:paraId="4F9D6BB4">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单位工程名称</w:t>
            </w:r>
          </w:p>
        </w:tc>
        <w:tc>
          <w:tcPr>
            <w:tcW w:w="1128" w:type="dxa"/>
            <w:vAlign w:val="center"/>
          </w:tcPr>
          <w:p w14:paraId="03D2E58A">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建设</w:t>
            </w:r>
          </w:p>
          <w:p w14:paraId="12275549">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规模</w:t>
            </w:r>
          </w:p>
        </w:tc>
        <w:tc>
          <w:tcPr>
            <w:tcW w:w="793" w:type="dxa"/>
            <w:vAlign w:val="center"/>
          </w:tcPr>
          <w:p w14:paraId="60856B5A">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建筑</w:t>
            </w:r>
          </w:p>
          <w:p w14:paraId="76D7038B">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面积</w:t>
            </w:r>
          </w:p>
        </w:tc>
        <w:tc>
          <w:tcPr>
            <w:tcW w:w="459" w:type="dxa"/>
            <w:vAlign w:val="center"/>
          </w:tcPr>
          <w:p w14:paraId="270555AF">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结构</w:t>
            </w:r>
          </w:p>
        </w:tc>
        <w:tc>
          <w:tcPr>
            <w:tcW w:w="703" w:type="dxa"/>
            <w:vAlign w:val="center"/>
          </w:tcPr>
          <w:p w14:paraId="55CC3581">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层数</w:t>
            </w:r>
          </w:p>
        </w:tc>
        <w:tc>
          <w:tcPr>
            <w:tcW w:w="795" w:type="dxa"/>
            <w:vAlign w:val="center"/>
          </w:tcPr>
          <w:p w14:paraId="436ABB87">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跨度</w:t>
            </w:r>
          </w:p>
          <w:p w14:paraId="1A0F57FB">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(米)</w:t>
            </w:r>
          </w:p>
        </w:tc>
        <w:tc>
          <w:tcPr>
            <w:tcW w:w="1134" w:type="dxa"/>
            <w:vAlign w:val="center"/>
          </w:tcPr>
          <w:p w14:paraId="7D28912B">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设备安装内容</w:t>
            </w:r>
          </w:p>
        </w:tc>
        <w:tc>
          <w:tcPr>
            <w:tcW w:w="709" w:type="dxa"/>
            <w:vAlign w:val="center"/>
          </w:tcPr>
          <w:p w14:paraId="1F7C2E80">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工程造价</w:t>
            </w:r>
          </w:p>
          <w:p w14:paraId="70CC2F98">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(元)</w:t>
            </w:r>
          </w:p>
        </w:tc>
        <w:tc>
          <w:tcPr>
            <w:tcW w:w="850" w:type="dxa"/>
            <w:vAlign w:val="center"/>
          </w:tcPr>
          <w:p w14:paraId="4887F00A">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开工</w:t>
            </w:r>
          </w:p>
          <w:p w14:paraId="2D0829AC">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日期</w:t>
            </w:r>
          </w:p>
        </w:tc>
        <w:tc>
          <w:tcPr>
            <w:tcW w:w="851" w:type="dxa"/>
            <w:vAlign w:val="center"/>
          </w:tcPr>
          <w:p w14:paraId="15B21751">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竣工</w:t>
            </w:r>
          </w:p>
          <w:p w14:paraId="4ABDA45F">
            <w:pPr>
              <w:adjustRightInd w:val="0"/>
              <w:snapToGrid w:val="0"/>
              <w:spacing w:line="360" w:lineRule="auto"/>
              <w:jc w:val="center"/>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日期</w:t>
            </w:r>
          </w:p>
        </w:tc>
      </w:tr>
      <w:tr w14:paraId="7F249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6D54DBDA">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6447726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1D960B7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7EB79E68">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63FCE54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08485DA6">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45CF3A81">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12E1A4C3">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210DFC1A">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39615FE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30BC8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7BA21DD6">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33B7FC26">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7751DB6D">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3DAE3681">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5E5C00A3">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79484BF6">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296C86F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7A2A1B0F">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31ABFEA1">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3ED8888B">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50BFB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1A2D1BF7">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65F20311">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1D4FE26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5337CC3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77A55B59">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3C025A4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66B9078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476496E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42DE9608">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504DE306">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1E465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73BFAEC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13AF7D60">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2CC258BB">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2FA9BD4A">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1B58370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5F82342F">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2DAB629D">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142E9EA7">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1FB4E28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18CCC73D">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714A0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3D4D3221">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255511E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669B8CD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158DE539">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4471F2BB">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10FF25C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6369E9E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38019D4F">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50F72B8F">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29829E6B">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3FD2C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5D3AEB13">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11EB95A4">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45B6ABAF">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280F0118">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27799922">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439F44B8">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02828324">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454320D7">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72872F58">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6356457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67232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32FA4FAF">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29C2E5FA">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2155651F">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25BC64C4">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74C9CBE0">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15F33F20">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197F2523">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126AC62A">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7DA335E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1CE7C812">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60105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711C036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629AB20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35191163">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1B7FCA1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6992D11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6C38C199">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148B18F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3714FA89">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3731597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181C44C9">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11154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0E443B23">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762964AD">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76886A1A">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74324167">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30F3AE74">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5B03AE77">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2BACC6D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760E29A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3207929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0D46527B">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337E7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4FE8D388">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620B0669">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04A36EE8">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38E6F861">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6DB7ADF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076A416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09B19F4A">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26C030B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1BF792A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73271168">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58141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57CDE41D">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752A0EA9">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5ED97F16">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20826801">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2990BE89">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16F2D2E7">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5FCB2CA0">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4149AD5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19B49E46">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1A7311D0">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36CFA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0B47BA19">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4F7B8944">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09A9388D">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047CFCC1">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04FF2C21">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5273F8E6">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77E4FD52">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0B3E8391">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53B35858">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2F4F2DF7">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7C262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092B6BD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5D80BDE2">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6C5F03F1">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52E2C381">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67FCB17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2F3F29D7">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130D4080">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66DE1336">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27AF7CF9">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0BBD1F06">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57294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47A9FCB0">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31BAA628">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151C2B9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66564AC2">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3CC6009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4E5E1494">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640ECA2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38F73BB0">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62484D10">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57EC5F79">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3AA20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1922CF74">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446C079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0FB1FCEF">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17E69CA2">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2DCC6E5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025F09FF">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0A8ECEB0">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0D569CFE">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4FC5CF67">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0D8B73D6">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5C678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4BD5C9DB">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152AE2A3">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55E3FE1F">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57D1FC9D">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681C0F5A">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5992172C">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1C374FD8">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6251B665">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695E85EA">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31A90E7F">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r w14:paraId="23C33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vAlign w:val="center"/>
          </w:tcPr>
          <w:p w14:paraId="3D135778">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28" w:type="dxa"/>
            <w:vAlign w:val="center"/>
          </w:tcPr>
          <w:p w14:paraId="4B0EF7A4">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3" w:type="dxa"/>
            <w:vAlign w:val="center"/>
          </w:tcPr>
          <w:p w14:paraId="6358A9CA">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459" w:type="dxa"/>
            <w:vAlign w:val="center"/>
          </w:tcPr>
          <w:p w14:paraId="4F49E883">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3" w:type="dxa"/>
            <w:vAlign w:val="center"/>
          </w:tcPr>
          <w:p w14:paraId="15545F1B">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95" w:type="dxa"/>
            <w:vAlign w:val="center"/>
          </w:tcPr>
          <w:p w14:paraId="7FEB9188">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1134" w:type="dxa"/>
            <w:vAlign w:val="center"/>
          </w:tcPr>
          <w:p w14:paraId="41AA4717">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709" w:type="dxa"/>
            <w:vAlign w:val="center"/>
          </w:tcPr>
          <w:p w14:paraId="2228F07F">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0" w:type="dxa"/>
            <w:vAlign w:val="center"/>
          </w:tcPr>
          <w:p w14:paraId="1254B292">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c>
          <w:tcPr>
            <w:tcW w:w="851" w:type="dxa"/>
            <w:vAlign w:val="center"/>
          </w:tcPr>
          <w:p w14:paraId="123A8C6F">
            <w:pPr>
              <w:adjustRightInd w:val="0"/>
              <w:snapToGrid w:val="0"/>
              <w:spacing w:line="360" w:lineRule="auto"/>
              <w:ind w:firstLine="440" w:firstLineChars="200"/>
              <w:jc w:val="center"/>
              <w:rPr>
                <w:rFonts w:ascii="方正仿宋_GB2312" w:hAnsi="方正仿宋_GB2312" w:eastAsia="方正仿宋_GB2312" w:cs="方正仿宋_GB2312"/>
                <w:sz w:val="22"/>
                <w:szCs w:val="22"/>
              </w:rPr>
            </w:pPr>
          </w:p>
        </w:tc>
      </w:tr>
    </w:tbl>
    <w:p w14:paraId="28540F07">
      <w:pPr>
        <w:adjustRightInd w:val="0"/>
        <w:snapToGrid w:val="0"/>
        <w:spacing w:line="360" w:lineRule="auto"/>
        <w:jc w:val="left"/>
        <w:rPr>
          <w:rFonts w:ascii="方正仿宋_GB2312" w:hAnsi="方正仿宋_GB2312" w:eastAsia="方正仿宋_GB2312" w:cs="方正仿宋_GB2312"/>
          <w:b/>
          <w:sz w:val="22"/>
          <w:szCs w:val="22"/>
        </w:rPr>
      </w:pPr>
    </w:p>
    <w:p w14:paraId="2BC3C0E6">
      <w:pPr>
        <w:adjustRightInd w:val="0"/>
        <w:snapToGrid w:val="0"/>
        <w:spacing w:line="360" w:lineRule="auto"/>
        <w:jc w:val="left"/>
        <w:rPr>
          <w:rFonts w:ascii="方正仿宋_GB2312" w:hAnsi="方正仿宋_GB2312" w:eastAsia="方正仿宋_GB2312" w:cs="方正仿宋_GB2312"/>
          <w:b/>
          <w:sz w:val="22"/>
          <w:szCs w:val="22"/>
        </w:rPr>
      </w:pPr>
    </w:p>
    <w:p w14:paraId="6848023C">
      <w:pPr>
        <w:adjustRightInd w:val="0"/>
        <w:snapToGrid w:val="0"/>
        <w:spacing w:line="360" w:lineRule="auto"/>
        <w:jc w:val="left"/>
        <w:rPr>
          <w:rFonts w:ascii="方正仿宋_GB2312" w:hAnsi="方正仿宋_GB2312" w:eastAsia="方正仿宋_GB2312" w:cs="方正仿宋_GB2312"/>
          <w:b/>
          <w:sz w:val="22"/>
          <w:szCs w:val="22"/>
        </w:rPr>
      </w:pPr>
    </w:p>
    <w:p w14:paraId="2A140214">
      <w:pPr>
        <w:pageBreakBefore/>
        <w:adjustRightInd w:val="0"/>
        <w:snapToGrid w:val="0"/>
        <w:spacing w:line="360" w:lineRule="auto"/>
        <w:jc w:val="left"/>
        <w:rPr>
          <w:rFonts w:ascii="方正仿宋_GB2312" w:hAnsi="方正仿宋_GB2312" w:eastAsia="方正仿宋_GB2312" w:cs="方正仿宋_GB2312"/>
          <w:b/>
          <w:sz w:val="22"/>
          <w:szCs w:val="22"/>
        </w:rPr>
      </w:pPr>
      <w:r>
        <w:rPr>
          <w:rFonts w:hint="eastAsia" w:ascii="方正仿宋_GB2312" w:hAnsi="方正仿宋_GB2312" w:eastAsia="方正仿宋_GB2312" w:cs="方正仿宋_GB2312"/>
          <w:b/>
          <w:sz w:val="22"/>
          <w:szCs w:val="22"/>
        </w:rPr>
        <w:t>附件2：</w:t>
      </w:r>
    </w:p>
    <w:p w14:paraId="3E5177EA">
      <w:pPr>
        <w:adjustRightInd w:val="0"/>
        <w:snapToGrid w:val="0"/>
        <w:spacing w:line="360" w:lineRule="auto"/>
        <w:jc w:val="center"/>
        <w:rPr>
          <w:rFonts w:ascii="方正仿宋_GB2312" w:hAnsi="方正仿宋_GB2312" w:eastAsia="方正仿宋_GB2312" w:cs="方正仿宋_GB2312"/>
          <w:b/>
          <w:sz w:val="22"/>
          <w:szCs w:val="22"/>
        </w:rPr>
      </w:pPr>
      <w:r>
        <w:rPr>
          <w:rFonts w:hint="eastAsia" w:ascii="方正仿宋_GB2312" w:hAnsi="方正仿宋_GB2312" w:eastAsia="方正仿宋_GB2312" w:cs="方正仿宋_GB2312"/>
          <w:b/>
          <w:sz w:val="22"/>
          <w:szCs w:val="22"/>
        </w:rPr>
        <w:t>发包人供应材料设备一览表</w:t>
      </w:r>
    </w:p>
    <w:tbl>
      <w:tblPr>
        <w:tblStyle w:val="7"/>
        <w:tblW w:w="8980"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208"/>
        <w:gridCol w:w="1248"/>
        <w:gridCol w:w="778"/>
        <w:gridCol w:w="699"/>
        <w:gridCol w:w="699"/>
        <w:gridCol w:w="970"/>
        <w:gridCol w:w="1098"/>
        <w:gridCol w:w="907"/>
        <w:gridCol w:w="650"/>
      </w:tblGrid>
      <w:tr w14:paraId="6A7C0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right"/>
        </w:trPr>
        <w:tc>
          <w:tcPr>
            <w:tcW w:w="723" w:type="dxa"/>
            <w:vAlign w:val="center"/>
          </w:tcPr>
          <w:p w14:paraId="5D88E21A">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序号</w:t>
            </w:r>
          </w:p>
        </w:tc>
        <w:tc>
          <w:tcPr>
            <w:tcW w:w="1208" w:type="dxa"/>
            <w:vAlign w:val="center"/>
          </w:tcPr>
          <w:p w14:paraId="7AD5AD9A">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材料设备</w:t>
            </w:r>
          </w:p>
          <w:p w14:paraId="10811EB4">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品种</w:t>
            </w:r>
          </w:p>
        </w:tc>
        <w:tc>
          <w:tcPr>
            <w:tcW w:w="1248" w:type="dxa"/>
            <w:vAlign w:val="center"/>
          </w:tcPr>
          <w:p w14:paraId="44D9CA88">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规格型号</w:t>
            </w:r>
          </w:p>
        </w:tc>
        <w:tc>
          <w:tcPr>
            <w:tcW w:w="778" w:type="dxa"/>
            <w:vAlign w:val="center"/>
          </w:tcPr>
          <w:p w14:paraId="559569BA">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单位</w:t>
            </w:r>
          </w:p>
        </w:tc>
        <w:tc>
          <w:tcPr>
            <w:tcW w:w="699" w:type="dxa"/>
            <w:vAlign w:val="center"/>
          </w:tcPr>
          <w:p w14:paraId="2077586A">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数量</w:t>
            </w:r>
          </w:p>
        </w:tc>
        <w:tc>
          <w:tcPr>
            <w:tcW w:w="699" w:type="dxa"/>
            <w:vAlign w:val="center"/>
          </w:tcPr>
          <w:p w14:paraId="5C36EE8A">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单价</w:t>
            </w:r>
          </w:p>
        </w:tc>
        <w:tc>
          <w:tcPr>
            <w:tcW w:w="970" w:type="dxa"/>
            <w:vAlign w:val="center"/>
          </w:tcPr>
          <w:p w14:paraId="118DBA4A">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质量</w:t>
            </w:r>
          </w:p>
          <w:p w14:paraId="09A0D43A">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等级</w:t>
            </w:r>
          </w:p>
        </w:tc>
        <w:tc>
          <w:tcPr>
            <w:tcW w:w="1098" w:type="dxa"/>
            <w:vAlign w:val="center"/>
          </w:tcPr>
          <w:p w14:paraId="0F5D3D9B">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供应</w:t>
            </w:r>
          </w:p>
          <w:p w14:paraId="0C34315B">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时间</w:t>
            </w:r>
          </w:p>
        </w:tc>
        <w:tc>
          <w:tcPr>
            <w:tcW w:w="907" w:type="dxa"/>
            <w:vAlign w:val="center"/>
          </w:tcPr>
          <w:p w14:paraId="355B7536">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送达</w:t>
            </w:r>
          </w:p>
          <w:p w14:paraId="10CF039A">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地点</w:t>
            </w:r>
          </w:p>
        </w:tc>
        <w:tc>
          <w:tcPr>
            <w:tcW w:w="650" w:type="dxa"/>
            <w:vAlign w:val="center"/>
          </w:tcPr>
          <w:p w14:paraId="771152EE">
            <w:pPr>
              <w:adjustRightInd w:val="0"/>
              <w:snapToGrid w:val="0"/>
              <w:spacing w:line="360" w:lineRule="auto"/>
              <w:jc w:val="center"/>
              <w:rPr>
                <w:rFonts w:ascii="方正仿宋_GB2312" w:hAnsi="方正仿宋_GB2312" w:eastAsia="方正仿宋_GB2312" w:cs="方正仿宋_GB2312"/>
                <w:bCs/>
                <w:sz w:val="22"/>
                <w:szCs w:val="22"/>
              </w:rPr>
            </w:pPr>
            <w:r>
              <w:rPr>
                <w:rFonts w:hint="eastAsia" w:ascii="方正仿宋_GB2312" w:hAnsi="方正仿宋_GB2312" w:eastAsia="方正仿宋_GB2312" w:cs="方正仿宋_GB2312"/>
                <w:bCs/>
                <w:sz w:val="22"/>
                <w:szCs w:val="22"/>
              </w:rPr>
              <w:t>备注</w:t>
            </w:r>
          </w:p>
        </w:tc>
      </w:tr>
      <w:tr w14:paraId="7B437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6B59DCA9">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6199B746">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6E158623">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0B84986A">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77166756">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16FD4A8B">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6B2E03C4">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535A7DAE">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501713BB">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13CAD7A4">
            <w:pPr>
              <w:adjustRightInd w:val="0"/>
              <w:snapToGrid w:val="0"/>
              <w:spacing w:line="360" w:lineRule="auto"/>
              <w:jc w:val="left"/>
              <w:rPr>
                <w:rFonts w:ascii="方正仿宋_GB2312" w:hAnsi="方正仿宋_GB2312" w:eastAsia="方正仿宋_GB2312" w:cs="方正仿宋_GB2312"/>
                <w:bCs/>
                <w:sz w:val="22"/>
                <w:szCs w:val="22"/>
              </w:rPr>
            </w:pPr>
          </w:p>
        </w:tc>
      </w:tr>
      <w:tr w14:paraId="62B9A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right"/>
        </w:trPr>
        <w:tc>
          <w:tcPr>
            <w:tcW w:w="723" w:type="dxa"/>
            <w:vAlign w:val="center"/>
          </w:tcPr>
          <w:p w14:paraId="07F158F9">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1205020C">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683038EF">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36E54E09">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32BF5795">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08FB7A7C">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399F1AF6">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032A1F78">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5A8C09B9">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044F5D21">
            <w:pPr>
              <w:adjustRightInd w:val="0"/>
              <w:snapToGrid w:val="0"/>
              <w:spacing w:line="360" w:lineRule="auto"/>
              <w:jc w:val="left"/>
              <w:rPr>
                <w:rFonts w:ascii="方正仿宋_GB2312" w:hAnsi="方正仿宋_GB2312" w:eastAsia="方正仿宋_GB2312" w:cs="方正仿宋_GB2312"/>
                <w:bCs/>
                <w:sz w:val="22"/>
                <w:szCs w:val="22"/>
              </w:rPr>
            </w:pPr>
          </w:p>
        </w:tc>
      </w:tr>
      <w:tr w14:paraId="707CE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20383247">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52CD1DA1">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48996DB7">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350BA14D">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306EEC77">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4E9BB52F">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4741B48B">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11B4E4D6">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3EAEB616">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3F3AFF35">
            <w:pPr>
              <w:adjustRightInd w:val="0"/>
              <w:snapToGrid w:val="0"/>
              <w:spacing w:line="360" w:lineRule="auto"/>
              <w:jc w:val="left"/>
              <w:rPr>
                <w:rFonts w:ascii="方正仿宋_GB2312" w:hAnsi="方正仿宋_GB2312" w:eastAsia="方正仿宋_GB2312" w:cs="方正仿宋_GB2312"/>
                <w:bCs/>
                <w:sz w:val="22"/>
                <w:szCs w:val="22"/>
              </w:rPr>
            </w:pPr>
          </w:p>
        </w:tc>
      </w:tr>
      <w:tr w14:paraId="4CBBC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3B36F94F">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3D3CC94B">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30A2F1FF">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227F700C">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44C49964">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68DC5E5A">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379614BA">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0339482A">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08BFCC53">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7E50CFB1">
            <w:pPr>
              <w:adjustRightInd w:val="0"/>
              <w:snapToGrid w:val="0"/>
              <w:spacing w:line="360" w:lineRule="auto"/>
              <w:jc w:val="left"/>
              <w:rPr>
                <w:rFonts w:ascii="方正仿宋_GB2312" w:hAnsi="方正仿宋_GB2312" w:eastAsia="方正仿宋_GB2312" w:cs="方正仿宋_GB2312"/>
                <w:bCs/>
                <w:sz w:val="22"/>
                <w:szCs w:val="22"/>
              </w:rPr>
            </w:pPr>
          </w:p>
        </w:tc>
      </w:tr>
      <w:tr w14:paraId="596B9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6047CABB">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686D8B14">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68313569">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09D6F391">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6F774CEA">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3C32E836">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333F1605">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4BBBE8FF">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082E1144">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59014B98">
            <w:pPr>
              <w:adjustRightInd w:val="0"/>
              <w:snapToGrid w:val="0"/>
              <w:spacing w:line="360" w:lineRule="auto"/>
              <w:jc w:val="left"/>
              <w:rPr>
                <w:rFonts w:ascii="方正仿宋_GB2312" w:hAnsi="方正仿宋_GB2312" w:eastAsia="方正仿宋_GB2312" w:cs="方正仿宋_GB2312"/>
                <w:bCs/>
                <w:sz w:val="22"/>
                <w:szCs w:val="22"/>
              </w:rPr>
            </w:pPr>
          </w:p>
        </w:tc>
      </w:tr>
      <w:tr w14:paraId="6D3F0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1F42040F">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40E50275">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20A6B83A">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08E87D68">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76855442">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7F2D4D44">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6449BD3E">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53C2C1DF">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207E80D1">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10425BCA">
            <w:pPr>
              <w:adjustRightInd w:val="0"/>
              <w:snapToGrid w:val="0"/>
              <w:spacing w:line="360" w:lineRule="auto"/>
              <w:jc w:val="left"/>
              <w:rPr>
                <w:rFonts w:ascii="方正仿宋_GB2312" w:hAnsi="方正仿宋_GB2312" w:eastAsia="方正仿宋_GB2312" w:cs="方正仿宋_GB2312"/>
                <w:bCs/>
                <w:sz w:val="22"/>
                <w:szCs w:val="22"/>
              </w:rPr>
            </w:pPr>
          </w:p>
        </w:tc>
      </w:tr>
      <w:tr w14:paraId="3C22C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355ECB94">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120C5172">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1EF15FB9">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5E5829D2">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198D8E7F">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55883253">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20B225D4">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627B2611">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3BCA70CD">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3FA2B18D">
            <w:pPr>
              <w:adjustRightInd w:val="0"/>
              <w:snapToGrid w:val="0"/>
              <w:spacing w:line="360" w:lineRule="auto"/>
              <w:jc w:val="left"/>
              <w:rPr>
                <w:rFonts w:ascii="方正仿宋_GB2312" w:hAnsi="方正仿宋_GB2312" w:eastAsia="方正仿宋_GB2312" w:cs="方正仿宋_GB2312"/>
                <w:bCs/>
                <w:sz w:val="22"/>
                <w:szCs w:val="22"/>
              </w:rPr>
            </w:pPr>
          </w:p>
        </w:tc>
      </w:tr>
      <w:tr w14:paraId="483B5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2567CBA6">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5D37D932">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58CA7CE5">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4FFB75D3">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637A8967">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1FEA081C">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1AA63C2E">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570995AA">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78399366">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13F35D5B">
            <w:pPr>
              <w:adjustRightInd w:val="0"/>
              <w:snapToGrid w:val="0"/>
              <w:spacing w:line="360" w:lineRule="auto"/>
              <w:jc w:val="left"/>
              <w:rPr>
                <w:rFonts w:ascii="方正仿宋_GB2312" w:hAnsi="方正仿宋_GB2312" w:eastAsia="方正仿宋_GB2312" w:cs="方正仿宋_GB2312"/>
                <w:bCs/>
                <w:sz w:val="22"/>
                <w:szCs w:val="22"/>
              </w:rPr>
            </w:pPr>
          </w:p>
        </w:tc>
      </w:tr>
      <w:tr w14:paraId="6CC1E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5F991CBC">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79BC13FA">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69A78D7B">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5AE33C8B">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09DF1EF6">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123D5E17">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7008239C">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650E2CDC">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1A9194B3">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1A66C0F7">
            <w:pPr>
              <w:adjustRightInd w:val="0"/>
              <w:snapToGrid w:val="0"/>
              <w:spacing w:line="360" w:lineRule="auto"/>
              <w:jc w:val="left"/>
              <w:rPr>
                <w:rFonts w:ascii="方正仿宋_GB2312" w:hAnsi="方正仿宋_GB2312" w:eastAsia="方正仿宋_GB2312" w:cs="方正仿宋_GB2312"/>
                <w:bCs/>
                <w:sz w:val="22"/>
                <w:szCs w:val="22"/>
              </w:rPr>
            </w:pPr>
          </w:p>
        </w:tc>
      </w:tr>
      <w:tr w14:paraId="7E52F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68A9E961">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1E1BD8CD">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13E17427">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4D4F8D05">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1F9795F2">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6641650D">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24E07F54">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01FA8088">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6F57448D">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70D25193">
            <w:pPr>
              <w:adjustRightInd w:val="0"/>
              <w:snapToGrid w:val="0"/>
              <w:spacing w:line="360" w:lineRule="auto"/>
              <w:jc w:val="left"/>
              <w:rPr>
                <w:rFonts w:ascii="方正仿宋_GB2312" w:hAnsi="方正仿宋_GB2312" w:eastAsia="方正仿宋_GB2312" w:cs="方正仿宋_GB2312"/>
                <w:bCs/>
                <w:sz w:val="22"/>
                <w:szCs w:val="22"/>
              </w:rPr>
            </w:pPr>
          </w:p>
        </w:tc>
      </w:tr>
      <w:tr w14:paraId="1B1C7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7C240E4D">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0FE3C1B5">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113E0DCC">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3A16FCC7">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0C9E890E">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3892F592">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11976C97">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37E4395A">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0C78A4E3">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2E204AB0">
            <w:pPr>
              <w:adjustRightInd w:val="0"/>
              <w:snapToGrid w:val="0"/>
              <w:spacing w:line="360" w:lineRule="auto"/>
              <w:jc w:val="left"/>
              <w:rPr>
                <w:rFonts w:ascii="方正仿宋_GB2312" w:hAnsi="方正仿宋_GB2312" w:eastAsia="方正仿宋_GB2312" w:cs="方正仿宋_GB2312"/>
                <w:bCs/>
                <w:sz w:val="22"/>
                <w:szCs w:val="22"/>
              </w:rPr>
            </w:pPr>
          </w:p>
        </w:tc>
      </w:tr>
      <w:tr w14:paraId="60548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46228E0D">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5ACF938C">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3987AB67">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4EC5F2E1">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58356015">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208B94AC">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1CCA2FCD">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6FEF6C0D">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5F7535F5">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37638ED8">
            <w:pPr>
              <w:adjustRightInd w:val="0"/>
              <w:snapToGrid w:val="0"/>
              <w:spacing w:line="360" w:lineRule="auto"/>
              <w:jc w:val="left"/>
              <w:rPr>
                <w:rFonts w:ascii="方正仿宋_GB2312" w:hAnsi="方正仿宋_GB2312" w:eastAsia="方正仿宋_GB2312" w:cs="方正仿宋_GB2312"/>
                <w:bCs/>
                <w:sz w:val="22"/>
                <w:szCs w:val="22"/>
              </w:rPr>
            </w:pPr>
          </w:p>
        </w:tc>
      </w:tr>
      <w:tr w14:paraId="61A65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779CF115">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2CBC7D9D">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773833EF">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1269E21F">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2E69DA3B">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767651DD">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7549402B">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40A0BB5A">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51053367">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53FA7126">
            <w:pPr>
              <w:adjustRightInd w:val="0"/>
              <w:snapToGrid w:val="0"/>
              <w:spacing w:line="360" w:lineRule="auto"/>
              <w:jc w:val="left"/>
              <w:rPr>
                <w:rFonts w:ascii="方正仿宋_GB2312" w:hAnsi="方正仿宋_GB2312" w:eastAsia="方正仿宋_GB2312" w:cs="方正仿宋_GB2312"/>
                <w:bCs/>
                <w:sz w:val="22"/>
                <w:szCs w:val="22"/>
              </w:rPr>
            </w:pPr>
          </w:p>
        </w:tc>
      </w:tr>
      <w:tr w14:paraId="6A62E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602CBB3B">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5ABC8089">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5EB45A9C">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7CDA6647">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532634C4">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36A574AC">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3BA6479F">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7260A956">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11D626A6">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25CD073B">
            <w:pPr>
              <w:adjustRightInd w:val="0"/>
              <w:snapToGrid w:val="0"/>
              <w:spacing w:line="360" w:lineRule="auto"/>
              <w:jc w:val="left"/>
              <w:rPr>
                <w:rFonts w:ascii="方正仿宋_GB2312" w:hAnsi="方正仿宋_GB2312" w:eastAsia="方正仿宋_GB2312" w:cs="方正仿宋_GB2312"/>
                <w:bCs/>
                <w:sz w:val="22"/>
                <w:szCs w:val="22"/>
              </w:rPr>
            </w:pPr>
          </w:p>
        </w:tc>
      </w:tr>
      <w:tr w14:paraId="026D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right"/>
        </w:trPr>
        <w:tc>
          <w:tcPr>
            <w:tcW w:w="723" w:type="dxa"/>
            <w:vAlign w:val="center"/>
          </w:tcPr>
          <w:p w14:paraId="7075953A">
            <w:pPr>
              <w:adjustRightInd w:val="0"/>
              <w:snapToGrid w:val="0"/>
              <w:spacing w:line="360" w:lineRule="auto"/>
              <w:jc w:val="left"/>
              <w:rPr>
                <w:rFonts w:ascii="方正仿宋_GB2312" w:hAnsi="方正仿宋_GB2312" w:eastAsia="方正仿宋_GB2312" w:cs="方正仿宋_GB2312"/>
                <w:bCs/>
                <w:sz w:val="22"/>
                <w:szCs w:val="22"/>
              </w:rPr>
            </w:pPr>
          </w:p>
        </w:tc>
        <w:tc>
          <w:tcPr>
            <w:tcW w:w="1208" w:type="dxa"/>
            <w:vAlign w:val="center"/>
          </w:tcPr>
          <w:p w14:paraId="76F048DD">
            <w:pPr>
              <w:adjustRightInd w:val="0"/>
              <w:snapToGrid w:val="0"/>
              <w:spacing w:line="360" w:lineRule="auto"/>
              <w:jc w:val="left"/>
              <w:rPr>
                <w:rFonts w:ascii="方正仿宋_GB2312" w:hAnsi="方正仿宋_GB2312" w:eastAsia="方正仿宋_GB2312" w:cs="方正仿宋_GB2312"/>
                <w:bCs/>
                <w:sz w:val="22"/>
                <w:szCs w:val="22"/>
              </w:rPr>
            </w:pPr>
          </w:p>
        </w:tc>
        <w:tc>
          <w:tcPr>
            <w:tcW w:w="1248" w:type="dxa"/>
            <w:vAlign w:val="center"/>
          </w:tcPr>
          <w:p w14:paraId="54C351DC">
            <w:pPr>
              <w:adjustRightInd w:val="0"/>
              <w:snapToGrid w:val="0"/>
              <w:spacing w:line="360" w:lineRule="auto"/>
              <w:jc w:val="left"/>
              <w:rPr>
                <w:rFonts w:ascii="方正仿宋_GB2312" w:hAnsi="方正仿宋_GB2312" w:eastAsia="方正仿宋_GB2312" w:cs="方正仿宋_GB2312"/>
                <w:bCs/>
                <w:sz w:val="22"/>
                <w:szCs w:val="22"/>
              </w:rPr>
            </w:pPr>
          </w:p>
        </w:tc>
        <w:tc>
          <w:tcPr>
            <w:tcW w:w="778" w:type="dxa"/>
            <w:vAlign w:val="center"/>
          </w:tcPr>
          <w:p w14:paraId="72134FDA">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4F439068">
            <w:pPr>
              <w:adjustRightInd w:val="0"/>
              <w:snapToGrid w:val="0"/>
              <w:spacing w:line="360" w:lineRule="auto"/>
              <w:jc w:val="left"/>
              <w:rPr>
                <w:rFonts w:ascii="方正仿宋_GB2312" w:hAnsi="方正仿宋_GB2312" w:eastAsia="方正仿宋_GB2312" w:cs="方正仿宋_GB2312"/>
                <w:bCs/>
                <w:sz w:val="22"/>
                <w:szCs w:val="22"/>
              </w:rPr>
            </w:pPr>
          </w:p>
        </w:tc>
        <w:tc>
          <w:tcPr>
            <w:tcW w:w="699" w:type="dxa"/>
            <w:vAlign w:val="center"/>
          </w:tcPr>
          <w:p w14:paraId="584DD3A7">
            <w:pPr>
              <w:adjustRightInd w:val="0"/>
              <w:snapToGrid w:val="0"/>
              <w:spacing w:line="360" w:lineRule="auto"/>
              <w:jc w:val="left"/>
              <w:rPr>
                <w:rFonts w:ascii="方正仿宋_GB2312" w:hAnsi="方正仿宋_GB2312" w:eastAsia="方正仿宋_GB2312" w:cs="方正仿宋_GB2312"/>
                <w:bCs/>
                <w:sz w:val="22"/>
                <w:szCs w:val="22"/>
              </w:rPr>
            </w:pPr>
          </w:p>
        </w:tc>
        <w:tc>
          <w:tcPr>
            <w:tcW w:w="970" w:type="dxa"/>
            <w:vAlign w:val="center"/>
          </w:tcPr>
          <w:p w14:paraId="1BF2BE5E">
            <w:pPr>
              <w:adjustRightInd w:val="0"/>
              <w:snapToGrid w:val="0"/>
              <w:spacing w:line="360" w:lineRule="auto"/>
              <w:jc w:val="left"/>
              <w:rPr>
                <w:rFonts w:ascii="方正仿宋_GB2312" w:hAnsi="方正仿宋_GB2312" w:eastAsia="方正仿宋_GB2312" w:cs="方正仿宋_GB2312"/>
                <w:bCs/>
                <w:sz w:val="22"/>
                <w:szCs w:val="22"/>
              </w:rPr>
            </w:pPr>
          </w:p>
        </w:tc>
        <w:tc>
          <w:tcPr>
            <w:tcW w:w="1098" w:type="dxa"/>
            <w:vAlign w:val="center"/>
          </w:tcPr>
          <w:p w14:paraId="646F0CDD">
            <w:pPr>
              <w:adjustRightInd w:val="0"/>
              <w:snapToGrid w:val="0"/>
              <w:spacing w:line="360" w:lineRule="auto"/>
              <w:jc w:val="left"/>
              <w:rPr>
                <w:rFonts w:ascii="方正仿宋_GB2312" w:hAnsi="方正仿宋_GB2312" w:eastAsia="方正仿宋_GB2312" w:cs="方正仿宋_GB2312"/>
                <w:bCs/>
                <w:sz w:val="22"/>
                <w:szCs w:val="22"/>
              </w:rPr>
            </w:pPr>
          </w:p>
        </w:tc>
        <w:tc>
          <w:tcPr>
            <w:tcW w:w="907" w:type="dxa"/>
            <w:vAlign w:val="center"/>
          </w:tcPr>
          <w:p w14:paraId="7C69905A">
            <w:pPr>
              <w:adjustRightInd w:val="0"/>
              <w:snapToGrid w:val="0"/>
              <w:spacing w:line="360" w:lineRule="auto"/>
              <w:jc w:val="left"/>
              <w:rPr>
                <w:rFonts w:ascii="方正仿宋_GB2312" w:hAnsi="方正仿宋_GB2312" w:eastAsia="方正仿宋_GB2312" w:cs="方正仿宋_GB2312"/>
                <w:bCs/>
                <w:sz w:val="22"/>
                <w:szCs w:val="22"/>
              </w:rPr>
            </w:pPr>
          </w:p>
        </w:tc>
        <w:tc>
          <w:tcPr>
            <w:tcW w:w="650" w:type="dxa"/>
            <w:vAlign w:val="center"/>
          </w:tcPr>
          <w:p w14:paraId="7C340FCC">
            <w:pPr>
              <w:adjustRightInd w:val="0"/>
              <w:snapToGrid w:val="0"/>
              <w:spacing w:line="360" w:lineRule="auto"/>
              <w:jc w:val="left"/>
              <w:rPr>
                <w:rFonts w:ascii="方正仿宋_GB2312" w:hAnsi="方正仿宋_GB2312" w:eastAsia="方正仿宋_GB2312" w:cs="方正仿宋_GB2312"/>
                <w:bCs/>
                <w:sz w:val="22"/>
                <w:szCs w:val="22"/>
              </w:rPr>
            </w:pPr>
          </w:p>
        </w:tc>
      </w:tr>
    </w:tbl>
    <w:p w14:paraId="4A4D875C">
      <w:pPr>
        <w:adjustRightInd w:val="0"/>
        <w:snapToGrid w:val="0"/>
        <w:spacing w:line="360" w:lineRule="auto"/>
        <w:jc w:val="left"/>
        <w:rPr>
          <w:rFonts w:ascii="方正仿宋_GB2312" w:hAnsi="方正仿宋_GB2312" w:eastAsia="方正仿宋_GB2312" w:cs="方正仿宋_GB2312"/>
          <w:b/>
          <w:sz w:val="22"/>
          <w:szCs w:val="22"/>
        </w:rPr>
      </w:pPr>
    </w:p>
    <w:p w14:paraId="5E6FFE7E">
      <w:pPr>
        <w:adjustRightInd w:val="0"/>
        <w:snapToGrid w:val="0"/>
        <w:spacing w:line="360" w:lineRule="auto"/>
        <w:jc w:val="left"/>
        <w:rPr>
          <w:rFonts w:ascii="方正仿宋_GB2312" w:hAnsi="方正仿宋_GB2312" w:eastAsia="方正仿宋_GB2312" w:cs="方正仿宋_GB2312"/>
          <w:b/>
          <w:sz w:val="22"/>
          <w:szCs w:val="22"/>
        </w:rPr>
      </w:pPr>
      <w:r>
        <w:rPr>
          <w:rFonts w:hint="eastAsia" w:ascii="方正仿宋_GB2312" w:hAnsi="方正仿宋_GB2312" w:eastAsia="方正仿宋_GB2312" w:cs="方正仿宋_GB2312"/>
          <w:b/>
          <w:sz w:val="22"/>
          <w:szCs w:val="22"/>
        </w:rPr>
        <w:br w:type="page"/>
      </w:r>
    </w:p>
    <w:p w14:paraId="6D2FC225">
      <w:pPr>
        <w:adjustRightInd w:val="0"/>
        <w:snapToGrid w:val="0"/>
        <w:spacing w:line="360" w:lineRule="auto"/>
        <w:jc w:val="left"/>
        <w:rPr>
          <w:rFonts w:ascii="方正仿宋_GB2312" w:hAnsi="方正仿宋_GB2312" w:eastAsia="方正仿宋_GB2312" w:cs="方正仿宋_GB2312"/>
          <w:b/>
          <w:sz w:val="22"/>
          <w:szCs w:val="22"/>
        </w:rPr>
      </w:pPr>
      <w:r>
        <w:rPr>
          <w:rFonts w:hint="eastAsia" w:ascii="方正仿宋_GB2312" w:hAnsi="方正仿宋_GB2312" w:eastAsia="方正仿宋_GB2312" w:cs="方正仿宋_GB2312"/>
          <w:b/>
          <w:sz w:val="22"/>
          <w:szCs w:val="22"/>
        </w:rPr>
        <w:t>附件3：</w:t>
      </w:r>
    </w:p>
    <w:tbl>
      <w:tblPr>
        <w:tblStyle w:val="7"/>
        <w:tblW w:w="9232" w:type="dxa"/>
        <w:jc w:val="center"/>
        <w:tblLayout w:type="fixed"/>
        <w:tblCellMar>
          <w:top w:w="0" w:type="dxa"/>
          <w:left w:w="108" w:type="dxa"/>
          <w:bottom w:w="0" w:type="dxa"/>
          <w:right w:w="108" w:type="dxa"/>
        </w:tblCellMar>
      </w:tblPr>
      <w:tblGrid>
        <w:gridCol w:w="852"/>
        <w:gridCol w:w="3021"/>
        <w:gridCol w:w="3327"/>
        <w:gridCol w:w="2032"/>
      </w:tblGrid>
      <w:tr w14:paraId="0B160CD8">
        <w:tblPrEx>
          <w:tblCellMar>
            <w:top w:w="0" w:type="dxa"/>
            <w:left w:w="108" w:type="dxa"/>
            <w:bottom w:w="0" w:type="dxa"/>
            <w:right w:w="108" w:type="dxa"/>
          </w:tblCellMar>
        </w:tblPrEx>
        <w:trPr>
          <w:trHeight w:val="585" w:hRule="atLeast"/>
          <w:jc w:val="center"/>
        </w:trPr>
        <w:tc>
          <w:tcPr>
            <w:tcW w:w="9232" w:type="dxa"/>
            <w:gridSpan w:val="4"/>
            <w:tcBorders>
              <w:top w:val="nil"/>
              <w:left w:val="nil"/>
              <w:bottom w:val="single" w:color="auto" w:sz="4" w:space="0"/>
              <w:right w:val="nil"/>
            </w:tcBorders>
            <w:vAlign w:val="center"/>
          </w:tcPr>
          <w:p w14:paraId="4C6E3F78">
            <w:pPr>
              <w:adjustRightInd w:val="0"/>
              <w:snapToGrid w:val="0"/>
              <w:spacing w:line="360" w:lineRule="auto"/>
              <w:ind w:firstLine="442" w:firstLineChars="200"/>
              <w:jc w:val="center"/>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sz w:val="22"/>
                <w:szCs w:val="22"/>
              </w:rPr>
              <w:t>材料、设备品牌清单</w:t>
            </w:r>
          </w:p>
        </w:tc>
      </w:tr>
      <w:tr w14:paraId="4E0FFB36">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5F849819">
            <w:pPr>
              <w:adjustRightInd w:val="0"/>
              <w:snapToGrid w:val="0"/>
              <w:spacing w:line="360" w:lineRule="auto"/>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序号</w:t>
            </w:r>
          </w:p>
        </w:tc>
        <w:tc>
          <w:tcPr>
            <w:tcW w:w="3021" w:type="dxa"/>
            <w:tcBorders>
              <w:top w:val="nil"/>
              <w:left w:val="nil"/>
              <w:bottom w:val="single" w:color="auto" w:sz="4" w:space="0"/>
              <w:right w:val="single" w:color="auto" w:sz="4" w:space="0"/>
            </w:tcBorders>
            <w:vAlign w:val="center"/>
          </w:tcPr>
          <w:p w14:paraId="2ED2BE97">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材料设备名称</w:t>
            </w:r>
          </w:p>
        </w:tc>
        <w:tc>
          <w:tcPr>
            <w:tcW w:w="3327" w:type="dxa"/>
            <w:tcBorders>
              <w:top w:val="nil"/>
              <w:left w:val="nil"/>
              <w:bottom w:val="single" w:color="auto" w:sz="4" w:space="0"/>
              <w:right w:val="single" w:color="auto" w:sz="4" w:space="0"/>
            </w:tcBorders>
            <w:vAlign w:val="center"/>
          </w:tcPr>
          <w:p w14:paraId="1ED27FDA">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厂家/品牌名称</w:t>
            </w:r>
          </w:p>
        </w:tc>
        <w:tc>
          <w:tcPr>
            <w:tcW w:w="2032" w:type="dxa"/>
            <w:tcBorders>
              <w:top w:val="nil"/>
              <w:left w:val="nil"/>
              <w:bottom w:val="single" w:color="auto" w:sz="4" w:space="0"/>
              <w:right w:val="single" w:color="auto" w:sz="4" w:space="0"/>
            </w:tcBorders>
            <w:vAlign w:val="center"/>
          </w:tcPr>
          <w:p w14:paraId="76B78845">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备注</w:t>
            </w:r>
          </w:p>
        </w:tc>
      </w:tr>
      <w:tr w14:paraId="4CD2F9B3">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7737EF91">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4C7C3541">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3886929C">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30A4B0AB">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45890F29">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1FA7ECAC">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5ED081AA">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1397EB41">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10DFA2D5">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661CCF53">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2396C8D4">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7BB14C99">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370778C4">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3210A7BB">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42B0E35B">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263E6CB0">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114A18AB">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1FBF830F">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425C3AFF">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6D443F52">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380E9C1C">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64169DCA">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5DA39410">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1D6E53A3">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5AD5F441">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4FC19313">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1452CE30">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026B80F3">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48D673B6">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15C6598C">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573E273D">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1AB08B97">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7AEA97B0">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334294BC">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706E3DFB">
        <w:tblPrEx>
          <w:tblCellMar>
            <w:top w:w="0" w:type="dxa"/>
            <w:left w:w="108" w:type="dxa"/>
            <w:bottom w:w="0" w:type="dxa"/>
            <w:right w:w="108" w:type="dxa"/>
          </w:tblCellMar>
        </w:tblPrEx>
        <w:trPr>
          <w:trHeight w:val="855" w:hRule="atLeast"/>
          <w:jc w:val="center"/>
        </w:trPr>
        <w:tc>
          <w:tcPr>
            <w:tcW w:w="852" w:type="dxa"/>
            <w:tcBorders>
              <w:top w:val="nil"/>
              <w:left w:val="single" w:color="auto" w:sz="4" w:space="0"/>
              <w:bottom w:val="single" w:color="auto" w:sz="4" w:space="0"/>
              <w:right w:val="single" w:color="auto" w:sz="4" w:space="0"/>
            </w:tcBorders>
            <w:vAlign w:val="center"/>
          </w:tcPr>
          <w:p w14:paraId="7015FAC2">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12C7479B">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50CD8B54">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715894D6">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3A46CC9A">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61557B54">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3C7C47F9">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515DB794">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0BD45140">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13FBDACD">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6F068998">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756C3D07">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5A0E794D">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3D83755A">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08BB2348">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246AFD2B">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75CB420D">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0F3C3A08">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3FD00B3C">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1806DB7A">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3987554C">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37CC9541">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5FEA19C7">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6EAF560D">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5E386359">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18773837">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4DAE06EA">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23B79D67">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23F3B5D2">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385015AB">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4BA4467E">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377A33FF">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047DA340">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046AEC23">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50F8B2ED">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5F538D1B">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6E46474A">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4DA7A74A">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054DCFEC">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r w14:paraId="497A2243">
        <w:tblPrEx>
          <w:tblCellMar>
            <w:top w:w="0" w:type="dxa"/>
            <w:left w:w="108" w:type="dxa"/>
            <w:bottom w:w="0" w:type="dxa"/>
            <w:right w:w="108" w:type="dxa"/>
          </w:tblCellMar>
        </w:tblPrEx>
        <w:trPr>
          <w:trHeight w:val="690" w:hRule="atLeast"/>
          <w:jc w:val="center"/>
        </w:trPr>
        <w:tc>
          <w:tcPr>
            <w:tcW w:w="852" w:type="dxa"/>
            <w:tcBorders>
              <w:top w:val="nil"/>
              <w:left w:val="single" w:color="auto" w:sz="4" w:space="0"/>
              <w:bottom w:val="single" w:color="auto" w:sz="4" w:space="0"/>
              <w:right w:val="single" w:color="auto" w:sz="4" w:space="0"/>
            </w:tcBorders>
            <w:vAlign w:val="center"/>
          </w:tcPr>
          <w:p w14:paraId="6BD84883">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021" w:type="dxa"/>
            <w:tcBorders>
              <w:top w:val="nil"/>
              <w:left w:val="nil"/>
              <w:bottom w:val="single" w:color="auto" w:sz="4" w:space="0"/>
              <w:right w:val="single" w:color="auto" w:sz="4" w:space="0"/>
            </w:tcBorders>
            <w:vAlign w:val="center"/>
          </w:tcPr>
          <w:p w14:paraId="4F4C8B41">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3327" w:type="dxa"/>
            <w:tcBorders>
              <w:top w:val="nil"/>
              <w:left w:val="nil"/>
              <w:bottom w:val="single" w:color="auto" w:sz="4" w:space="0"/>
              <w:right w:val="single" w:color="auto" w:sz="4" w:space="0"/>
            </w:tcBorders>
            <w:vAlign w:val="center"/>
          </w:tcPr>
          <w:p w14:paraId="1505C0BD">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c>
          <w:tcPr>
            <w:tcW w:w="2032" w:type="dxa"/>
            <w:tcBorders>
              <w:top w:val="nil"/>
              <w:left w:val="nil"/>
              <w:bottom w:val="single" w:color="auto" w:sz="4" w:space="0"/>
              <w:right w:val="single" w:color="auto" w:sz="4" w:space="0"/>
            </w:tcBorders>
            <w:vAlign w:val="center"/>
          </w:tcPr>
          <w:p w14:paraId="4970C6CC">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tc>
      </w:tr>
    </w:tbl>
    <w:p w14:paraId="625DC0BB">
      <w:pPr>
        <w:adjustRightInd w:val="0"/>
        <w:snapToGrid w:val="0"/>
        <w:spacing w:line="360" w:lineRule="auto"/>
        <w:jc w:val="left"/>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备注：承包人须选择上表所列品牌或其它经发包人认可的同档次品牌。</w:t>
      </w:r>
    </w:p>
    <w:p w14:paraId="75527A75">
      <w:pPr>
        <w:adjustRightInd w:val="0"/>
        <w:snapToGrid w:val="0"/>
        <w:spacing w:line="360" w:lineRule="auto"/>
        <w:ind w:firstLine="442" w:firstLineChars="200"/>
        <w:jc w:val="left"/>
        <w:rPr>
          <w:rFonts w:ascii="方正仿宋_GB2312" w:hAnsi="方正仿宋_GB2312" w:eastAsia="方正仿宋_GB2312" w:cs="方正仿宋_GB2312"/>
          <w:b/>
          <w:bCs/>
          <w:sz w:val="22"/>
          <w:szCs w:val="22"/>
        </w:rPr>
      </w:pPr>
    </w:p>
    <w:p w14:paraId="1B158239">
      <w:pPr>
        <w:adjustRightInd w:val="0"/>
        <w:snapToGrid w:val="0"/>
        <w:spacing w:line="360" w:lineRule="auto"/>
        <w:ind w:firstLine="442" w:firstLineChars="200"/>
        <w:jc w:val="left"/>
        <w:rPr>
          <w:rFonts w:ascii="方正仿宋_GB2312" w:hAnsi="方正仿宋_GB2312" w:eastAsia="方正仿宋_GB2312" w:cs="方正仿宋_GB2312"/>
          <w:b/>
          <w:bCs/>
          <w:sz w:val="22"/>
          <w:szCs w:val="22"/>
        </w:rPr>
      </w:pPr>
    </w:p>
    <w:p w14:paraId="4C15611A">
      <w:pPr>
        <w:adjustRightInd w:val="0"/>
        <w:snapToGrid w:val="0"/>
        <w:spacing w:line="360" w:lineRule="auto"/>
        <w:ind w:firstLine="442" w:firstLineChars="200"/>
        <w:jc w:val="left"/>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br w:type="page"/>
      </w:r>
    </w:p>
    <w:p w14:paraId="7D4DA135">
      <w:pPr>
        <w:adjustRightInd w:val="0"/>
        <w:snapToGrid w:val="0"/>
        <w:spacing w:line="360" w:lineRule="auto"/>
        <w:ind w:firstLine="442" w:firstLineChars="200"/>
        <w:jc w:val="left"/>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附件4：</w:t>
      </w:r>
    </w:p>
    <w:p w14:paraId="6208C037">
      <w:pPr>
        <w:adjustRightInd w:val="0"/>
        <w:snapToGrid w:val="0"/>
        <w:spacing w:line="360" w:lineRule="auto"/>
        <w:ind w:firstLine="442" w:firstLineChars="200"/>
        <w:jc w:val="center"/>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工程质量保修书</w:t>
      </w:r>
    </w:p>
    <w:p w14:paraId="3DD176C4">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p w14:paraId="4C48B4FF">
      <w:pPr>
        <w:adjustRightInd w:val="0"/>
        <w:snapToGrid w:val="0"/>
        <w:spacing w:line="360" w:lineRule="auto"/>
        <w:ind w:firstLine="440" w:firstLineChars="200"/>
        <w:jc w:val="left"/>
        <w:rPr>
          <w:rFonts w:ascii="方正仿宋_GB2312" w:hAnsi="方正仿宋_GB2312" w:eastAsia="方正仿宋_GB2312" w:cs="方正仿宋_GB2312"/>
          <w:sz w:val="22"/>
          <w:szCs w:val="22"/>
          <w:u w:val="single"/>
        </w:rPr>
      </w:pPr>
      <w:r>
        <w:rPr>
          <w:rFonts w:hint="eastAsia" w:ascii="方正仿宋_GB2312" w:hAnsi="方正仿宋_GB2312" w:eastAsia="方正仿宋_GB2312" w:cs="方正仿宋_GB2312"/>
          <w:sz w:val="22"/>
          <w:szCs w:val="22"/>
        </w:rPr>
        <w:t>发包人(全称):</w:t>
      </w:r>
      <w:r>
        <w:rPr>
          <w:rFonts w:hint="eastAsia" w:ascii="方正仿宋_GB2312" w:hAnsi="方正仿宋_GB2312" w:eastAsia="方正仿宋_GB2312" w:cs="方正仿宋_GB2312"/>
          <w:sz w:val="22"/>
          <w:szCs w:val="22"/>
          <w:u w:val="single"/>
        </w:rPr>
        <w:t xml:space="preserve">            </w:t>
      </w:r>
    </w:p>
    <w:p w14:paraId="3F2AD6C4">
      <w:pPr>
        <w:adjustRightInd w:val="0"/>
        <w:snapToGrid w:val="0"/>
        <w:spacing w:line="360" w:lineRule="auto"/>
        <w:ind w:firstLine="440" w:firstLineChars="200"/>
        <w:jc w:val="left"/>
        <w:rPr>
          <w:rFonts w:ascii="方正仿宋_GB2312" w:hAnsi="方正仿宋_GB2312" w:eastAsia="方正仿宋_GB2312" w:cs="方正仿宋_GB2312"/>
          <w:sz w:val="22"/>
          <w:szCs w:val="22"/>
          <w:u w:val="single"/>
        </w:rPr>
      </w:pPr>
      <w:r>
        <w:rPr>
          <w:rFonts w:hint="eastAsia" w:ascii="方正仿宋_GB2312" w:hAnsi="方正仿宋_GB2312" w:eastAsia="方正仿宋_GB2312" w:cs="方正仿宋_GB2312"/>
          <w:sz w:val="22"/>
          <w:szCs w:val="22"/>
        </w:rPr>
        <w:t>承包人(全称)：</w:t>
      </w:r>
      <w:r>
        <w:rPr>
          <w:rFonts w:hint="eastAsia" w:ascii="方正仿宋_GB2312" w:hAnsi="方正仿宋_GB2312" w:eastAsia="方正仿宋_GB2312" w:cs="方正仿宋_GB2312"/>
          <w:sz w:val="22"/>
          <w:szCs w:val="22"/>
          <w:u w:val="single"/>
        </w:rPr>
        <w:t xml:space="preserve">           </w:t>
      </w:r>
    </w:p>
    <w:p w14:paraId="0E5D3905">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为保证(工程名称)在合理使用期限内正常使用，发包人、承包人协商一致签订工程质量保修书。承包人在质量保修期内按照有关管理规定及双方约定承担工程质量保修责任。</w:t>
      </w:r>
    </w:p>
    <w:p w14:paraId="514A1381">
      <w:pPr>
        <w:adjustRightInd w:val="0"/>
        <w:snapToGrid w:val="0"/>
        <w:spacing w:line="360" w:lineRule="auto"/>
        <w:ind w:firstLine="442" w:firstLineChars="200"/>
        <w:jc w:val="left"/>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一、工程质量保修范围和内容</w:t>
      </w:r>
    </w:p>
    <w:p w14:paraId="47C29356">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质量保修范围包括竞争性磋商文件、工程量清单、答疑文件（如有）、图纸（如有）等文件所包含的全部内容，具体质量保修内容双方约定如下：</w:t>
      </w:r>
    </w:p>
    <w:p w14:paraId="6F00D006">
      <w:pPr>
        <w:adjustRightInd w:val="0"/>
        <w:snapToGrid w:val="0"/>
        <w:spacing w:line="360" w:lineRule="auto"/>
        <w:ind w:firstLine="442" w:firstLineChars="200"/>
        <w:jc w:val="left"/>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二、质量保修期</w:t>
      </w:r>
    </w:p>
    <w:p w14:paraId="7C3DB610">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质量保修期自工程实际竣工之日算起。分单项竣工验收的工程，按单项工程分别计算质量保修期。</w:t>
      </w:r>
    </w:p>
    <w:p w14:paraId="7D894FB4">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双方根据《建设工程质量管理条例》及国家有关规定，结合具体工程约定质量保修期如下：</w:t>
      </w:r>
    </w:p>
    <w:p w14:paraId="211191DF">
      <w:pPr>
        <w:adjustRightInd w:val="0"/>
        <w:snapToGrid w:val="0"/>
        <w:spacing w:line="360" w:lineRule="auto"/>
        <w:ind w:left="420" w:left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1.</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 </w:t>
      </w:r>
    </w:p>
    <w:p w14:paraId="23071727">
      <w:pPr>
        <w:adjustRightInd w:val="0"/>
        <w:snapToGrid w:val="0"/>
        <w:spacing w:line="360" w:lineRule="auto"/>
        <w:ind w:firstLine="440" w:firstLineChars="200"/>
        <w:jc w:val="left"/>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sz w:val="22"/>
          <w:szCs w:val="22"/>
        </w:rPr>
        <w:t xml:space="preserve"> </w:t>
      </w:r>
      <w:r>
        <w:rPr>
          <w:rFonts w:hint="eastAsia" w:ascii="方正仿宋_GB2312" w:hAnsi="方正仿宋_GB2312" w:eastAsia="方正仿宋_GB2312" w:cs="方正仿宋_GB2312"/>
          <w:b/>
          <w:bCs/>
          <w:sz w:val="22"/>
          <w:szCs w:val="22"/>
        </w:rPr>
        <w:t>三、质量保修责任</w:t>
      </w:r>
    </w:p>
    <w:p w14:paraId="4D3A92CF">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1.属于保修范围和内容的项目，承包人应在接到修理通知之日后7天内派人修理。承包人不在约定期限内，派人修理，发包人可委托其他人员修理，保修费用从质量保修金内扣除。</w:t>
      </w:r>
    </w:p>
    <w:p w14:paraId="4B6FD185">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2.发生须紧急抢修事故(如上水跑水、暖气漏水漏气、燃气漏气等)，承包人接到事故通知后，应立即到达事故现场抢修。非承包人施工质量引起的事故，抢修费用由发包人承担。</w:t>
      </w:r>
    </w:p>
    <w:p w14:paraId="104CDE24">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3.在国家规定的工程合理使用期限内，承包人确保地基基础工程和主体结构的质量。因承包人原因致使工程在合理使用期限内造成人身和财产损害的，承包人应承担损害赔偿责任。</w:t>
      </w:r>
    </w:p>
    <w:p w14:paraId="3669E047">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4.质量保修完成后，由发包人组织验收。</w:t>
      </w:r>
    </w:p>
    <w:p w14:paraId="46745ECD">
      <w:pPr>
        <w:adjustRightInd w:val="0"/>
        <w:snapToGrid w:val="0"/>
        <w:spacing w:line="360" w:lineRule="auto"/>
        <w:ind w:firstLine="442" w:firstLineChars="200"/>
        <w:jc w:val="left"/>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四、质量保修金的支付</w:t>
      </w:r>
    </w:p>
    <w:p w14:paraId="261E49E3">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工程质量保修金一般不超过施工合同价款的</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，本工程约定的工程质量保修金为施工合同结算价款的</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w:t>
      </w:r>
    </w:p>
    <w:p w14:paraId="480C0E07">
      <w:pPr>
        <w:adjustRightInd w:val="0"/>
        <w:snapToGrid w:val="0"/>
        <w:spacing w:line="360" w:lineRule="auto"/>
        <w:ind w:firstLine="442" w:firstLineChars="200"/>
        <w:jc w:val="left"/>
        <w:rPr>
          <w:rFonts w:ascii="方正仿宋_GB2312" w:hAnsi="方正仿宋_GB2312" w:eastAsia="方正仿宋_GB2312" w:cs="方正仿宋_GB2312"/>
          <w:b/>
          <w:bCs/>
          <w:sz w:val="22"/>
          <w:szCs w:val="22"/>
        </w:rPr>
      </w:pPr>
      <w:r>
        <w:rPr>
          <w:rFonts w:hint="eastAsia" w:ascii="方正仿宋_GB2312" w:hAnsi="方正仿宋_GB2312" w:eastAsia="方正仿宋_GB2312" w:cs="方正仿宋_GB2312"/>
          <w:b/>
          <w:bCs/>
          <w:sz w:val="22"/>
          <w:szCs w:val="22"/>
        </w:rPr>
        <w:t>五、其他</w:t>
      </w:r>
    </w:p>
    <w:p w14:paraId="25693648">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本工程质量保修书作为施工合同附件，由施工合同发包人、承包人双方共同签署。</w:t>
      </w:r>
    </w:p>
    <w:p w14:paraId="2A313E3A">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p w14:paraId="5EBC1E93">
      <w:pPr>
        <w:adjustRightInd w:val="0"/>
        <w:snapToGrid w:val="0"/>
        <w:spacing w:line="360" w:lineRule="auto"/>
        <w:ind w:firstLine="440" w:firstLineChars="200"/>
        <w:jc w:val="left"/>
        <w:rPr>
          <w:rFonts w:ascii="方正仿宋_GB2312" w:hAnsi="方正仿宋_GB2312" w:eastAsia="方正仿宋_GB2312" w:cs="方正仿宋_GB2312"/>
          <w:sz w:val="22"/>
          <w:szCs w:val="22"/>
        </w:rPr>
      </w:pPr>
    </w:p>
    <w:p w14:paraId="736715B7">
      <w:pPr>
        <w:adjustRightInd w:val="0"/>
        <w:snapToGrid w:val="0"/>
        <w:spacing w:line="360" w:lineRule="auto"/>
        <w:jc w:val="left"/>
        <w:rPr>
          <w:rFonts w:ascii="方正仿宋_GB2312" w:hAnsi="方正仿宋_GB2312" w:eastAsia="方正仿宋_GB2312" w:cs="方正仿宋_GB2312"/>
          <w:bCs/>
          <w:sz w:val="22"/>
          <w:szCs w:val="22"/>
          <w:u w:val="single"/>
        </w:rPr>
      </w:pPr>
      <w:r>
        <w:rPr>
          <w:rFonts w:hint="eastAsia" w:ascii="方正仿宋_GB2312" w:hAnsi="方正仿宋_GB2312" w:eastAsia="方正仿宋_GB2312" w:cs="方正仿宋_GB2312"/>
          <w:bCs/>
          <w:sz w:val="22"/>
          <w:szCs w:val="22"/>
        </w:rPr>
        <w:t>发 包 人：</w:t>
      </w:r>
      <w:r>
        <w:rPr>
          <w:rFonts w:hint="eastAsia" w:ascii="方正仿宋_GB2312" w:hAnsi="方正仿宋_GB2312" w:eastAsia="方正仿宋_GB2312" w:cs="方正仿宋_GB2312"/>
          <w:bCs/>
          <w:sz w:val="22"/>
          <w:szCs w:val="22"/>
          <w:u w:val="single"/>
        </w:rPr>
        <w:t xml:space="preserve">   （盖章）              </w:t>
      </w:r>
      <w:r>
        <w:rPr>
          <w:rFonts w:hint="eastAsia" w:ascii="方正仿宋_GB2312" w:hAnsi="方正仿宋_GB2312" w:eastAsia="方正仿宋_GB2312" w:cs="方正仿宋_GB2312"/>
          <w:bCs/>
          <w:sz w:val="22"/>
          <w:szCs w:val="22"/>
        </w:rPr>
        <w:t xml:space="preserve">      承 包 人：</w:t>
      </w:r>
      <w:r>
        <w:rPr>
          <w:rFonts w:hint="eastAsia" w:ascii="方正仿宋_GB2312" w:hAnsi="方正仿宋_GB2312" w:eastAsia="方正仿宋_GB2312" w:cs="方正仿宋_GB2312"/>
          <w:bCs/>
          <w:sz w:val="22"/>
          <w:szCs w:val="22"/>
          <w:u w:val="single"/>
        </w:rPr>
        <w:t xml:space="preserve">   （盖章）      </w:t>
      </w:r>
    </w:p>
    <w:p w14:paraId="2ABA1464">
      <w:pPr>
        <w:adjustRightInd w:val="0"/>
        <w:snapToGrid w:val="0"/>
        <w:spacing w:line="360" w:lineRule="auto"/>
        <w:ind w:firstLine="440" w:firstLineChars="200"/>
        <w:jc w:val="left"/>
        <w:rPr>
          <w:rFonts w:ascii="方正仿宋_GB2312" w:hAnsi="方正仿宋_GB2312" w:eastAsia="方正仿宋_GB2312" w:cs="方正仿宋_GB2312"/>
          <w:bCs/>
          <w:sz w:val="22"/>
          <w:szCs w:val="22"/>
        </w:rPr>
      </w:pPr>
    </w:p>
    <w:p w14:paraId="457E58B8">
      <w:pPr>
        <w:adjustRightInd w:val="0"/>
        <w:snapToGrid w:val="0"/>
        <w:spacing w:line="360" w:lineRule="auto"/>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法定代表人（签字或签章）                 法定代表人（签字或签章）</w:t>
      </w:r>
    </w:p>
    <w:p w14:paraId="70B71E92">
      <w:pPr>
        <w:adjustRightInd w:val="0"/>
        <w:snapToGrid w:val="0"/>
        <w:spacing w:line="360" w:lineRule="auto"/>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或其授权代理人（签字）：</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     或其授权代理人（签字）：</w:t>
      </w:r>
      <w:r>
        <w:rPr>
          <w:rFonts w:hint="eastAsia" w:ascii="方正仿宋_GB2312" w:hAnsi="方正仿宋_GB2312" w:eastAsia="方正仿宋_GB2312" w:cs="方正仿宋_GB2312"/>
          <w:sz w:val="22"/>
          <w:szCs w:val="22"/>
          <w:u w:val="single"/>
        </w:rPr>
        <w:t xml:space="preserve">             </w:t>
      </w:r>
    </w:p>
    <w:p w14:paraId="12B11366">
      <w:pPr>
        <w:adjustRightInd w:val="0"/>
        <w:snapToGrid w:val="0"/>
        <w:spacing w:line="360" w:lineRule="auto"/>
        <w:jc w:val="left"/>
        <w:rPr>
          <w:rFonts w:ascii="方正仿宋_GB2312" w:hAnsi="方正仿宋_GB2312" w:eastAsia="方正仿宋_GB2312" w:cs="方正仿宋_GB2312"/>
          <w:sz w:val="22"/>
          <w:szCs w:val="22"/>
        </w:rPr>
      </w:pPr>
    </w:p>
    <w:p w14:paraId="5A4585FC">
      <w:pPr>
        <w:adjustRightInd w:val="0"/>
        <w:snapToGrid w:val="0"/>
        <w:spacing w:line="360" w:lineRule="auto"/>
        <w:jc w:val="left"/>
        <w:rPr>
          <w:rFonts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 xml:space="preserve"> </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年 </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 月 </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 日                   </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 年 </w:t>
      </w:r>
      <w:r>
        <w:rPr>
          <w:rFonts w:hint="eastAsia" w:ascii="方正仿宋_GB2312" w:hAnsi="方正仿宋_GB2312" w:eastAsia="方正仿宋_GB2312" w:cs="方正仿宋_GB2312"/>
          <w:sz w:val="22"/>
          <w:szCs w:val="22"/>
          <w:u w:val="single"/>
        </w:rPr>
        <w:t xml:space="preserve">    </w:t>
      </w:r>
      <w:r>
        <w:rPr>
          <w:rFonts w:hint="eastAsia" w:ascii="方正仿宋_GB2312" w:hAnsi="方正仿宋_GB2312" w:eastAsia="方正仿宋_GB2312" w:cs="方正仿宋_GB2312"/>
          <w:sz w:val="22"/>
          <w:szCs w:val="22"/>
        </w:rPr>
        <w:t xml:space="preserve"> 月 </w:t>
      </w:r>
      <w:r>
        <w:rPr>
          <w:rFonts w:hint="eastAsia" w:ascii="方正仿宋_GB2312" w:hAnsi="方正仿宋_GB2312" w:eastAsia="方正仿宋_GB2312" w:cs="方正仿宋_GB2312"/>
          <w:sz w:val="22"/>
          <w:szCs w:val="22"/>
          <w:u w:val="single"/>
        </w:rPr>
        <w:t xml:space="preserve">    </w:t>
      </w:r>
    </w:p>
    <w:p w14:paraId="534D3DCC">
      <w:pPr>
        <w:spacing w:line="360" w:lineRule="auto"/>
        <w:rPr>
          <w:rFonts w:ascii="方正仿宋_GB2312" w:hAnsi="方正仿宋_GB2312" w:eastAsia="方正仿宋_GB2312" w:cs="方正仿宋_GB2312"/>
          <w:sz w:val="22"/>
          <w:szCs w:val="22"/>
        </w:rPr>
      </w:pPr>
    </w:p>
    <w:p w14:paraId="0E1BCB4F">
      <w:pPr>
        <w:adjustRightInd w:val="0"/>
        <w:snapToGrid w:val="0"/>
        <w:spacing w:line="384" w:lineRule="auto"/>
        <w:jc w:val="left"/>
        <w:rPr>
          <w:rFonts w:ascii="方正仿宋_GB2312" w:hAnsi="方正仿宋_GB2312" w:eastAsia="方正仿宋_GB2312" w:cs="方正仿宋_GB2312"/>
          <w:sz w:val="22"/>
          <w:szCs w:val="22"/>
        </w:rPr>
      </w:pPr>
    </w:p>
    <w:p w14:paraId="43BAFC29">
      <w:pPr>
        <w:pStyle w:val="10"/>
        <w:rPr>
          <w:rFonts w:hint="default"/>
          <w:sz w:val="22"/>
          <w:szCs w:val="22"/>
        </w:rPr>
      </w:pPr>
    </w:p>
    <w:p w14:paraId="436D3C74">
      <w:bookmarkStart w:id="37" w:name="_GoBack"/>
      <w:bookmarkEnd w:id="3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9FBDC">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CB43A24">
                          <w:pPr>
                            <w:pStyle w:val="5"/>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1CB43A24">
                    <w:pPr>
                      <w:pStyle w:val="5"/>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8ED73">
    <w:pPr>
      <w:pStyle w:val="6"/>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445327"/>
    <w:multiLevelType w:val="singleLevel"/>
    <w:tmpl w:val="B8445327"/>
    <w:lvl w:ilvl="0" w:tentative="0">
      <w:start w:val="2"/>
      <w:numFmt w:val="decimal"/>
      <w:lvlText w:val="%1."/>
      <w:lvlJc w:val="left"/>
      <w:pPr>
        <w:tabs>
          <w:tab w:val="left" w:pos="312"/>
        </w:tabs>
      </w:pPr>
    </w:lvl>
  </w:abstractNum>
  <w:abstractNum w:abstractNumId="1">
    <w:nsid w:val="66B854DC"/>
    <w:multiLevelType w:val="singleLevel"/>
    <w:tmpl w:val="66B854DC"/>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E75D98"/>
    <w:rsid w:val="5CE75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adjustRightInd w:val="0"/>
      <w:snapToGrid w:val="0"/>
      <w:spacing w:line="360" w:lineRule="auto"/>
      <w:jc w:val="center"/>
      <w:outlineLvl w:val="0"/>
    </w:pPr>
    <w:rPr>
      <w:b/>
      <w:sz w:val="4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unhideWhenUsed/>
    <w:qFormat/>
    <w:uiPriority w:val="99"/>
    <w:pPr>
      <w:ind w:left="140"/>
    </w:pPr>
    <w:rPr>
      <w:rFonts w:ascii="宋体" w:hAnsi="宋体"/>
      <w:sz w:val="28"/>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BodyText"/>
    <w:basedOn w:val="1"/>
    <w:next w:val="1"/>
    <w:qFormat/>
    <w:uiPriority w:val="0"/>
    <w:pPr>
      <w:textAlignment w:val="baseline"/>
    </w:pPr>
    <w:rPr>
      <w:rFonts w:ascii="宋体" w:hAnsi="宋体"/>
      <w:szCs w:val="21"/>
      <w:lang w:val="zh-CN" w:bidi="zh-CN"/>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2025-10-30T03:52:00Z</dcterms:created>
  <dc:creator>省略号君</dc:creator>
  <cp:lastModifiedBy>省略号君</cp:lastModifiedBy>
  <dcterms:modified xsi:type="dcterms:W3CDTF">2025-10-30T03:52:40Z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FC5CAC0B136347EE849EF49BD056EE4E_11</vt:lpwstr>
  </property>
  <property fmtid="{D5CDD505-2E9C-101B-9397-08002B2CF9AE}" pid="4" name="KSOTemplateDocerSaveRecord">
    <vt:lpwstr>eyJoZGlkIjoiMzYwN2I5NTBkYzM4ODQyZDg5ZDU4MTg1ZTI5Yjg5NWUiLCJ1c2VySWQiOiIyMzE3Mjk5MDAifQ==</vt:lpwstr>
  </property>
</Properties>
</file>