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64BA4">
      <w:pPr>
        <w:jc w:val="center"/>
        <w:rPr>
          <w:b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合同范本（仅供参考）</w:t>
      </w:r>
    </w:p>
    <w:p w14:paraId="307B958E">
      <w:pPr>
        <w:spacing w:line="360" w:lineRule="auto"/>
        <w:ind w:firstLine="482" w:firstLineChars="200"/>
        <w:rPr>
          <w:rFonts w:ascii="宋体" w:hAnsi="宋体"/>
          <w:b/>
          <w:color w:val="FF0000"/>
          <w:sz w:val="24"/>
          <w:lang w:eastAsia="zh-CN"/>
        </w:rPr>
      </w:pPr>
    </w:p>
    <w:p w14:paraId="7A9C6E0E">
      <w:pPr>
        <w:spacing w:line="360" w:lineRule="auto"/>
        <w:ind w:firstLine="482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b/>
          <w:color w:val="FF0000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（以下简称甲方）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采购，在</w:t>
      </w:r>
      <w:r>
        <w:rPr>
          <w:rFonts w:hint="eastAsia" w:ascii="宋体" w:hAnsi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陕西省财政厅政府采购管理处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的监</w:t>
      </w:r>
      <w:r>
        <w:rPr>
          <w:rFonts w:hint="eastAsia" w:ascii="宋体" w:hAnsi="宋体"/>
          <w:sz w:val="24"/>
          <w:lang w:eastAsia="zh-CN"/>
        </w:rPr>
        <w:t>督管理下，由</w:t>
      </w:r>
      <w:r>
        <w:rPr>
          <w:rFonts w:hint="eastAsia" w:ascii="宋体" w:hAnsi="宋体"/>
          <w:sz w:val="24"/>
          <w:u w:val="single"/>
          <w:lang w:eastAsia="zh-CN"/>
        </w:rPr>
        <w:t>陕西开源招标有限公司</w:t>
      </w:r>
      <w:r>
        <w:rPr>
          <w:rFonts w:hint="eastAsia" w:ascii="宋体" w:hAnsi="宋体"/>
          <w:sz w:val="24"/>
          <w:lang w:eastAsia="zh-CN"/>
        </w:rPr>
        <w:t>组织采购，选定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6361467D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一、合同内容</w:t>
      </w:r>
    </w:p>
    <w:p w14:paraId="5C7866AE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乙方负责按照合同确定的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内容及技术标准组织</w:t>
      </w:r>
      <w:r>
        <w:rPr>
          <w:rFonts w:hint="eastAsia" w:asciiTheme="minorEastAsia" w:hAnsiTheme="minorEastAsia" w:eastAsiaTheme="minorEastAsia"/>
          <w:sz w:val="24"/>
          <w:lang w:eastAsia="zh-CN"/>
        </w:rPr>
        <w:t>交付</w:t>
      </w:r>
      <w:r>
        <w:rPr>
          <w:rFonts w:hint="eastAsia" w:ascii="宋体" w:hAnsi="宋体"/>
          <w:sz w:val="24"/>
          <w:lang w:eastAsia="zh-CN"/>
        </w:rPr>
        <w:t>（具体采购项目见附件1），确保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服务内容</w:t>
      </w:r>
      <w:r>
        <w:rPr>
          <w:rFonts w:hint="eastAsia" w:ascii="宋体" w:hAnsi="宋体"/>
          <w:sz w:val="24"/>
          <w:lang w:eastAsia="zh-CN"/>
        </w:rPr>
        <w:t>各项指标达到要求；负责操作和管理人员的培训工作，保证甲方能够正常操作和维护，同时乙方根据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项目的使用特性做好售后服务。</w:t>
      </w:r>
    </w:p>
    <w:p w14:paraId="4178962A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二、合同价格</w:t>
      </w:r>
    </w:p>
    <w:p w14:paraId="0167F622">
      <w:pPr>
        <w:spacing w:line="360" w:lineRule="auto"/>
        <w:ind w:left="420" w:left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合同总价：</w:t>
      </w:r>
      <w:r>
        <w:rPr>
          <w:rFonts w:hint="eastAsia" w:ascii="宋体" w:hAnsi="宋体"/>
          <w:sz w:val="24"/>
          <w:u w:val="single"/>
          <w:lang w:eastAsia="zh-CN"/>
        </w:rPr>
        <w:t xml:space="preserve">人民币       元整（¥         元） </w:t>
      </w:r>
    </w:p>
    <w:p w14:paraId="05789096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说明：合同总价一次包死，不受市场价格变化的影响，并作为结算的唯一依据。</w:t>
      </w:r>
    </w:p>
    <w:p w14:paraId="069249D7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三、合同款项支付</w:t>
      </w:r>
    </w:p>
    <w:p w14:paraId="6E7D5F7A"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  <w:lang w:eastAsia="zh-CN"/>
        </w:rPr>
        <w:t>1、结算单位：采购人结算，在付款前，必</w:t>
      </w:r>
      <w:r>
        <w:rPr>
          <w:rFonts w:hint="eastAsia"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须开具等额发票</w:t>
      </w:r>
      <w:r>
        <w:rPr>
          <w:rFonts w:hint="eastAsia" w:ascii="宋体" w:hAnsi="宋体"/>
          <w:sz w:val="24"/>
          <w:highlight w:val="none"/>
          <w:lang w:eastAsia="zh-CN"/>
        </w:rPr>
        <w:t>给采购人。</w:t>
      </w:r>
    </w:p>
    <w:p w14:paraId="7F2E0358">
      <w:pPr>
        <w:keepLines/>
        <w:kinsoku/>
        <w:wordWrap w:val="0"/>
        <w:topLinePunct/>
        <w:autoSpaceDE/>
        <w:autoSpaceDN/>
        <w:spacing w:line="360" w:lineRule="auto"/>
        <w:ind w:right="48" w:firstLine="480" w:firstLineChars="200"/>
        <w:rPr>
          <w:rFonts w:hint="eastAsia"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  <w:highlight w:val="none"/>
          <w:lang w:eastAsia="zh-CN"/>
        </w:rPr>
        <w:t>2、付款方式</w:t>
      </w:r>
      <w:r>
        <w:rPr>
          <w:rFonts w:hint="eastAsia"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2745A8A1">
      <w:pPr>
        <w:keepLines/>
        <w:kinsoku/>
        <w:wordWrap w:val="0"/>
        <w:topLinePunct/>
        <w:autoSpaceDE/>
        <w:autoSpaceDN/>
        <w:spacing w:line="360" w:lineRule="auto"/>
        <w:ind w:right="48" w:firstLine="480" w:firstLineChars="200"/>
        <w:rPr>
          <w:rFonts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合同生效后，达到付款条件起</w:t>
      </w: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日内，支付合同总金额的</w:t>
      </w: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0823C38">
      <w:pPr>
        <w:keepLines/>
        <w:kinsoku/>
        <w:wordWrap w:val="0"/>
        <w:topLinePunct/>
        <w:autoSpaceDE/>
        <w:autoSpaceDN/>
        <w:spacing w:line="360" w:lineRule="auto"/>
        <w:ind w:right="48" w:firstLine="480" w:firstLineChars="200"/>
        <w:rPr>
          <w:rFonts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测评和文件梳理工作完成，达到付款条件起</w:t>
      </w: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日内，支付合同总金额的</w:t>
      </w: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65</w:t>
      </w:r>
      <w:r>
        <w:rPr>
          <w:rFonts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68100BD">
      <w:pPr>
        <w:keepLines/>
        <w:kinsoku/>
        <w:wordWrap w:val="0"/>
        <w:topLinePunct/>
        <w:autoSpaceDE/>
        <w:autoSpaceDN/>
        <w:spacing w:line="360" w:lineRule="auto"/>
        <w:ind w:right="48" w:firstLine="480" w:firstLineChars="200"/>
        <w:rPr>
          <w:rFonts w:ascii="宋体" w:hAnsi="宋体" w:eastAsiaTheme="minorEastAsia"/>
          <w:color w:val="FF0000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服务期结束后，达到付款条件起</w:t>
      </w: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日内，支付合同总金额的</w:t>
      </w: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 w:eastAsia="宋体" w:cs="宋体"/>
          <w:color w:val="000000" w:themeColor="text1"/>
          <w:position w:val="15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6023974">
      <w:pPr>
        <w:spacing w:line="360" w:lineRule="auto"/>
        <w:rPr>
          <w:rFonts w:hint="eastAsia" w:ascii="宋体" w:hAnsi="宋体"/>
          <w:b/>
          <w:sz w:val="24"/>
          <w:highlight w:val="none"/>
          <w:lang w:eastAsia="zh-CN"/>
        </w:rPr>
      </w:pPr>
      <w:r>
        <w:rPr>
          <w:rFonts w:hint="eastAsia" w:ascii="宋体" w:hAnsi="宋体"/>
          <w:b/>
          <w:sz w:val="24"/>
          <w:highlight w:val="none"/>
          <w:lang w:eastAsia="zh-CN"/>
        </w:rPr>
        <w:t>四、交付条件</w:t>
      </w:r>
    </w:p>
    <w:p w14:paraId="55521D6A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  <w:highlight w:val="none"/>
          <w:lang w:eastAsia="zh-CN"/>
        </w:rPr>
        <w:t>（一</w:t>
      </w:r>
      <w:r>
        <w:rPr>
          <w:rFonts w:hint="eastAsia"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）项目实施地点：采购人指定地点。</w:t>
      </w:r>
    </w:p>
    <w:p w14:paraId="11D46BAA">
      <w:pPr>
        <w:spacing w:line="360" w:lineRule="auto"/>
        <w:ind w:firstLine="480" w:firstLineChars="200"/>
        <w:rPr>
          <w:rFonts w:hint="eastAsia" w:ascii="宋体" w:hAnsi="宋体"/>
          <w:b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完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工期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合同签订后，</w:t>
      </w:r>
      <w:r>
        <w:rPr>
          <w:rFonts w:ascii="宋体" w:hAnsi="宋体"/>
          <w:color w:val="auto"/>
          <w:sz w:val="24"/>
          <w:szCs w:val="24"/>
          <w:highlight w:val="none"/>
        </w:rPr>
        <w:t>在采购单位同意进场实施后的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60个</w:t>
      </w:r>
      <w:r>
        <w:rPr>
          <w:rFonts w:ascii="宋体" w:hAnsi="宋体"/>
          <w:color w:val="auto"/>
          <w:sz w:val="24"/>
          <w:szCs w:val="24"/>
          <w:highlight w:val="none"/>
        </w:rPr>
        <w:t>自然日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内交付。</w:t>
      </w:r>
    </w:p>
    <w:p w14:paraId="4B673E3E">
      <w:pPr>
        <w:spacing w:line="360" w:lineRule="auto"/>
        <w:ind w:firstLine="480" w:firstLineChars="200"/>
        <w:rPr>
          <w:rFonts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/>
          <w:color w:val="auto"/>
          <w:sz w:val="24"/>
          <w:highlight w:val="none"/>
          <w:lang w:eastAsia="zh-CN"/>
        </w:rPr>
        <w:t>服务期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：自验收合格之日起1年。</w:t>
      </w:r>
    </w:p>
    <w:p w14:paraId="2A05D6C7">
      <w:pPr>
        <w:spacing w:line="360" w:lineRule="auto"/>
        <w:rPr>
          <w:rFonts w:hint="eastAsia"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highlight w:val="none"/>
          <w:lang w:eastAsia="zh-CN"/>
        </w:rPr>
        <w:t>五、质量保证</w:t>
      </w:r>
    </w:p>
    <w:p w14:paraId="0C66F2F3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（一）乙方提供给甲方的服务必须是设计科学、技术成熟的。</w:t>
      </w:r>
    </w:p>
    <w:p w14:paraId="4BCE5059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（二）设计技术专利、外形专利、应用软件专利等均应符合我国有关法律及行业标准，凡因以上问题与第三方发生的任何纠纷均与甲方无关。</w:t>
      </w:r>
    </w:p>
    <w:p w14:paraId="726CA159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（三）安全可靠。在正常使用下不应对操作者造成任何人身伤害，如因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质量或标示不明确而对操作者造成损失的，甲方将保留依法索赔的权利。</w:t>
      </w:r>
    </w:p>
    <w:p w14:paraId="1A042CF1">
      <w:pPr>
        <w:spacing w:line="360" w:lineRule="auto"/>
        <w:ind w:firstLine="480" w:firstLineChars="200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（四）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服务内容</w:t>
      </w:r>
      <w:r>
        <w:rPr>
          <w:rFonts w:hint="eastAsia" w:ascii="宋体" w:hAnsi="宋体"/>
          <w:sz w:val="24"/>
          <w:lang w:eastAsia="zh-CN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 w14:paraId="56A92694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六</w:t>
      </w:r>
      <w:r>
        <w:rPr>
          <w:rFonts w:hint="eastAsia" w:ascii="宋体" w:hAnsi="宋体"/>
          <w:b/>
          <w:sz w:val="24"/>
          <w:lang w:eastAsia="zh-CN"/>
        </w:rPr>
        <w:t>、技术服务</w:t>
      </w:r>
    </w:p>
    <w:p w14:paraId="2BBBAB41">
      <w:pPr>
        <w:spacing w:line="360" w:lineRule="auto"/>
        <w:ind w:firstLine="482" w:firstLineChars="200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（一）技术资料：</w:t>
      </w:r>
    </w:p>
    <w:p w14:paraId="2C0B82F7">
      <w:pPr>
        <w:spacing w:line="360" w:lineRule="auto"/>
        <w:ind w:firstLine="482" w:firstLineChars="200"/>
        <w:rPr>
          <w:rFonts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4"/>
          <w:lang w:eastAsia="zh-CN"/>
        </w:rPr>
        <w:t>（二</w:t>
      </w:r>
      <w:r>
        <w:rPr>
          <w:rFonts w:hint="eastAsia"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）人员培训：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免费为使用单位培训操作人员至能达到操作要求。</w:t>
      </w:r>
    </w:p>
    <w:p w14:paraId="5C4AC4A2">
      <w:pPr>
        <w:spacing w:line="360" w:lineRule="auto"/>
        <w:ind w:firstLine="482" w:firstLineChars="200"/>
        <w:rPr>
          <w:rFonts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（三）服务承诺：</w:t>
      </w:r>
    </w:p>
    <w:p w14:paraId="7A1AEB07">
      <w:pPr>
        <w:spacing w:line="360" w:lineRule="auto"/>
        <w:ind w:firstLine="600" w:firstLineChars="250"/>
        <w:rPr>
          <w:rFonts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59874C9A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七</w:t>
      </w:r>
      <w:r>
        <w:rPr>
          <w:rFonts w:hint="eastAsia" w:ascii="宋体" w:hAnsi="宋体"/>
          <w:b/>
          <w:sz w:val="24"/>
          <w:lang w:eastAsia="zh-CN"/>
        </w:rPr>
        <w:t>、违约责任</w:t>
      </w:r>
    </w:p>
    <w:p w14:paraId="04501380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（一）按《中华人民共和国民法典》中的相关条款执行。</w:t>
      </w:r>
    </w:p>
    <w:p w14:paraId="1C0D14F1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（二）未按合同要求的提供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质量不能满足技术要求，采购人有权终止合同，甚至对供方违约行为进行追究。</w:t>
      </w:r>
    </w:p>
    <w:p w14:paraId="5EBCBB75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（三）如有纠纷，双方友好协商解决，协商不成时可诉讼到甲方所在地人民法院解决。</w:t>
      </w:r>
    </w:p>
    <w:p w14:paraId="455CF5D1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八</w:t>
      </w:r>
      <w:r>
        <w:rPr>
          <w:rFonts w:hint="eastAsia" w:ascii="宋体" w:hAnsi="宋体"/>
          <w:b/>
          <w:sz w:val="24"/>
          <w:lang w:eastAsia="zh-CN"/>
        </w:rPr>
        <w:t>、验收</w:t>
      </w:r>
    </w:p>
    <w:p w14:paraId="4ADCB31F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3175F441">
      <w:pPr>
        <w:spacing w:line="360" w:lineRule="auto"/>
        <w:rPr>
          <w:rFonts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4"/>
          <w:lang w:val="en-US" w:eastAsia="zh-CN"/>
        </w:rPr>
        <w:t>九</w:t>
      </w:r>
      <w:r>
        <w:rPr>
          <w:rFonts w:hint="eastAsia" w:ascii="宋体" w:hAnsi="宋体"/>
          <w:b/>
          <w:sz w:val="24"/>
          <w:lang w:eastAsia="zh-CN"/>
        </w:rPr>
        <w:t>、其</w:t>
      </w:r>
      <w:r>
        <w:rPr>
          <w:rFonts w:hint="eastAsia"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他事项</w:t>
      </w:r>
    </w:p>
    <w:p w14:paraId="27F16960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（一）陕西省财政厅政府采购管理处在合同</w:t>
      </w:r>
      <w:r>
        <w:rPr>
          <w:rFonts w:hint="eastAsia" w:ascii="宋体" w:hAnsi="宋体"/>
          <w:sz w:val="24"/>
          <w:lang w:eastAsia="zh-CN"/>
        </w:rPr>
        <w:t>的履行期间以及履行期后，可以随时检查项目的执行情况，对采购标准、采购内容进行调查核实，并对发现的问题进行处理。</w:t>
      </w:r>
    </w:p>
    <w:p w14:paraId="41E2F238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（二）本合同一式六份，甲方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四份，乙方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     </w:t>
      </w:r>
      <w:r>
        <w:rPr>
          <w:rFonts w:hint="eastAsia" w:ascii="宋体" w:hAnsi="宋体"/>
          <w:sz w:val="24"/>
          <w:lang w:eastAsia="zh-CN"/>
        </w:rPr>
        <w:t>一份，采购代理机构一份，甲乙双方签字盖章后生效。</w:t>
      </w:r>
    </w:p>
    <w:p w14:paraId="5CF4085A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</w:t>
      </w:r>
      <w:r>
        <w:rPr>
          <w:rFonts w:hint="eastAsia" w:ascii="宋体" w:hAnsi="宋体"/>
          <w:bCs/>
          <w:sz w:val="24"/>
          <w:lang w:eastAsia="zh-CN"/>
        </w:rPr>
        <w:t>磋商文件、响应文件也是合同的组成部分，合同中未约定的以磋商文件、响应文件为准。</w:t>
      </w:r>
    </w:p>
    <w:p w14:paraId="55F3F171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合同签订地点：   </w:t>
      </w:r>
    </w:p>
    <w:p w14:paraId="141FA5F8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合同签订时间：    年   月    日</w:t>
      </w:r>
    </w:p>
    <w:p w14:paraId="5E9E9255">
      <w:pPr>
        <w:spacing w:line="360" w:lineRule="auto"/>
        <w:rPr>
          <w:rFonts w:ascii="宋体" w:hAnsi="宋体"/>
          <w:sz w:val="24"/>
          <w:lang w:eastAsia="zh-CN"/>
        </w:rPr>
      </w:pPr>
    </w:p>
    <w:p w14:paraId="4F4CDD86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甲    方                           乙    方</w:t>
      </w:r>
    </w:p>
    <w:p w14:paraId="15A0FBC1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单位名称：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  单位名称： </w:t>
      </w:r>
    </w:p>
    <w:p w14:paraId="039C610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5411E8AE">
      <w:pPr>
        <w:spacing w:line="360" w:lineRule="auto"/>
        <w:rPr>
          <w:rFonts w:ascii="宋体" w:hAnsi="宋体"/>
          <w:sz w:val="24"/>
        </w:rPr>
      </w:pPr>
    </w:p>
    <w:p w14:paraId="023036DA">
      <w:pPr>
        <w:spacing w:line="360" w:lineRule="auto"/>
        <w:rPr>
          <w:rFonts w:ascii="宋体" w:hAnsi="宋体"/>
          <w:sz w:val="24"/>
        </w:rPr>
      </w:pPr>
    </w:p>
    <w:p w14:paraId="59C11D8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23D61D32">
      <w:pPr>
        <w:spacing w:line="360" w:lineRule="auto"/>
        <w:rPr>
          <w:rFonts w:ascii="宋体" w:hAnsi="宋体"/>
          <w:sz w:val="24"/>
        </w:rPr>
      </w:pPr>
    </w:p>
    <w:p w14:paraId="519D369A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联系电话：  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联系电话： </w:t>
      </w:r>
    </w:p>
    <w:p w14:paraId="04D50FF3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开 户 行：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开 户 行： </w:t>
      </w:r>
    </w:p>
    <w:p w14:paraId="3CD43283">
      <w:pPr>
        <w:spacing w:line="360" w:lineRule="auto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账    号：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>账    号：</w:t>
      </w:r>
    </w:p>
    <w:p w14:paraId="266A5C39">
      <w:pPr>
        <w:keepLines/>
        <w:kinsoku/>
        <w:wordWrap w:val="0"/>
        <w:topLinePunct/>
        <w:autoSpaceDE/>
        <w:autoSpaceDN/>
        <w:spacing w:line="360" w:lineRule="auto"/>
        <w:ind w:right="48"/>
        <w:rPr>
          <w:rFonts w:ascii="宋体" w:hAnsi="宋体" w:eastAsia="宋体" w:cs="宋体"/>
          <w:sz w:val="24"/>
          <w:szCs w:val="24"/>
          <w:lang w:eastAsia="zh-CN"/>
        </w:rPr>
      </w:pPr>
    </w:p>
    <w:p w14:paraId="7EBE4A55">
      <w:pPr>
        <w:pStyle w:val="3"/>
        <w:rPr>
          <w:rFonts w:eastAsiaTheme="minorEastAsia"/>
          <w:lang w:eastAsia="zh-CN"/>
        </w:rPr>
      </w:pPr>
    </w:p>
    <w:p w14:paraId="7EF34228">
      <w:pPr>
        <w:rPr>
          <w:rFonts w:eastAsiaTheme="minorEastAsia"/>
          <w:lang w:eastAsia="zh-CN"/>
        </w:rPr>
      </w:pPr>
    </w:p>
    <w:p w14:paraId="2AD83267">
      <w:pPr>
        <w:jc w:val="both"/>
      </w:pPr>
      <w:bookmarkStart w:id="0" w:name="_GoBack"/>
      <w:bookmarkEnd w:id="0"/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6E70B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B88555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B88555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31D7CB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31D7CB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2D63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2025-10-28T05:16:16Z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