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版本号：WSQ-2025-69620251028001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纺织品修复室恒温恒湿系统、压缩空气系统、实验室智能化、实验室给排水项目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WSQ-2025-696</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纺织品修复室恒温恒湿系统、压缩空气系统、实验室智能化、实验室给排水项目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WSQ-2025-696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纺织品修复室恒温恒湿系统、压缩空气系统、实验室智能化、实验室给排水项目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本项目采购需求涵盖四个专项系统工程，所有设备、材料、施工及服务均需符合国家及行业最新标准、规范，并满足博物馆实验室特殊环境下的高可靠性、高稳定性及安全性要求。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采购包1（纺织品修复室恒温恒湿系统、压缩空气系统、实验室智能、实验室给排水）：属于专门面向中小企业采购。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2、企业资质要求：供应商须具有电子与智能化工程专业承包二级以上（含二级）资质，且具备有效的安全生产许可证；供应商需在项目电子化交易系统中按要求上传相应证明文件并进行电子签章；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3、拟派项目经理资质和专业要求：拟派项目经理具备机电工程专业二级以上（含二级）注册建造师证书和安全生产考核合格证（B证），在本单位注册并提供无在建工程承诺书；供应商需在项目电子化交易系统中按要求上传相应证明文件并进行电子签章；</w:t>
      </w:r>
    </w:p>
    <w:p>
      <w:pPr>
        <w:pStyle w:val="null3"/>
      </w:pPr>
      <w:r>
        <w:rPr>
          <w:rFonts w:ascii="仿宋_GB2312" w:hAnsi="仿宋_GB2312" w:cs="仿宋_GB2312" w:eastAsia="仿宋_GB2312"/>
        </w:rPr>
        <w:t>4、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6、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7、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8、无重大违法记录：供应商参加政府采购活动前3年内在经营活动中没有重大违法记录；供应商需在项目电子化交易系统中按要求填写《响应函》完成承诺并进行电子签章。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9、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10、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11、控股管理关系：单位负责人为同一人或者存在直接控股、管理关系的供应商，不得参加同一合同下的政府采购活动；供应商需在项目电子化交易系统中按要求填写《响应函》完成承诺并进行电子签章。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12、联合体：本项目不接受联合体响应，不允许分包；供应商需在项目电子化交易系统中按要求填写《承诺书》完成承诺并进行电子签章。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13、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按照优惠后的下浮费率收费计取，成交服务费按差额定率累进法计算，分包的项目，按包收取。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纺织品修复室恒温恒湿系统、压缩空气系统、实验室智能、实验室给排水</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标的名称：纺织品修复室恒温恒湿系统、压缩空气系统、实验室智能、实验室给排水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本项目采购需求涵盖四个专项系统工程，所有设备、材料、施工及服务均需符合国家及行业最新标准、规范，并满足博物馆实验室特殊环境下的高可靠性、高稳定性及安全性要求。</w:t>
            </w:r>
          </w:p>
          <w:p>
            <w:pPr>
              <w:pStyle w:val="null3"/>
              <w:jc w:val="both"/>
            </w:pPr>
            <w:r>
              <w:rPr>
                <w:rFonts w:ascii="仿宋_GB2312" w:hAnsi="仿宋_GB2312" w:cs="仿宋_GB2312" w:eastAsia="仿宋_GB2312"/>
                <w:sz w:val="24"/>
              </w:rPr>
              <w:t>一、纺织品修复室恒温恒湿系统</w:t>
            </w:r>
          </w:p>
          <w:p>
            <w:pPr>
              <w:pStyle w:val="null3"/>
              <w:jc w:val="both"/>
            </w:pPr>
            <w:r>
              <w:rPr>
                <w:rFonts w:ascii="仿宋_GB2312" w:hAnsi="仿宋_GB2312" w:cs="仿宋_GB2312" w:eastAsia="仿宋_GB2312"/>
                <w:sz w:val="24"/>
              </w:rPr>
              <w:t>1. 核心需求：为纺织品文物修复、存放提供持续、稳定、均匀的恒温恒湿环境，确保文物安全。</w:t>
            </w:r>
          </w:p>
          <w:p>
            <w:pPr>
              <w:pStyle w:val="null3"/>
              <w:jc w:val="both"/>
            </w:pPr>
            <w:r>
              <w:rPr>
                <w:rFonts w:ascii="仿宋_GB2312" w:hAnsi="仿宋_GB2312" w:cs="仿宋_GB2312" w:eastAsia="仿宋_GB2312"/>
                <w:sz w:val="24"/>
              </w:rPr>
              <w:t>2. 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）温湿度范围：温度可调控范围：</w:t>
            </w:r>
            <w:r>
              <w:rPr>
                <w:rFonts w:ascii="仿宋_GB2312" w:hAnsi="仿宋_GB2312" w:cs="仿宋_GB2312" w:eastAsia="仿宋_GB2312"/>
                <w:sz w:val="24"/>
              </w:rPr>
              <w:t>18℃-25℃；湿度可调控范围：45%RH-60%RH。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）控制精度：温度控制精度：</w:t>
            </w:r>
            <w:r>
              <w:rPr>
                <w:rFonts w:ascii="仿宋_GB2312" w:hAnsi="仿宋_GB2312" w:cs="仿宋_GB2312" w:eastAsia="仿宋_GB2312"/>
                <w:sz w:val="24"/>
              </w:rPr>
              <w:t>±1.0℃；湿度控制精度：±3%RH。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）设备要求：采用工业级恒温恒湿机组，具备高精度传感器、</w:t>
            </w:r>
            <w:r>
              <w:rPr>
                <w:rFonts w:ascii="仿宋_GB2312" w:hAnsi="仿宋_GB2312" w:cs="仿宋_GB2312" w:eastAsia="仿宋_GB2312"/>
                <w:sz w:val="24"/>
              </w:rPr>
              <w:t>PLC智能控制系统、联动控制功能。机组需高效节能、低噪音运行，具备断电自启、故障报警等保护功能。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）材料要求：风管采用优质镀锌钢板，保温材料为难燃</w:t>
            </w:r>
            <w:r>
              <w:rPr>
                <w:rFonts w:ascii="仿宋_GB2312" w:hAnsi="仿宋_GB2312" w:cs="仿宋_GB2312" w:eastAsia="仿宋_GB2312"/>
                <w:sz w:val="24"/>
              </w:rPr>
              <w:t>B1级。所有送、回风口需采用铝合金材质，带微孔均流膜，确保送风均匀柔和，无吹风感。</w:t>
            </w:r>
          </w:p>
          <w:p>
            <w:pPr>
              <w:pStyle w:val="null3"/>
              <w:jc w:val="both"/>
            </w:pPr>
            <w:r>
              <w:rPr>
                <w:rFonts w:ascii="仿宋_GB2312" w:hAnsi="仿宋_GB2312" w:cs="仿宋_GB2312" w:eastAsia="仿宋_GB2312"/>
                <w:sz w:val="24"/>
              </w:rPr>
              <w:t>二、压缩空气系统</w:t>
            </w:r>
          </w:p>
          <w:p>
            <w:pPr>
              <w:pStyle w:val="null3"/>
              <w:jc w:val="both"/>
            </w:pPr>
            <w:r>
              <w:rPr>
                <w:rFonts w:ascii="仿宋_GB2312" w:hAnsi="仿宋_GB2312" w:cs="仿宋_GB2312" w:eastAsia="仿宋_GB2312"/>
                <w:sz w:val="24"/>
              </w:rPr>
              <w:t>1. 核心需求：为实验室气动仪器、工具提供持续、稳定、洁净、干燥的压缩空气。</w:t>
            </w:r>
          </w:p>
          <w:p>
            <w:pPr>
              <w:pStyle w:val="null3"/>
              <w:jc w:val="both"/>
            </w:pPr>
            <w:r>
              <w:rPr>
                <w:rFonts w:ascii="仿宋_GB2312" w:hAnsi="仿宋_GB2312" w:cs="仿宋_GB2312" w:eastAsia="仿宋_GB2312"/>
                <w:sz w:val="24"/>
              </w:rPr>
              <w:t>2. 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1）气源质量：出口空气品质需达到ISO 8573-1:2010 [2:2:1] 标准及以上。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2）设备要求：配置变频节能空压机，配套冷冻式干燥机、精密过滤器（三级以上过滤）、储气罐等。系统需全自动运行，具备压力、温度、压差报警及联动控制功能。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3）管道要求：输送管道采用全闭式循环系统，所有连接处密闭，确保无泄漏、无污染。管道末端压力与流量需满足所有用气设备同时工作的最高需求。</w:t>
            </w:r>
          </w:p>
          <w:p>
            <w:pPr>
              <w:pStyle w:val="null3"/>
              <w:jc w:val="both"/>
            </w:pPr>
            <w:r>
              <w:rPr>
                <w:rFonts w:ascii="仿宋_GB2312" w:hAnsi="仿宋_GB2312" w:cs="仿宋_GB2312" w:eastAsia="仿宋_GB2312"/>
                <w:sz w:val="24"/>
              </w:rPr>
              <w:t>三、实验室智能化工程</w:t>
            </w:r>
          </w:p>
          <w:p>
            <w:pPr>
              <w:pStyle w:val="null3"/>
              <w:jc w:val="both"/>
            </w:pPr>
            <w:r>
              <w:rPr>
                <w:rFonts w:ascii="仿宋_GB2312" w:hAnsi="仿宋_GB2312" w:cs="仿宋_GB2312" w:eastAsia="仿宋_GB2312"/>
                <w:sz w:val="24"/>
              </w:rPr>
              <w:t>1. 核心需求：传统的明装电气系统无法满足实验室环境美观、防尘、防腐蚀及灵活变动的要求。实验室精密仪器设备众多，对供电稳定性、安全性及布局合理性要求极高。因此，需要为实验室工作台、仪器设备提供安全、美观、便捷的供电接入点，满足不同设备的电源需求。</w:t>
            </w:r>
          </w:p>
          <w:p>
            <w:pPr>
              <w:pStyle w:val="null3"/>
              <w:jc w:val="both"/>
            </w:pPr>
            <w:r>
              <w:rPr>
                <w:rFonts w:ascii="仿宋_GB2312" w:hAnsi="仿宋_GB2312" w:cs="仿宋_GB2312" w:eastAsia="仿宋_GB2312"/>
                <w:sz w:val="24"/>
              </w:rPr>
              <w:t>2. 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1）产品标准：所有插座面板、暗盒均需采用符合国家CCC认证的知名品牌产品。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2）材质要求：插座面板需采用阻燃PC材料，内部载流件为锡磷青铜材质，弹性好，接触可靠。实验室区域建议采用防溅水型面板或带有安全保护门的款式。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3）性能要求：线缆需为纯铜导体，具有清晰的米标标识。最低性能要求为：支持千兆以太网（1000BASE-T）传输，并具有良好的抗干扰性能。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4）敷设要求：缆线敷设时拉力不得超过规定值。避免与强电管道紧贴平行敷设，以防干扰。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5）施工要求：管道敷设应横平竖直，固定点间距均匀。所有管口必须光滑无毛刺，并加装护口以防止划伤电缆。管道连接处必须紧密牢固，并做好接地处理。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6）开孔要求：开孔作业前必须使用专业探测器确认墙内无暗装水电管线及结构钢筋。开孔位置、尺寸需严格按施工图纸定位，使用金刚石薄壁钻头、水钻或线锯等专业工具进行切割，保证切口平整、规范。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7）孔洞封堵：管线敷设完成后，对墙面孔洞的封堵必须采用防火泥（有机堵料） 或无机耐火材料进行密实封堵，其耐火极限不得低于墙体的耐火极限，以满足消防规范。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8）墙面恢复：封堵完成后，需由专业抹灰工采用与原墙面相同的材料和工艺（如水泥砂浆抹灰、刮腻子等）进行墙面恢复，做到平整、无色差，达到交付标准。</w:t>
            </w:r>
          </w:p>
          <w:p>
            <w:pPr>
              <w:pStyle w:val="null3"/>
              <w:jc w:val="both"/>
            </w:pPr>
            <w:r>
              <w:rPr>
                <w:rFonts w:ascii="仿宋_GB2312" w:hAnsi="仿宋_GB2312" w:cs="仿宋_GB2312" w:eastAsia="仿宋_GB2312"/>
                <w:sz w:val="24"/>
              </w:rPr>
              <w:t>四、实验室给排水工程</w:t>
            </w:r>
          </w:p>
          <w:p>
            <w:pPr>
              <w:pStyle w:val="null3"/>
              <w:jc w:val="both"/>
            </w:pPr>
            <w:r>
              <w:rPr>
                <w:rFonts w:ascii="仿宋_GB2312" w:hAnsi="仿宋_GB2312" w:cs="仿宋_GB2312" w:eastAsia="仿宋_GB2312"/>
                <w:sz w:val="24"/>
              </w:rPr>
              <w:t>1. 核心需求：提供满足实验需求的优质给水，并安全、合规地排放各类实验废水。</w:t>
            </w:r>
          </w:p>
          <w:p>
            <w:pPr>
              <w:pStyle w:val="null3"/>
              <w:jc w:val="both"/>
            </w:pPr>
            <w:r>
              <w:rPr>
                <w:rFonts w:ascii="仿宋_GB2312" w:hAnsi="仿宋_GB2312" w:cs="仿宋_GB2312" w:eastAsia="仿宋_GB2312"/>
                <w:sz w:val="24"/>
              </w:rPr>
              <w:t>2. 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1）普通实验用水采用PPR管道，纯水采用UPVC或316L不锈钢管道，循环敷设，防止死水滋生。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2）管道采用防腐材料PVC或PP材料，明装敷设，便于检修。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3）下水管道需设置水封，防止废气回流。地面设置防腐地漏。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符合国家标准、行业标准以及企业标准。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1、工程施工必须符合国家及相关规范要求； 2、成交人必须确保及时并一次通过技术监督部门及相关部门的验收，满足博物馆运行的要求； 3、施工时和竣工移交前有义务做好施工现场的成品保护； 4、成交人购置的所有部件、材料必须有合格证、权威机构的测试报告等材质证明； 5、成交人购置的材料设备需经发包人认可，并对产品品牌、性能及价格进行确认； 6、保证所供产品进货渠道正规，确保无水货、假货、翻新货及残次品，保证核心产品与原使用平台无障碍对接，并能按期交货。 7、工程质量：符合国家标准、行业标准以及企业标准； 8、工期：一年； 9、工程地点：陕西省考古研究院； 10、质保期：自采购人验收合格之日起质保五年； 11、付款方式： （1）付款条件说明：合同生效后，达到付款条件起10日，支付合同总金额的50.00%； （2）付款条件说明：中期验收合格后，达到付款条件起10日，支付合同总金额的40.00%； （3）付款条件说明：项目验收合格后，达到付款条件起10日，支付合同总金额的10.00%。 12、服务要求：需要提供详细施工图纸、系统操作培训、完整的竣工资料及设备清单。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供应商须具有电子与智能化工程专业承包二级以上（含二级）资质，且具备有效的安全生产许可证；供应商需在项目电子化交易系统中按要求上传相应证明文件并进行电子签章；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具备机电工程专业二级以上（含二级）注册建造师证书和安全生产考核合格证（B证），在本单位注册并提供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项目经理无在建承诺书.docx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已标价工程量清单.docx 类似项目业绩一览表.docx 中小企业声明函 技术服务合同条款及其他商务要求应答表 承诺书.docx 响应文件封面 拟派人员配置情况表.docx 法定代表人身份证明书.docx 供应商应提交的相关资格证明材料.docx 项目经理无在建承诺书.docx 残疾人福利性单位声明函 报价函 标的清单 响应函 报价表.docx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报价唯一，且未超过预算金额或最高限价；</w:t>
            </w:r>
          </w:p>
        </w:tc>
        <w:tc>
          <w:tcPr>
            <w:tcW w:type="dxa" w:w="1661"/>
          </w:tcPr>
          <w:p>
            <w:pPr>
              <w:pStyle w:val="null3"/>
            </w:pPr>
            <w:r>
              <w:rPr>
                <w:rFonts w:ascii="仿宋_GB2312" w:hAnsi="仿宋_GB2312" w:cs="仿宋_GB2312" w:eastAsia="仿宋_GB2312"/>
              </w:rPr>
              <w:t>报价函 标的清单 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工期、工程地点、工程质量、质保期、付款条件</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法律、法规和磋商文件规定的其他无效情形。</w:t>
            </w:r>
          </w:p>
        </w:tc>
        <w:tc>
          <w:tcPr>
            <w:tcW w:type="dxa" w:w="1661"/>
          </w:tcPr>
          <w:p>
            <w:pPr>
              <w:pStyle w:val="null3"/>
            </w:pPr>
            <w:r>
              <w:rPr>
                <w:rFonts w:ascii="仿宋_GB2312" w:hAnsi="仿宋_GB2312" w:cs="仿宋_GB2312" w:eastAsia="仿宋_GB2312"/>
              </w:rPr>
              <w:t>已标价工程量清单 已标价工程量清单.docx 类似项目业绩一览表.docx 中小企业声明函 技术服务合同条款及其他商务要求应答表 承诺书.docx 响应文件封面 拟派人员配置情况表.docx 法定代表人身份证明书.docx 供应商应提交的相关资格证明材料.docx 项目经理无在建承诺书.docx 残疾人福利性单位声明函 报价函 标的清单 响应函 报价表.docx 法定代表人授权委托书.docx 服务方案.docx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所投产品技术参数清楚、明确，并能完全满足磋商文件中所有参数条款要求，得22分，每负偏离一条扣1分，扣完为止。 注：未按磋商文件要求提供相关检验报告或者证明的都视为负偏离（如应答时缺项，则视同负偏离处理）。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根据本项目实际需求及特点，制定实施方案，实施方案内容包含： ①需求现状分析； ②环境数据分析； ③设备施工部署、技术人员配备、实施计划及相应保障措施；④深化设计（需包括相关施工图纸）。 二、评审标准 1、完整性：切合本项目实际情况，方案内容齐全，对磋商文件中各项要求有详细描述及其他内容的补充； 2、可实施性：方案内容符合项目实际特点，合理、恰当； 3、针对性：切合本项目实际情况，根据磋商文件要求提出针对本项目实际操作性强的措施方案。 三、赋分标准（满分 12分） ①需求现状分析：每完全满足一个评审标准得 1 分，满分 3分； ②环境数据分析：每完全满足一个评审标准得 1分，满分 3 分； ③设备施工部署、技术人员配备、实施计划及相应保障措施：每 完全满足一个评审标准得 1 分，满分 3 分； ④深化设计（需包括相关施工图纸）：每完全满足一个评审标准得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针对本项目编制具体、可行的安全技术措施，包括安全管理体系、安全责任归属划分、安全警戒标语、施工人员安全警示服和安全帽穿配要求、安全教育培训）等。以及本项目的施工现场的临时管理措施、文明施工保障措施等，确保施工作业符合安全文明要求。 根据其内容的全面性、详细程度等赋分。 1、措施全面、详细，得8分； 2、措施较为全面、详细，得5分； 3、措施粗略，得3分；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 ①售后服务承诺； ②售后服务内容； ③应急措施； ④维修管理响应时间、响应速度及响应方式。 二、评审标准 1、完整性：切合本项目实际情况，方案内容齐全，对磋商文件中各项要求有详细描述及其他内容的补充； 2、针对性：切合本项目实际情况，根据磋商文件要求提出针对本项目实际操作性强的措施方案。 三、赋分标准（满分 4 分） ①售后服务承诺：每完全满足一个评审标准得 0.5 分，满分 1 分； ②售后服务内容：每完全满足一个评审标准得 0.5 分，满分 1 分； ③应急措施：每完全满足一个评审标准得 0.5 分，满分 1 分； ④维修管理响应时间、响应速度及响应方式：每完全满足一个评 审标准得 0.5 分，满分 1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技术服务团队</w:t>
            </w:r>
          </w:p>
        </w:tc>
        <w:tc>
          <w:tcPr>
            <w:tcW w:type="dxa" w:w="2492"/>
          </w:tcPr>
          <w:p>
            <w:pPr>
              <w:pStyle w:val="null3"/>
            </w:pPr>
            <w:r>
              <w:rPr>
                <w:rFonts w:ascii="仿宋_GB2312" w:hAnsi="仿宋_GB2312" w:cs="仿宋_GB2312" w:eastAsia="仿宋_GB2312"/>
              </w:rPr>
              <w:t>针对本项目的项目组织管理机构配备。 有专业的服务团队和技术人员支持（以响应文件成交应商人员情况表为依据）。 1、团队架构清晰、人员配备齐全（如项目经理、现场安全管理人员、技术人员、辅助人员等），得6分。 2、团队架构不清晰，人员配备基本满足招标要求，得4分。 3、团队架构混乱，人员配备不足，无法满足招标要求，得2分；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拟派人员配置情况表.docx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针对本项目提供资源配置计划，包括明确的拟投入的主要施工机械设备计划、主要材料进场计划、劳动力投入计划等。根据资源配置的合理性、配备的完善及齐全程度，横向比较，综合评审。 1、资源配置合理、配备完善、齐全、先进可行，得6分； 2、资源配置较合理、配备基本完善，得4分； 3、资源配置不够合理、配备不够完善，得2分；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供应商针对本项目提供其他利于本项目开展的承诺（例如：增值服务、优惠条件等），每提供一条得 1 分，满分 2 分。不承诺不得分。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供应商提供2022年1月1日至今承接过的同类项目业绩，以合同复印件加盖公章为准，每提供一份计2分，满分10分，未提供得0分。 注：业绩证明材料以合同为准，须在磋商响应文件中附以上证明材料的扫描件加盖单位公章。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1、经初审合格的磋商响应文件，其最终磋商报价为有效磋商报价。 2、本次磋商设最高限价（即采购预算价）。供应商的磋商报价超过招标最高限价的视为废标，不再参与下一步评审。 3、满足磋商文件实质性要求且最终报价最低的供应商的价格为磋商基准价，其价格分为满分30分。 4、磋商报价得分=（磋商基准价/最终磋商报价）×30的公式计算得分。 5、磋商报价不完整的，不进入评标标准价的计算，本项得0分。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详见附件：项目经理无在建承诺书.docx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