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版本号：ZMZB2025XBDX-39420251118002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400M核磁共振仪采购项目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ZMZB2025XBDX-394</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400M核磁共振仪采购项目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ZMZB2025XBDX-394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400M核磁共振仪采购项目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400M核磁共振仪采购项目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2、财务状况证明：供应商提供2024年度经审计完整的财务审计报告（成立时间至提交响应文件截止时间不足一年的可提供成立后任意时段的资产负债表），或其开标前三个月内 银行出具的资信证明，或财政部门认可的政府采购专业担保机构出具的响应担保函；（注：①提供财务报告的，内容至少包括审计报告、附注。②提供资信证明的，必须提供资信证明全部页以及基本户信息（提供开户许可证或提供基本银行账户信息）。银行出具的存款证明不能代替资信证明。）</w:t>
      </w:r>
    </w:p>
    <w:p>
      <w:pPr>
        <w:pStyle w:val="null3"/>
      </w:pPr>
      <w:r>
        <w:rPr>
          <w:rFonts w:ascii="仿宋_GB2312" w:hAnsi="仿宋_GB2312" w:cs="仿宋_GB2312" w:eastAsia="仿宋_GB2312"/>
        </w:rPr>
        <w:t>3、税收缴纳证明：提供2025年1月（含1月）以来任意时间段的依法缴纳税收的相关凭据（时 间以税款所属时期为准），凭据应有税务机关或代收机关的公章或业务专用章。依法免税或无须缴纳税收的应提供说明；成立不足一个月的提供将依法纳税的承诺书(格式自拟)。（注:①零报税的提供申报成功的凭证。②时间以税款所属时段为准。）</w:t>
      </w:r>
    </w:p>
    <w:p>
      <w:pPr>
        <w:pStyle w:val="null3"/>
      </w:pPr>
      <w:r>
        <w:rPr>
          <w:rFonts w:ascii="仿宋_GB2312" w:hAnsi="仿宋_GB2312" w:cs="仿宋_GB2312" w:eastAsia="仿宋_GB2312"/>
        </w:rPr>
        <w:t>4、社会保障资金缴纳证明：提供2025年1月（含1月）以来任意时间段的社会保障资金缴存单 据或社保机构开具的社会保险参保缴费情况证明。依法不需要缴纳社会保障资金的供应商应提供 相关文件证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进口授权：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9、本项目不接受联合体投标：本项目不接受联合体投标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西安市长安区郭杜教育科技产业区学府大道1号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 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马魏臣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说明：合同签订前缴纳，缴纳金额为合同金额的5%；缴纳方式：银行转账、支票/汇票/本票、保函/保险 ；退还方式：待验收合格后凭收据和验收单复印件无息退还。 转账账号：西北大学 611301015018001145006 交通银行太白路支行 转账金额到账后，可持银行回执到西北大学国有资产管理处换取收据。 待合同执行完毕、服务验收合格后凭验收单和缴款收据，合同履约保证金予以无息退还。如遇下列情况之一者，合同履约保证金不予退还，作为对招标人的赔偿： （1）合同签订后不能按合同时限要求供货或安装调试； （2）所供货物不合格、与合同不符； （3）不能按合同履约； （4）货物验收不合格。</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代理服务费收费标准：参照国家计委颁布的《招标代理服务收费管理暂行办法》（计价格[2002]1980号）和发改办价格[2003]857号文件等法律法规规定的计价标准80%收取。 供应商将招标代理服务费计入响应报价但不单独列明，中标单位在领取中标通知书前，须向采购代理机构一次性支付招标代理服务费；代理服务费以转账、电汇或现金等形式交纳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 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400M核磁共振仪采购项目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3,200,000.00</w:t>
      </w:r>
    </w:p>
    <w:p>
      <w:pPr>
        <w:pStyle w:val="null3"/>
      </w:pPr>
      <w:r>
        <w:rPr>
          <w:rFonts w:ascii="仿宋_GB2312" w:hAnsi="仿宋_GB2312" w:cs="仿宋_GB2312" w:eastAsia="仿宋_GB2312"/>
        </w:rPr>
        <w:t>采购包最高限价（元）: 3,200,000.00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400M核磁共振仪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标的名称：400M核磁共振仪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1、工作条件：</w:t>
            </w:r>
          </w:p>
          <w:p>
            <w:pPr>
              <w:pStyle w:val="null3"/>
              <w:jc w:val="both"/>
            </w:pPr>
            <w:r>
              <w:rPr>
                <w:rFonts w:ascii="仿宋_GB2312" w:hAnsi="仿宋_GB2312" w:cs="仿宋_GB2312" w:eastAsia="仿宋_GB2312"/>
                <w:sz w:val="20"/>
              </w:rPr>
              <w:t>1.1 电源电压：AC 220V</w:t>
            </w:r>
          </w:p>
          <w:p>
            <w:pPr>
              <w:pStyle w:val="null3"/>
              <w:jc w:val="both"/>
            </w:pPr>
            <w:r>
              <w:rPr>
                <w:rFonts w:ascii="仿宋_GB2312" w:hAnsi="仿宋_GB2312" w:cs="仿宋_GB2312" w:eastAsia="仿宋_GB2312"/>
                <w:sz w:val="20"/>
              </w:rPr>
              <w:t>1.2 相对湿度：≤70％</w:t>
            </w:r>
          </w:p>
          <w:p>
            <w:pPr>
              <w:pStyle w:val="null3"/>
              <w:jc w:val="both"/>
            </w:pPr>
            <w:r>
              <w:rPr>
                <w:rFonts w:ascii="仿宋_GB2312" w:hAnsi="仿宋_GB2312" w:cs="仿宋_GB2312" w:eastAsia="仿宋_GB2312"/>
                <w:sz w:val="20"/>
              </w:rPr>
              <w:t>2、主要技术规格与要求：</w:t>
            </w:r>
          </w:p>
          <w:p>
            <w:pPr>
              <w:pStyle w:val="null3"/>
              <w:jc w:val="both"/>
            </w:pPr>
            <w:r>
              <w:rPr>
                <w:rFonts w:ascii="仿宋_GB2312" w:hAnsi="仿宋_GB2312" w:cs="仿宋_GB2312" w:eastAsia="仿宋_GB2312"/>
                <w:sz w:val="20"/>
              </w:rPr>
              <w:t>波谱仪</w:t>
            </w:r>
            <w:r>
              <w:rPr>
                <w:rFonts w:ascii="仿宋_GB2312" w:hAnsi="仿宋_GB2312" w:cs="仿宋_GB2312" w:eastAsia="仿宋_GB2312"/>
                <w:sz w:val="20"/>
              </w:rPr>
              <w:t>≥2个射频发射通道、能以正常和反向方式进行检测的全频段接收通道、该设备要含有氘核锁场及氘核梯度自动匀场附件、Z脉冲梯度场，具有高精度变温实验功能，具有获得最佳一维、二维及多维谱图的数据处理速度与存贮能力</w:t>
            </w:r>
          </w:p>
          <w:p>
            <w:pPr>
              <w:pStyle w:val="null3"/>
              <w:jc w:val="both"/>
            </w:pPr>
            <w:r>
              <w:rPr>
                <w:rFonts w:ascii="仿宋_GB2312" w:hAnsi="仿宋_GB2312" w:cs="仿宋_GB2312" w:eastAsia="仿宋_GB2312"/>
                <w:sz w:val="20"/>
              </w:rPr>
              <w:t>2.1 超导磁体</w:t>
            </w:r>
          </w:p>
          <w:p>
            <w:pPr>
              <w:pStyle w:val="null3"/>
              <w:jc w:val="both"/>
            </w:pPr>
            <w:r>
              <w:rPr>
                <w:rFonts w:ascii="仿宋_GB2312" w:hAnsi="仿宋_GB2312" w:cs="仿宋_GB2312" w:eastAsia="仿宋_GB2312"/>
                <w:sz w:val="20"/>
              </w:rPr>
              <w:t>▲2.1.1具有低液氦与液氮消耗、高稳定性、高均匀性、抗干扰超屏蔽超导磁体或自屏蔽磁体，磁场强度≥9T，磁体强度低温匀场线圈：≥14组，室温匀场线圈：≥36组</w:t>
            </w:r>
          </w:p>
          <w:p>
            <w:pPr>
              <w:pStyle w:val="null3"/>
              <w:jc w:val="both"/>
            </w:pPr>
            <w:r>
              <w:rPr>
                <w:rFonts w:ascii="仿宋_GB2312" w:hAnsi="仿宋_GB2312" w:cs="仿宋_GB2312" w:eastAsia="仿宋_GB2312"/>
                <w:sz w:val="20"/>
              </w:rPr>
              <w:t>★2.1.2 磁场漂移：≤4Hz／小时</w:t>
            </w:r>
          </w:p>
          <w:p>
            <w:pPr>
              <w:pStyle w:val="null3"/>
              <w:jc w:val="both"/>
            </w:pPr>
            <w:r>
              <w:rPr>
                <w:rFonts w:ascii="仿宋_GB2312" w:hAnsi="仿宋_GB2312" w:cs="仿宋_GB2312" w:eastAsia="仿宋_GB2312"/>
                <w:sz w:val="20"/>
              </w:rPr>
              <w:t>★2.1.3液氦维持时间：≥ 300天</w:t>
            </w:r>
          </w:p>
          <w:p>
            <w:pPr>
              <w:pStyle w:val="null3"/>
              <w:jc w:val="both"/>
            </w:pPr>
            <w:r>
              <w:rPr>
                <w:rFonts w:ascii="仿宋_GB2312" w:hAnsi="仿宋_GB2312" w:cs="仿宋_GB2312" w:eastAsia="仿宋_GB2312"/>
                <w:sz w:val="20"/>
              </w:rPr>
              <w:t>★2.1.4液氦消耗速率：≤13mL／小时</w:t>
            </w:r>
          </w:p>
          <w:p>
            <w:pPr>
              <w:pStyle w:val="null3"/>
              <w:jc w:val="both"/>
            </w:pPr>
            <w:r>
              <w:rPr>
                <w:rFonts w:ascii="仿宋_GB2312" w:hAnsi="仿宋_GB2312" w:cs="仿宋_GB2312" w:eastAsia="仿宋_GB2312"/>
                <w:sz w:val="20"/>
              </w:rPr>
              <w:t>2.1.5 5高斯强度处横向距离≤0.5 米</w:t>
            </w:r>
          </w:p>
          <w:p>
            <w:pPr>
              <w:pStyle w:val="null3"/>
              <w:jc w:val="both"/>
            </w:pPr>
            <w:r>
              <w:rPr>
                <w:rFonts w:ascii="仿宋_GB2312" w:hAnsi="仿宋_GB2312" w:cs="仿宋_GB2312" w:eastAsia="仿宋_GB2312"/>
                <w:sz w:val="20"/>
              </w:rPr>
              <w:t>2.1.6带有液氦液面自动监视和最小液面自动报警装置</w:t>
            </w:r>
          </w:p>
          <w:p>
            <w:pPr>
              <w:pStyle w:val="null3"/>
              <w:jc w:val="both"/>
            </w:pPr>
            <w:r>
              <w:rPr>
                <w:rFonts w:ascii="仿宋_GB2312" w:hAnsi="仿宋_GB2312" w:cs="仿宋_GB2312" w:eastAsia="仿宋_GB2312"/>
                <w:sz w:val="20"/>
              </w:rPr>
              <w:t>2.2 射频发射系统</w:t>
            </w:r>
          </w:p>
          <w:p>
            <w:pPr>
              <w:pStyle w:val="null3"/>
              <w:jc w:val="both"/>
            </w:pPr>
            <w:r>
              <w:rPr>
                <w:rFonts w:ascii="仿宋_GB2312" w:hAnsi="仿宋_GB2312" w:cs="仿宋_GB2312" w:eastAsia="仿宋_GB2312"/>
                <w:sz w:val="20"/>
              </w:rPr>
              <w:t>2.2.1 射频通道数≥2个</w:t>
            </w:r>
          </w:p>
          <w:p>
            <w:pPr>
              <w:pStyle w:val="null3"/>
              <w:jc w:val="both"/>
            </w:pPr>
            <w:r>
              <w:rPr>
                <w:rFonts w:ascii="仿宋_GB2312" w:hAnsi="仿宋_GB2312" w:cs="仿宋_GB2312" w:eastAsia="仿宋_GB2312"/>
                <w:sz w:val="20"/>
              </w:rPr>
              <w:t>▲2.2.2 各通道具有的功能：各通道有独立的观测、去偶、信号接收、模数转换功能</w:t>
            </w:r>
          </w:p>
          <w:p>
            <w:pPr>
              <w:pStyle w:val="null3"/>
              <w:jc w:val="both"/>
            </w:pPr>
            <w:r>
              <w:rPr>
                <w:rFonts w:ascii="仿宋_GB2312" w:hAnsi="仿宋_GB2312" w:cs="仿宋_GB2312" w:eastAsia="仿宋_GB2312"/>
                <w:sz w:val="20"/>
              </w:rPr>
              <w:t>2.2.3 双功放系统</w:t>
            </w:r>
          </w:p>
          <w:p>
            <w:pPr>
              <w:pStyle w:val="null3"/>
              <w:jc w:val="both"/>
            </w:pPr>
            <w:r>
              <w:rPr>
                <w:rFonts w:ascii="仿宋_GB2312" w:hAnsi="仿宋_GB2312" w:cs="仿宋_GB2312" w:eastAsia="仿宋_GB2312"/>
                <w:sz w:val="20"/>
              </w:rPr>
              <w:t>2.2.4 质子最大输出功率：≥50W</w:t>
            </w:r>
          </w:p>
          <w:p>
            <w:pPr>
              <w:pStyle w:val="null3"/>
              <w:jc w:val="both"/>
            </w:pPr>
            <w:r>
              <w:rPr>
                <w:rFonts w:ascii="仿宋_GB2312" w:hAnsi="仿宋_GB2312" w:cs="仿宋_GB2312" w:eastAsia="仿宋_GB2312"/>
                <w:sz w:val="20"/>
              </w:rPr>
              <w:t>2.2.5 多核最大输出功率：≥140W</w:t>
            </w:r>
          </w:p>
          <w:p>
            <w:pPr>
              <w:pStyle w:val="null3"/>
              <w:jc w:val="both"/>
            </w:pPr>
            <w:r>
              <w:rPr>
                <w:rFonts w:ascii="仿宋_GB2312" w:hAnsi="仿宋_GB2312" w:cs="仿宋_GB2312" w:eastAsia="仿宋_GB2312"/>
                <w:sz w:val="20"/>
              </w:rPr>
              <w:t>2.3 接收及采样</w:t>
            </w:r>
          </w:p>
          <w:p>
            <w:pPr>
              <w:pStyle w:val="null3"/>
              <w:jc w:val="both"/>
            </w:pPr>
            <w:r>
              <w:rPr>
                <w:rFonts w:ascii="仿宋_GB2312" w:hAnsi="仿宋_GB2312" w:cs="仿宋_GB2312" w:eastAsia="仿宋_GB2312"/>
                <w:sz w:val="20"/>
              </w:rPr>
              <w:t>▲2.3.1 接收中频≥1.5 GHz</w:t>
            </w:r>
          </w:p>
          <w:p>
            <w:pPr>
              <w:pStyle w:val="null3"/>
              <w:jc w:val="both"/>
            </w:pPr>
            <w:r>
              <w:rPr>
                <w:rFonts w:ascii="仿宋_GB2312" w:hAnsi="仿宋_GB2312" w:cs="仿宋_GB2312" w:eastAsia="仿宋_GB2312"/>
                <w:sz w:val="20"/>
              </w:rPr>
              <w:t>▲2.3.2 每个通道独立的高速ADC，采样速率≥240M/S</w:t>
            </w:r>
          </w:p>
          <w:p>
            <w:pPr>
              <w:pStyle w:val="null3"/>
              <w:jc w:val="both"/>
            </w:pPr>
            <w:r>
              <w:rPr>
                <w:rFonts w:ascii="仿宋_GB2312" w:hAnsi="仿宋_GB2312" w:cs="仿宋_GB2312" w:eastAsia="仿宋_GB2312"/>
                <w:sz w:val="20"/>
              </w:rPr>
              <w:t>2.3.3 6KHz谱宽有效动态范围≥20Bit</w:t>
            </w:r>
          </w:p>
          <w:p>
            <w:pPr>
              <w:pStyle w:val="null3"/>
              <w:jc w:val="both"/>
            </w:pPr>
            <w:r>
              <w:rPr>
                <w:rFonts w:ascii="仿宋_GB2312" w:hAnsi="仿宋_GB2312" w:cs="仿宋_GB2312" w:eastAsia="仿宋_GB2312"/>
                <w:sz w:val="20"/>
              </w:rPr>
              <w:t>2.4 氘数字锁场及梯度匀场系统</w:t>
            </w:r>
          </w:p>
          <w:p>
            <w:pPr>
              <w:pStyle w:val="null3"/>
              <w:jc w:val="both"/>
            </w:pPr>
            <w:r>
              <w:rPr>
                <w:rFonts w:ascii="仿宋_GB2312" w:hAnsi="仿宋_GB2312" w:cs="仿宋_GB2312" w:eastAsia="仿宋_GB2312"/>
                <w:sz w:val="20"/>
              </w:rPr>
              <w:t>2.4.1 自动／手动匀场系统</w:t>
            </w:r>
          </w:p>
          <w:p>
            <w:pPr>
              <w:pStyle w:val="null3"/>
              <w:jc w:val="both"/>
            </w:pPr>
            <w:r>
              <w:rPr>
                <w:rFonts w:ascii="仿宋_GB2312" w:hAnsi="仿宋_GB2312" w:cs="仿宋_GB2312" w:eastAsia="仿宋_GB2312"/>
                <w:sz w:val="20"/>
              </w:rPr>
              <w:t>2.4.2 精确的氘梯度自动匀场</w:t>
            </w:r>
          </w:p>
          <w:p>
            <w:pPr>
              <w:pStyle w:val="null3"/>
              <w:jc w:val="both"/>
            </w:pPr>
            <w:r>
              <w:rPr>
                <w:rFonts w:ascii="仿宋_GB2312" w:hAnsi="仿宋_GB2312" w:cs="仿宋_GB2312" w:eastAsia="仿宋_GB2312"/>
                <w:sz w:val="20"/>
              </w:rPr>
              <w:t>2.4.3 支持多溶剂峰（如吡啶）自动锁场</w:t>
            </w:r>
          </w:p>
          <w:p>
            <w:pPr>
              <w:pStyle w:val="null3"/>
              <w:jc w:val="both"/>
            </w:pPr>
            <w:r>
              <w:rPr>
                <w:rFonts w:ascii="仿宋_GB2312" w:hAnsi="仿宋_GB2312" w:cs="仿宋_GB2312" w:eastAsia="仿宋_GB2312"/>
                <w:sz w:val="20"/>
              </w:rPr>
              <w:t>2.5 Z方向射频脉冲梯度场梯度场最大电流：≥10A</w:t>
            </w:r>
          </w:p>
          <w:p>
            <w:pPr>
              <w:pStyle w:val="null3"/>
              <w:jc w:val="both"/>
            </w:pPr>
            <w:r>
              <w:rPr>
                <w:rFonts w:ascii="仿宋_GB2312" w:hAnsi="仿宋_GB2312" w:cs="仿宋_GB2312" w:eastAsia="仿宋_GB2312"/>
                <w:sz w:val="20"/>
              </w:rPr>
              <w:t>2.6 高精度变温控制单元</w:t>
            </w:r>
          </w:p>
          <w:p>
            <w:pPr>
              <w:pStyle w:val="null3"/>
              <w:jc w:val="both"/>
            </w:pPr>
            <w:r>
              <w:rPr>
                <w:rFonts w:ascii="仿宋_GB2312" w:hAnsi="仿宋_GB2312" w:cs="仿宋_GB2312" w:eastAsia="仿宋_GB2312"/>
                <w:sz w:val="20"/>
              </w:rPr>
              <w:t>2.6.1 控温范围：-150℃</w:t>
            </w:r>
            <w:r>
              <w:rPr>
                <w:rFonts w:ascii="仿宋_GB2312" w:hAnsi="仿宋_GB2312" w:cs="仿宋_GB2312" w:eastAsia="仿宋_GB2312"/>
                <w:sz w:val="20"/>
              </w:rPr>
              <w:t>～</w:t>
            </w:r>
            <w:r>
              <w:rPr>
                <w:rFonts w:ascii="仿宋_GB2312" w:hAnsi="仿宋_GB2312" w:cs="仿宋_GB2312" w:eastAsia="仿宋_GB2312"/>
                <w:sz w:val="20"/>
              </w:rPr>
              <w:t>+200℃(低温实验可以另配低温附件)</w:t>
            </w:r>
          </w:p>
          <w:p>
            <w:pPr>
              <w:pStyle w:val="null3"/>
              <w:jc w:val="both"/>
            </w:pPr>
            <w:r>
              <w:rPr>
                <w:rFonts w:ascii="仿宋_GB2312" w:hAnsi="仿宋_GB2312" w:cs="仿宋_GB2312" w:eastAsia="仿宋_GB2312"/>
                <w:sz w:val="20"/>
              </w:rPr>
              <w:t>2.6.2 精度≤0.1℃</w:t>
            </w:r>
          </w:p>
          <w:p>
            <w:pPr>
              <w:pStyle w:val="null3"/>
              <w:jc w:val="both"/>
            </w:pPr>
            <w:r>
              <w:rPr>
                <w:rFonts w:ascii="仿宋_GB2312" w:hAnsi="仿宋_GB2312" w:cs="仿宋_GB2312" w:eastAsia="仿宋_GB2312"/>
                <w:sz w:val="20"/>
              </w:rPr>
              <w:t>2.6.3 利用核磁共振热电偶功能，准确测量并自动控制样品温度</w:t>
            </w:r>
          </w:p>
          <w:p>
            <w:pPr>
              <w:pStyle w:val="null3"/>
              <w:jc w:val="both"/>
            </w:pPr>
            <w:r>
              <w:rPr>
                <w:rFonts w:ascii="仿宋_GB2312" w:hAnsi="仿宋_GB2312" w:cs="仿宋_GB2312" w:eastAsia="仿宋_GB2312"/>
                <w:sz w:val="20"/>
              </w:rPr>
              <w:t>2.7 探头1： 5mm Z梯度场多核二合一探头（2个）</w:t>
            </w:r>
          </w:p>
          <w:p>
            <w:pPr>
              <w:pStyle w:val="null3"/>
              <w:jc w:val="both"/>
            </w:pPr>
            <w:r>
              <w:rPr>
                <w:rFonts w:ascii="仿宋_GB2312" w:hAnsi="仿宋_GB2312" w:cs="仿宋_GB2312" w:eastAsia="仿宋_GB2312"/>
                <w:sz w:val="20"/>
              </w:rPr>
              <w:t>2.7.1 检测核：</w:t>
            </w:r>
            <w:r>
              <w:rPr>
                <w:rFonts w:ascii="仿宋_GB2312" w:hAnsi="仿宋_GB2312" w:cs="仿宋_GB2312" w:eastAsia="仿宋_GB2312"/>
                <w:sz w:val="20"/>
                <w:vertAlign w:val="superscript"/>
              </w:rPr>
              <w:t>1</w:t>
            </w:r>
            <w:r>
              <w:rPr>
                <w:rFonts w:ascii="仿宋_GB2312" w:hAnsi="仿宋_GB2312" w:cs="仿宋_GB2312" w:eastAsia="仿宋_GB2312"/>
                <w:sz w:val="20"/>
              </w:rPr>
              <w:t>H和</w:t>
            </w:r>
            <w:r>
              <w:rPr>
                <w:rFonts w:ascii="仿宋_GB2312" w:hAnsi="仿宋_GB2312" w:cs="仿宋_GB2312" w:eastAsia="仿宋_GB2312"/>
                <w:sz w:val="20"/>
                <w:vertAlign w:val="superscript"/>
              </w:rPr>
              <w:t>19</w:t>
            </w:r>
            <w:r>
              <w:rPr>
                <w:rFonts w:ascii="仿宋_GB2312" w:hAnsi="仿宋_GB2312" w:cs="仿宋_GB2312" w:eastAsia="仿宋_GB2312"/>
                <w:sz w:val="20"/>
              </w:rPr>
              <w:t>F, 共振频率在</w:t>
            </w:r>
            <w:r>
              <w:rPr>
                <w:rFonts w:ascii="仿宋_GB2312" w:hAnsi="仿宋_GB2312" w:cs="仿宋_GB2312" w:eastAsia="仿宋_GB2312"/>
                <w:sz w:val="20"/>
                <w:vertAlign w:val="superscript"/>
              </w:rPr>
              <w:t>15</w:t>
            </w:r>
            <w:r>
              <w:rPr>
                <w:rFonts w:ascii="仿宋_GB2312" w:hAnsi="仿宋_GB2312" w:cs="仿宋_GB2312" w:eastAsia="仿宋_GB2312"/>
                <w:sz w:val="20"/>
              </w:rPr>
              <w:t>N-</w:t>
            </w:r>
            <w:r>
              <w:rPr>
                <w:rFonts w:ascii="仿宋_GB2312" w:hAnsi="仿宋_GB2312" w:cs="仿宋_GB2312" w:eastAsia="仿宋_GB2312"/>
                <w:sz w:val="20"/>
                <w:vertAlign w:val="superscript"/>
              </w:rPr>
              <w:t>31</w:t>
            </w:r>
            <w:r>
              <w:rPr>
                <w:rFonts w:ascii="仿宋_GB2312" w:hAnsi="仿宋_GB2312" w:cs="仿宋_GB2312" w:eastAsia="仿宋_GB2312"/>
                <w:sz w:val="20"/>
              </w:rPr>
              <w:t>P之间的所有核</w:t>
            </w:r>
          </w:p>
          <w:p>
            <w:pPr>
              <w:pStyle w:val="null3"/>
              <w:jc w:val="both"/>
            </w:pPr>
            <w:r>
              <w:rPr>
                <w:rFonts w:ascii="仿宋_GB2312" w:hAnsi="仿宋_GB2312" w:cs="仿宋_GB2312" w:eastAsia="仿宋_GB2312"/>
                <w:sz w:val="20"/>
              </w:rPr>
              <w:t xml:space="preserve">2.7.2 </w:t>
            </w:r>
            <w:r>
              <w:rPr>
                <w:rFonts w:ascii="仿宋_GB2312" w:hAnsi="仿宋_GB2312" w:cs="仿宋_GB2312" w:eastAsia="仿宋_GB2312"/>
                <w:sz w:val="20"/>
                <w:vertAlign w:val="superscript"/>
              </w:rPr>
              <w:t>1</w:t>
            </w:r>
            <w:r>
              <w:rPr>
                <w:rFonts w:ascii="仿宋_GB2312" w:hAnsi="仿宋_GB2312" w:cs="仿宋_GB2312" w:eastAsia="仿宋_GB2312"/>
                <w:sz w:val="20"/>
              </w:rPr>
              <w:t>H分辨率（旋转）≤ 0.5 Hz (1% CHCl</w:t>
            </w:r>
            <w:r>
              <w:rPr>
                <w:rFonts w:ascii="仿宋_GB2312" w:hAnsi="仿宋_GB2312" w:cs="仿宋_GB2312" w:eastAsia="仿宋_GB2312"/>
                <w:sz w:val="20"/>
                <w:vertAlign w:val="subscript"/>
              </w:rPr>
              <w:t>3</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 xml:space="preserve">2.7.3 </w:t>
            </w:r>
            <w:r>
              <w:rPr>
                <w:rFonts w:ascii="仿宋_GB2312" w:hAnsi="仿宋_GB2312" w:cs="仿宋_GB2312" w:eastAsia="仿宋_GB2312"/>
                <w:sz w:val="20"/>
                <w:vertAlign w:val="superscript"/>
              </w:rPr>
              <w:t>1</w:t>
            </w:r>
            <w:r>
              <w:rPr>
                <w:rFonts w:ascii="仿宋_GB2312" w:hAnsi="仿宋_GB2312" w:cs="仿宋_GB2312" w:eastAsia="仿宋_GB2312"/>
                <w:sz w:val="20"/>
              </w:rPr>
              <w:t>H 线型 (旋转) ≤ 6/12 (1% CHCL</w:t>
            </w:r>
            <w:r>
              <w:rPr>
                <w:rFonts w:ascii="仿宋_GB2312" w:hAnsi="仿宋_GB2312" w:cs="仿宋_GB2312" w:eastAsia="仿宋_GB2312"/>
                <w:sz w:val="20"/>
                <w:vertAlign w:val="subscript"/>
              </w:rPr>
              <w:t>3</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 xml:space="preserve">2.7.4 </w:t>
            </w:r>
            <w:r>
              <w:rPr>
                <w:rFonts w:ascii="仿宋_GB2312" w:hAnsi="仿宋_GB2312" w:cs="仿宋_GB2312" w:eastAsia="仿宋_GB2312"/>
                <w:sz w:val="20"/>
                <w:vertAlign w:val="superscript"/>
              </w:rPr>
              <w:t>13</w:t>
            </w:r>
            <w:r>
              <w:rPr>
                <w:rFonts w:ascii="仿宋_GB2312" w:hAnsi="仿宋_GB2312" w:cs="仿宋_GB2312" w:eastAsia="仿宋_GB2312"/>
                <w:sz w:val="20"/>
              </w:rPr>
              <w:t>C分辨率 (旋转)≤ 0.2 Hz （ASTM）</w:t>
            </w:r>
          </w:p>
          <w:p>
            <w:pPr>
              <w:pStyle w:val="null3"/>
              <w:jc w:val="both"/>
            </w:pPr>
            <w:r>
              <w:rPr>
                <w:rFonts w:ascii="仿宋_GB2312" w:hAnsi="仿宋_GB2312" w:cs="仿宋_GB2312" w:eastAsia="仿宋_GB2312"/>
                <w:sz w:val="20"/>
              </w:rPr>
              <w:t xml:space="preserve">2.7.5 </w:t>
            </w:r>
            <w:r>
              <w:rPr>
                <w:rFonts w:ascii="仿宋_GB2312" w:hAnsi="仿宋_GB2312" w:cs="仿宋_GB2312" w:eastAsia="仿宋_GB2312"/>
                <w:sz w:val="20"/>
                <w:vertAlign w:val="superscript"/>
              </w:rPr>
              <w:t>13</w:t>
            </w:r>
            <w:r>
              <w:rPr>
                <w:rFonts w:ascii="仿宋_GB2312" w:hAnsi="仿宋_GB2312" w:cs="仿宋_GB2312" w:eastAsia="仿宋_GB2312"/>
                <w:sz w:val="20"/>
              </w:rPr>
              <w:t>C 线型（旋转）≤ 2/4 Hz （ASTM）</w:t>
            </w:r>
          </w:p>
          <w:p>
            <w:pPr>
              <w:pStyle w:val="null3"/>
              <w:jc w:val="both"/>
            </w:pPr>
            <w:r>
              <w:rPr>
                <w:rFonts w:ascii="仿宋_GB2312" w:hAnsi="仿宋_GB2312" w:cs="仿宋_GB2312" w:eastAsia="仿宋_GB2312"/>
                <w:sz w:val="20"/>
              </w:rPr>
              <w:t xml:space="preserve">2.7.6 </w:t>
            </w:r>
            <w:r>
              <w:rPr>
                <w:rFonts w:ascii="仿宋_GB2312" w:hAnsi="仿宋_GB2312" w:cs="仿宋_GB2312" w:eastAsia="仿宋_GB2312"/>
                <w:sz w:val="20"/>
                <w:vertAlign w:val="superscript"/>
              </w:rPr>
              <w:t>1</w:t>
            </w:r>
            <w:r>
              <w:rPr>
                <w:rFonts w:ascii="仿宋_GB2312" w:hAnsi="仿宋_GB2312" w:cs="仿宋_GB2312" w:eastAsia="仿宋_GB2312"/>
                <w:sz w:val="20"/>
              </w:rPr>
              <w:t>H灵敏度≥ 550:1(0.1% EB)</w:t>
            </w:r>
          </w:p>
          <w:p>
            <w:pPr>
              <w:pStyle w:val="null3"/>
              <w:jc w:val="both"/>
            </w:pPr>
            <w:r>
              <w:rPr>
                <w:rFonts w:ascii="仿宋_GB2312" w:hAnsi="仿宋_GB2312" w:cs="仿宋_GB2312" w:eastAsia="仿宋_GB2312"/>
                <w:sz w:val="20"/>
              </w:rPr>
              <w:t xml:space="preserve">2.7.7 </w:t>
            </w:r>
            <w:r>
              <w:rPr>
                <w:rFonts w:ascii="仿宋_GB2312" w:hAnsi="仿宋_GB2312" w:cs="仿宋_GB2312" w:eastAsia="仿宋_GB2312"/>
                <w:sz w:val="20"/>
                <w:vertAlign w:val="superscript"/>
              </w:rPr>
              <w:t>13</w:t>
            </w:r>
            <w:r>
              <w:rPr>
                <w:rFonts w:ascii="仿宋_GB2312" w:hAnsi="仿宋_GB2312" w:cs="仿宋_GB2312" w:eastAsia="仿宋_GB2312"/>
                <w:sz w:val="20"/>
              </w:rPr>
              <w:t>C 灵敏度≥ 220:1(ASTM)；</w:t>
            </w:r>
          </w:p>
          <w:p>
            <w:pPr>
              <w:pStyle w:val="null3"/>
              <w:jc w:val="both"/>
            </w:pPr>
            <w:r>
              <w:rPr>
                <w:rFonts w:ascii="仿宋_GB2312" w:hAnsi="仿宋_GB2312" w:cs="仿宋_GB2312" w:eastAsia="仿宋_GB2312"/>
                <w:sz w:val="20"/>
                <w:vertAlign w:val="superscript"/>
              </w:rPr>
              <w:t>13</w:t>
            </w:r>
            <w:r>
              <w:rPr>
                <w:rFonts w:ascii="仿宋_GB2312" w:hAnsi="仿宋_GB2312" w:cs="仿宋_GB2312" w:eastAsia="仿宋_GB2312"/>
                <w:sz w:val="20"/>
              </w:rPr>
              <w:t>C 灵敏度≥ 250:1(10% EB)</w:t>
            </w:r>
          </w:p>
          <w:p>
            <w:pPr>
              <w:pStyle w:val="null3"/>
              <w:jc w:val="both"/>
            </w:pPr>
            <w:r>
              <w:rPr>
                <w:rFonts w:ascii="仿宋_GB2312" w:hAnsi="仿宋_GB2312" w:cs="仿宋_GB2312" w:eastAsia="仿宋_GB2312"/>
                <w:sz w:val="20"/>
              </w:rPr>
              <w:t xml:space="preserve">▲2.7.8 </w:t>
            </w:r>
            <w:r>
              <w:rPr>
                <w:rFonts w:ascii="仿宋_GB2312" w:hAnsi="仿宋_GB2312" w:cs="仿宋_GB2312" w:eastAsia="仿宋_GB2312"/>
                <w:sz w:val="20"/>
                <w:vertAlign w:val="superscript"/>
              </w:rPr>
              <w:t>31</w:t>
            </w:r>
            <w:r>
              <w:rPr>
                <w:rFonts w:ascii="仿宋_GB2312" w:hAnsi="仿宋_GB2312" w:cs="仿宋_GB2312" w:eastAsia="仿宋_GB2312"/>
                <w:sz w:val="20"/>
              </w:rPr>
              <w:t>P灵敏度≥ 200:1(TPP)</w:t>
            </w:r>
          </w:p>
          <w:p>
            <w:pPr>
              <w:pStyle w:val="null3"/>
              <w:jc w:val="both"/>
            </w:pPr>
            <w:r>
              <w:rPr>
                <w:rFonts w:ascii="仿宋_GB2312" w:hAnsi="仿宋_GB2312" w:cs="仿宋_GB2312" w:eastAsia="仿宋_GB2312"/>
                <w:sz w:val="20"/>
              </w:rPr>
              <w:t xml:space="preserve">2.7.9 </w:t>
            </w:r>
            <w:r>
              <w:rPr>
                <w:rFonts w:ascii="仿宋_GB2312" w:hAnsi="仿宋_GB2312" w:cs="仿宋_GB2312" w:eastAsia="仿宋_GB2312"/>
                <w:sz w:val="20"/>
                <w:vertAlign w:val="superscript"/>
              </w:rPr>
              <w:t>15</w:t>
            </w:r>
            <w:r>
              <w:rPr>
                <w:rFonts w:ascii="仿宋_GB2312" w:hAnsi="仿宋_GB2312" w:cs="仿宋_GB2312" w:eastAsia="仿宋_GB2312"/>
                <w:sz w:val="20"/>
              </w:rPr>
              <w:t>N灵敏度≥ 30:1 (90% formamide)</w:t>
            </w:r>
          </w:p>
          <w:p>
            <w:pPr>
              <w:pStyle w:val="null3"/>
              <w:jc w:val="both"/>
            </w:pPr>
            <w:r>
              <w:rPr>
                <w:rFonts w:ascii="仿宋_GB2312" w:hAnsi="仿宋_GB2312" w:cs="仿宋_GB2312" w:eastAsia="仿宋_GB2312"/>
                <w:sz w:val="20"/>
              </w:rPr>
              <w:t xml:space="preserve">2.7.10 </w:t>
            </w:r>
            <w:r>
              <w:rPr>
                <w:rFonts w:ascii="仿宋_GB2312" w:hAnsi="仿宋_GB2312" w:cs="仿宋_GB2312" w:eastAsia="仿宋_GB2312"/>
                <w:sz w:val="20"/>
                <w:vertAlign w:val="superscript"/>
              </w:rPr>
              <w:t>19</w:t>
            </w:r>
            <w:r>
              <w:rPr>
                <w:rFonts w:ascii="仿宋_GB2312" w:hAnsi="仿宋_GB2312" w:cs="仿宋_GB2312" w:eastAsia="仿宋_GB2312"/>
                <w:sz w:val="20"/>
              </w:rPr>
              <w:t>F灵敏度≥ 550:1 (90% TFT)</w:t>
            </w:r>
          </w:p>
          <w:p>
            <w:pPr>
              <w:pStyle w:val="null3"/>
              <w:jc w:val="both"/>
            </w:pPr>
            <w:r>
              <w:rPr>
                <w:rFonts w:ascii="仿宋_GB2312" w:hAnsi="仿宋_GB2312" w:cs="仿宋_GB2312" w:eastAsia="仿宋_GB2312"/>
                <w:sz w:val="20"/>
              </w:rPr>
              <w:t>2.7.11 90度脉冲宽度</w:t>
            </w:r>
          </w:p>
          <w:p>
            <w:pPr>
              <w:pStyle w:val="null3"/>
              <w:jc w:val="both"/>
            </w:pPr>
            <w:r>
              <w:rPr>
                <w:rFonts w:ascii="仿宋_GB2312" w:hAnsi="仿宋_GB2312" w:cs="仿宋_GB2312" w:eastAsia="仿宋_GB2312"/>
                <w:sz w:val="20"/>
                <w:vertAlign w:val="superscript"/>
              </w:rPr>
              <w:t>1</w:t>
            </w:r>
            <w:r>
              <w:rPr>
                <w:rFonts w:ascii="仿宋_GB2312" w:hAnsi="仿宋_GB2312" w:cs="仿宋_GB2312" w:eastAsia="仿宋_GB2312"/>
                <w:sz w:val="20"/>
              </w:rPr>
              <w:t xml:space="preserve">H ≤ 10 μs (0.1% EB sample) </w:t>
            </w:r>
            <w:r>
              <w:rPr>
                <w:rFonts w:ascii="仿宋_GB2312" w:hAnsi="仿宋_GB2312" w:cs="仿宋_GB2312" w:eastAsia="仿宋_GB2312"/>
                <w:sz w:val="20"/>
                <w:vertAlign w:val="superscript"/>
              </w:rPr>
              <w:t>19</w:t>
            </w:r>
            <w:r>
              <w:rPr>
                <w:rFonts w:ascii="仿宋_GB2312" w:hAnsi="仿宋_GB2312" w:cs="仿宋_GB2312" w:eastAsia="仿宋_GB2312"/>
                <w:sz w:val="20"/>
              </w:rPr>
              <w:t>F ≤ 15 μs (TFT sample)</w:t>
            </w:r>
          </w:p>
          <w:p>
            <w:pPr>
              <w:pStyle w:val="null3"/>
              <w:jc w:val="both"/>
            </w:pPr>
            <w:r>
              <w:rPr>
                <w:rFonts w:ascii="仿宋_GB2312" w:hAnsi="仿宋_GB2312" w:cs="仿宋_GB2312" w:eastAsia="仿宋_GB2312"/>
                <w:sz w:val="20"/>
                <w:vertAlign w:val="superscript"/>
              </w:rPr>
              <w:t>13</w:t>
            </w:r>
            <w:r>
              <w:rPr>
                <w:rFonts w:ascii="仿宋_GB2312" w:hAnsi="仿宋_GB2312" w:cs="仿宋_GB2312" w:eastAsia="仿宋_GB2312"/>
                <w:sz w:val="20"/>
              </w:rPr>
              <w:t xml:space="preserve">C ≤ 10 μs (ASTM sample) </w:t>
            </w:r>
            <w:r>
              <w:rPr>
                <w:rFonts w:ascii="仿宋_GB2312" w:hAnsi="仿宋_GB2312" w:cs="仿宋_GB2312" w:eastAsia="仿宋_GB2312"/>
                <w:sz w:val="20"/>
                <w:vertAlign w:val="superscript"/>
              </w:rPr>
              <w:t>31</w:t>
            </w:r>
            <w:r>
              <w:rPr>
                <w:rFonts w:ascii="仿宋_GB2312" w:hAnsi="仿宋_GB2312" w:cs="仿宋_GB2312" w:eastAsia="仿宋_GB2312"/>
                <w:sz w:val="20"/>
              </w:rPr>
              <w:t>P ≤ 10 μs (TPP sample)</w:t>
            </w:r>
          </w:p>
          <w:p>
            <w:pPr>
              <w:pStyle w:val="null3"/>
              <w:jc w:val="both"/>
            </w:pPr>
            <w:r>
              <w:rPr>
                <w:rFonts w:ascii="仿宋_GB2312" w:hAnsi="仿宋_GB2312" w:cs="仿宋_GB2312" w:eastAsia="仿宋_GB2312"/>
                <w:sz w:val="20"/>
              </w:rPr>
              <w:t>15N ≤ 20μs (90% formamide sample)</w:t>
            </w:r>
          </w:p>
          <w:p>
            <w:pPr>
              <w:pStyle w:val="null3"/>
              <w:jc w:val="both"/>
            </w:pPr>
            <w:r>
              <w:rPr>
                <w:rFonts w:ascii="仿宋_GB2312" w:hAnsi="仿宋_GB2312" w:cs="仿宋_GB2312" w:eastAsia="仿宋_GB2312"/>
                <w:sz w:val="20"/>
              </w:rPr>
              <w:t>▲2.7.12 加Z-方向梯度场线圈≥50高斯/cm</w:t>
            </w:r>
          </w:p>
          <w:p>
            <w:pPr>
              <w:pStyle w:val="null3"/>
              <w:jc w:val="both"/>
            </w:pPr>
            <w:r>
              <w:rPr>
                <w:rFonts w:ascii="仿宋_GB2312" w:hAnsi="仿宋_GB2312" w:cs="仿宋_GB2312" w:eastAsia="仿宋_GB2312"/>
                <w:sz w:val="20"/>
              </w:rPr>
              <w:t>▲2.7.13 探头变温范围: -150℃ ~ +150℃ (低温实验可另配低温附件)</w:t>
            </w:r>
          </w:p>
          <w:p>
            <w:pPr>
              <w:pStyle w:val="null3"/>
              <w:jc w:val="both"/>
            </w:pPr>
            <w:r>
              <w:rPr>
                <w:rFonts w:ascii="仿宋_GB2312" w:hAnsi="仿宋_GB2312" w:cs="仿宋_GB2312" w:eastAsia="仿宋_GB2312"/>
                <w:sz w:val="20"/>
              </w:rPr>
              <w:t>2.7.14探头全自动调谐和匹配附件：必须配备能调所有观测核的全自动调谐和匹配附件</w:t>
            </w:r>
          </w:p>
          <w:p>
            <w:pPr>
              <w:pStyle w:val="null3"/>
              <w:jc w:val="both"/>
            </w:pPr>
            <w:r>
              <w:rPr>
                <w:rFonts w:ascii="仿宋_GB2312" w:hAnsi="仿宋_GB2312" w:cs="仿宋_GB2312" w:eastAsia="仿宋_GB2312"/>
                <w:sz w:val="20"/>
              </w:rPr>
              <w:t>2.7.15探头具备观测</w:t>
            </w:r>
            <w:r>
              <w:rPr>
                <w:rFonts w:ascii="仿宋_GB2312" w:hAnsi="仿宋_GB2312" w:cs="仿宋_GB2312" w:eastAsia="仿宋_GB2312"/>
                <w:sz w:val="20"/>
                <w:vertAlign w:val="superscript"/>
              </w:rPr>
              <w:t>1</w:t>
            </w:r>
            <w:r>
              <w:rPr>
                <w:rFonts w:ascii="仿宋_GB2312" w:hAnsi="仿宋_GB2312" w:cs="仿宋_GB2312" w:eastAsia="仿宋_GB2312"/>
                <w:sz w:val="20"/>
              </w:rPr>
              <w:t>H去偶后的</w:t>
            </w:r>
            <w:r>
              <w:rPr>
                <w:rFonts w:ascii="仿宋_GB2312" w:hAnsi="仿宋_GB2312" w:cs="仿宋_GB2312" w:eastAsia="仿宋_GB2312"/>
                <w:sz w:val="20"/>
                <w:vertAlign w:val="superscript"/>
              </w:rPr>
              <w:t>19</w:t>
            </w:r>
            <w:r>
              <w:rPr>
                <w:rFonts w:ascii="仿宋_GB2312" w:hAnsi="仿宋_GB2312" w:cs="仿宋_GB2312" w:eastAsia="仿宋_GB2312"/>
                <w:sz w:val="20"/>
              </w:rPr>
              <w:t>F图谱功能</w:t>
            </w:r>
          </w:p>
          <w:p>
            <w:pPr>
              <w:pStyle w:val="null3"/>
              <w:jc w:val="both"/>
            </w:pPr>
            <w:r>
              <w:rPr>
                <w:rFonts w:ascii="仿宋_GB2312" w:hAnsi="仿宋_GB2312" w:cs="仿宋_GB2312" w:eastAsia="仿宋_GB2312"/>
                <w:sz w:val="20"/>
              </w:rPr>
              <w:t>3、工作站及输出装置</w:t>
            </w:r>
          </w:p>
          <w:p>
            <w:pPr>
              <w:pStyle w:val="null3"/>
              <w:jc w:val="both"/>
            </w:pPr>
            <w:r>
              <w:rPr>
                <w:rFonts w:ascii="仿宋_GB2312" w:hAnsi="仿宋_GB2312" w:cs="仿宋_GB2312" w:eastAsia="仿宋_GB2312"/>
                <w:sz w:val="20"/>
              </w:rPr>
              <w:t>3.1 数据处理系统配置不低于：</w:t>
            </w:r>
          </w:p>
          <w:p>
            <w:pPr>
              <w:pStyle w:val="null3"/>
              <w:jc w:val="both"/>
            </w:pPr>
            <w:r>
              <w:rPr>
                <w:rFonts w:ascii="仿宋_GB2312" w:hAnsi="仿宋_GB2312" w:cs="仿宋_GB2312" w:eastAsia="仿宋_GB2312"/>
                <w:sz w:val="20"/>
              </w:rPr>
              <w:t>CPU：Intel 四核高端处理器</w:t>
            </w:r>
          </w:p>
          <w:p>
            <w:pPr>
              <w:pStyle w:val="null3"/>
              <w:jc w:val="both"/>
            </w:pPr>
            <w:r>
              <w:rPr>
                <w:rFonts w:ascii="仿宋_GB2312" w:hAnsi="仿宋_GB2312" w:cs="仿宋_GB2312" w:eastAsia="仿宋_GB2312"/>
                <w:sz w:val="20"/>
              </w:rPr>
              <w:t>内存：</w:t>
            </w:r>
            <w:r>
              <w:rPr>
                <w:rFonts w:ascii="仿宋_GB2312" w:hAnsi="仿宋_GB2312" w:cs="仿宋_GB2312" w:eastAsia="仿宋_GB2312"/>
                <w:sz w:val="20"/>
              </w:rPr>
              <w:t>16GB</w:t>
            </w:r>
          </w:p>
          <w:p>
            <w:pPr>
              <w:pStyle w:val="null3"/>
              <w:jc w:val="both"/>
            </w:pPr>
            <w:r>
              <w:rPr>
                <w:rFonts w:ascii="仿宋_GB2312" w:hAnsi="仿宋_GB2312" w:cs="仿宋_GB2312" w:eastAsia="仿宋_GB2312"/>
                <w:sz w:val="20"/>
              </w:rPr>
              <w:t>固态硬盘：储存容量</w:t>
            </w:r>
            <w:r>
              <w:rPr>
                <w:rFonts w:ascii="仿宋_GB2312" w:hAnsi="仿宋_GB2312" w:cs="仿宋_GB2312" w:eastAsia="仿宋_GB2312"/>
                <w:sz w:val="20"/>
              </w:rPr>
              <w:t>2 TB</w:t>
            </w:r>
          </w:p>
          <w:p>
            <w:pPr>
              <w:pStyle w:val="null3"/>
              <w:jc w:val="both"/>
            </w:pPr>
            <w:r>
              <w:rPr>
                <w:rFonts w:ascii="仿宋_GB2312" w:hAnsi="仿宋_GB2312" w:cs="仿宋_GB2312" w:eastAsia="仿宋_GB2312"/>
                <w:sz w:val="20"/>
              </w:rPr>
              <w:t>显示器：</w:t>
            </w:r>
            <w:r>
              <w:rPr>
                <w:rFonts w:ascii="仿宋_GB2312" w:hAnsi="仿宋_GB2312" w:cs="仿宋_GB2312" w:eastAsia="仿宋_GB2312"/>
                <w:sz w:val="20"/>
              </w:rPr>
              <w:t>27英寸</w:t>
            </w:r>
          </w:p>
          <w:p>
            <w:pPr>
              <w:pStyle w:val="null3"/>
              <w:jc w:val="both"/>
            </w:pPr>
            <w:r>
              <w:rPr>
                <w:rFonts w:ascii="仿宋_GB2312" w:hAnsi="仿宋_GB2312" w:cs="仿宋_GB2312" w:eastAsia="仿宋_GB2312"/>
                <w:sz w:val="20"/>
              </w:rPr>
              <w:t>独立显卡：显存</w:t>
            </w:r>
            <w:r>
              <w:rPr>
                <w:rFonts w:ascii="仿宋_GB2312" w:hAnsi="仿宋_GB2312" w:cs="仿宋_GB2312" w:eastAsia="仿宋_GB2312"/>
                <w:sz w:val="20"/>
              </w:rPr>
              <w:t>2G</w:t>
            </w:r>
          </w:p>
          <w:p>
            <w:pPr>
              <w:pStyle w:val="null3"/>
              <w:jc w:val="both"/>
            </w:pPr>
            <w:r>
              <w:rPr>
                <w:rFonts w:ascii="仿宋_GB2312" w:hAnsi="仿宋_GB2312" w:cs="仿宋_GB2312" w:eastAsia="仿宋_GB2312"/>
                <w:sz w:val="20"/>
              </w:rPr>
              <w:t>网卡、</w:t>
            </w:r>
            <w:r>
              <w:rPr>
                <w:rFonts w:ascii="仿宋_GB2312" w:hAnsi="仿宋_GB2312" w:cs="仿宋_GB2312" w:eastAsia="仿宋_GB2312"/>
                <w:sz w:val="20"/>
              </w:rPr>
              <w:t>DVD刻录机</w:t>
            </w:r>
          </w:p>
          <w:p>
            <w:pPr>
              <w:pStyle w:val="null3"/>
              <w:jc w:val="both"/>
            </w:pPr>
            <w:r>
              <w:rPr>
                <w:rFonts w:ascii="仿宋_GB2312" w:hAnsi="仿宋_GB2312" w:cs="仿宋_GB2312" w:eastAsia="仿宋_GB2312"/>
                <w:sz w:val="20"/>
              </w:rPr>
              <w:t>3.2 配备鼠标，键盘</w:t>
            </w:r>
          </w:p>
          <w:p>
            <w:pPr>
              <w:pStyle w:val="null3"/>
              <w:jc w:val="both"/>
            </w:pPr>
            <w:r>
              <w:rPr>
                <w:rFonts w:ascii="仿宋_GB2312" w:hAnsi="仿宋_GB2312" w:cs="仿宋_GB2312" w:eastAsia="仿宋_GB2312"/>
                <w:sz w:val="20"/>
              </w:rPr>
              <w:t>3.3 输出装置，A4激光黑白</w:t>
            </w:r>
          </w:p>
          <w:p>
            <w:pPr>
              <w:pStyle w:val="null3"/>
              <w:jc w:val="both"/>
            </w:pPr>
            <w:r>
              <w:rPr>
                <w:rFonts w:ascii="仿宋_GB2312" w:hAnsi="仿宋_GB2312" w:cs="仿宋_GB2312" w:eastAsia="仿宋_GB2312"/>
                <w:sz w:val="20"/>
                <w:b/>
              </w:rPr>
              <w:t>4、NMR软件</w:t>
            </w:r>
          </w:p>
          <w:p>
            <w:pPr>
              <w:pStyle w:val="null3"/>
              <w:jc w:val="both"/>
            </w:pPr>
            <w:r>
              <w:rPr>
                <w:rFonts w:ascii="仿宋_GB2312" w:hAnsi="仿宋_GB2312" w:cs="仿宋_GB2312" w:eastAsia="仿宋_GB2312"/>
                <w:sz w:val="20"/>
              </w:rPr>
              <w:t>4.1 快速多维采样处理软件许可证一个</w:t>
            </w:r>
          </w:p>
          <w:p>
            <w:pPr>
              <w:pStyle w:val="null3"/>
              <w:jc w:val="both"/>
            </w:pPr>
            <w:r>
              <w:rPr>
                <w:rFonts w:ascii="仿宋_GB2312" w:hAnsi="仿宋_GB2312" w:cs="仿宋_GB2312" w:eastAsia="仿宋_GB2312"/>
                <w:sz w:val="20"/>
              </w:rPr>
              <w:t>4.2 在线服务软件：包括在线使用帮助、NMR技术指导、实验手册等，</w:t>
            </w:r>
          </w:p>
          <w:p>
            <w:pPr>
              <w:pStyle w:val="null3"/>
              <w:jc w:val="both"/>
            </w:pPr>
            <w:r>
              <w:rPr>
                <w:rFonts w:ascii="仿宋_GB2312" w:hAnsi="仿宋_GB2312" w:cs="仿宋_GB2312" w:eastAsia="仿宋_GB2312"/>
                <w:sz w:val="20"/>
              </w:rPr>
              <w:t>4.3 脉冲程序模拟软件</w:t>
            </w:r>
          </w:p>
          <w:p>
            <w:pPr>
              <w:pStyle w:val="null3"/>
              <w:jc w:val="both"/>
            </w:pPr>
            <w:r>
              <w:rPr>
                <w:rFonts w:ascii="仿宋_GB2312" w:hAnsi="仿宋_GB2312" w:cs="仿宋_GB2312" w:eastAsia="仿宋_GB2312"/>
                <w:sz w:val="20"/>
              </w:rPr>
              <w:t>4.4 核磁数据处理软件许可证一个</w:t>
            </w:r>
          </w:p>
          <w:p>
            <w:pPr>
              <w:pStyle w:val="null3"/>
              <w:jc w:val="both"/>
            </w:pPr>
            <w:r>
              <w:rPr>
                <w:rFonts w:ascii="仿宋_GB2312" w:hAnsi="仿宋_GB2312" w:cs="仿宋_GB2312" w:eastAsia="仿宋_GB2312"/>
                <w:sz w:val="20"/>
              </w:rPr>
              <w:t>4.5 实验数据（原始数据及分析结果）可存为通用格式，能被其它NMR软件读取，并能导入</w:t>
            </w:r>
          </w:p>
          <w:p>
            <w:pPr>
              <w:pStyle w:val="null3"/>
              <w:jc w:val="both"/>
            </w:pPr>
            <w:r>
              <w:rPr>
                <w:rFonts w:ascii="仿宋_GB2312" w:hAnsi="仿宋_GB2312" w:cs="仿宋_GB2312" w:eastAsia="仿宋_GB2312"/>
                <w:sz w:val="20"/>
              </w:rPr>
              <w:t>4.6 用于自动和远程谱仪状况检查，故障诊断和排除软件</w:t>
            </w:r>
          </w:p>
          <w:p>
            <w:pPr>
              <w:pStyle w:val="null3"/>
              <w:jc w:val="both"/>
            </w:pPr>
            <w:r>
              <w:rPr>
                <w:rFonts w:ascii="仿宋_GB2312" w:hAnsi="仿宋_GB2312" w:cs="仿宋_GB2312" w:eastAsia="仿宋_GB2312"/>
                <w:sz w:val="20"/>
              </w:rPr>
              <w:t>▲4.7 配性能自动矫正软件（有效期≥2年）包括，自动匀场，自动脉宽矫正</w:t>
            </w:r>
          </w:p>
          <w:p>
            <w:pPr>
              <w:pStyle w:val="null3"/>
              <w:jc w:val="both"/>
            </w:pPr>
            <w:r>
              <w:rPr>
                <w:rFonts w:ascii="仿宋_GB2312" w:hAnsi="仿宋_GB2312" w:cs="仿宋_GB2312" w:eastAsia="仿宋_GB2312"/>
                <w:sz w:val="20"/>
              </w:rPr>
              <w:t>5、附件、零配件及消耗品(包括专用工具)</w:t>
            </w:r>
          </w:p>
          <w:p>
            <w:pPr>
              <w:pStyle w:val="null3"/>
              <w:jc w:val="both"/>
            </w:pPr>
            <w:r>
              <w:rPr>
                <w:rFonts w:ascii="仿宋_GB2312" w:hAnsi="仿宋_GB2312" w:cs="仿宋_GB2312" w:eastAsia="仿宋_GB2312"/>
                <w:sz w:val="20"/>
              </w:rPr>
              <w:t>▲5.1 ≥24位自动进样器，自动进样器需位于磁体前端；配相同数量的液体样品转子</w:t>
            </w:r>
          </w:p>
          <w:p>
            <w:pPr>
              <w:pStyle w:val="null3"/>
              <w:jc w:val="both"/>
            </w:pPr>
            <w:r>
              <w:rPr>
                <w:rFonts w:ascii="仿宋_GB2312" w:hAnsi="仿宋_GB2312" w:cs="仿宋_GB2312" w:eastAsia="仿宋_GB2312"/>
                <w:sz w:val="20"/>
              </w:rPr>
              <w:t>5.2 随机必备的标准附件专用工具(在基本报价内)</w:t>
            </w:r>
          </w:p>
          <w:p>
            <w:pPr>
              <w:pStyle w:val="null3"/>
              <w:jc w:val="both"/>
            </w:pPr>
            <w:r>
              <w:rPr>
                <w:rFonts w:ascii="仿宋_GB2312" w:hAnsi="仿宋_GB2312" w:cs="仿宋_GB2312" w:eastAsia="仿宋_GB2312"/>
                <w:sz w:val="20"/>
              </w:rPr>
              <w:t>5.3 谱仪维修工具1套</w:t>
            </w:r>
          </w:p>
          <w:p>
            <w:pPr>
              <w:pStyle w:val="null3"/>
              <w:jc w:val="both"/>
            </w:pPr>
            <w:r>
              <w:rPr>
                <w:rFonts w:ascii="仿宋_GB2312" w:hAnsi="仿宋_GB2312" w:cs="仿宋_GB2312" w:eastAsia="仿宋_GB2312"/>
                <w:sz w:val="20"/>
              </w:rPr>
              <w:t>5.4 标准样品 1套</w:t>
            </w:r>
          </w:p>
          <w:p>
            <w:pPr>
              <w:pStyle w:val="null3"/>
              <w:jc w:val="both"/>
            </w:pPr>
            <w:r>
              <w:rPr>
                <w:rFonts w:ascii="仿宋_GB2312" w:hAnsi="仿宋_GB2312" w:cs="仿宋_GB2312" w:eastAsia="仿宋_GB2312"/>
                <w:sz w:val="20"/>
              </w:rPr>
              <w:t>5.5 超导磁体用液氦真空输液管1个</w:t>
            </w:r>
          </w:p>
          <w:p>
            <w:pPr>
              <w:pStyle w:val="null3"/>
              <w:jc w:val="both"/>
            </w:pPr>
            <w:r>
              <w:rPr>
                <w:rFonts w:ascii="仿宋_GB2312" w:hAnsi="仿宋_GB2312" w:cs="仿宋_GB2312" w:eastAsia="仿宋_GB2312"/>
                <w:sz w:val="20"/>
              </w:rPr>
              <w:t>5.6 高温陶瓷转子1个</w:t>
            </w:r>
          </w:p>
          <w:p>
            <w:pPr>
              <w:pStyle w:val="null3"/>
              <w:jc w:val="both"/>
            </w:pPr>
            <w:r>
              <w:rPr>
                <w:rFonts w:ascii="仿宋_GB2312" w:hAnsi="仿宋_GB2312" w:cs="仿宋_GB2312" w:eastAsia="仿宋_GB2312"/>
                <w:sz w:val="20"/>
              </w:rPr>
              <w:t>★5.7 非液氮低温附件，控温范围-40℃- 室温</w:t>
            </w:r>
          </w:p>
          <w:p>
            <w:pPr>
              <w:pStyle w:val="null3"/>
              <w:jc w:val="both"/>
            </w:pPr>
            <w:r>
              <w:rPr>
                <w:rFonts w:ascii="仿宋_GB2312" w:hAnsi="仿宋_GB2312" w:cs="仿宋_GB2312" w:eastAsia="仿宋_GB2312"/>
                <w:sz w:val="20"/>
                <w:b/>
              </w:rPr>
              <w:t>6、配套附件：</w:t>
            </w:r>
          </w:p>
          <w:p>
            <w:pPr>
              <w:pStyle w:val="null3"/>
              <w:jc w:val="both"/>
            </w:pPr>
            <w:r>
              <w:rPr>
                <w:rFonts w:ascii="仿宋_GB2312" w:hAnsi="仿宋_GB2312" w:cs="仿宋_GB2312" w:eastAsia="仿宋_GB2312"/>
                <w:sz w:val="20"/>
              </w:rPr>
              <w:t>6.1 仪器安装时，提供所需正常状态下的液氦，液氮，氦气，氮气。</w:t>
            </w:r>
          </w:p>
          <w:p>
            <w:pPr>
              <w:pStyle w:val="null3"/>
              <w:jc w:val="both"/>
            </w:pPr>
            <w:r>
              <w:rPr>
                <w:rFonts w:ascii="仿宋_GB2312" w:hAnsi="仿宋_GB2312" w:cs="仿宋_GB2312" w:eastAsia="仿宋_GB2312"/>
                <w:sz w:val="20"/>
              </w:rPr>
              <w:t>6.2 UPS电源，≥3KVA，1小时</w:t>
            </w:r>
          </w:p>
          <w:p>
            <w:pPr>
              <w:pStyle w:val="null3"/>
            </w:pPr>
            <w:r>
              <w:rPr>
                <w:rFonts w:ascii="仿宋_GB2312" w:hAnsi="仿宋_GB2312" w:cs="仿宋_GB2312" w:eastAsia="仿宋_GB2312"/>
                <w:sz w:val="20"/>
              </w:rPr>
              <w:t>6.3 空压机，带过滤器、储气罐和干燥器1套技术文件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自合同签订之日起150天内到货，30天内安装调试并交付使用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西北大学化学与材料科学学院101室</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国产货物（进口设备国内供货）：合同生效后，乙方开具合同金额等额银行保函，甲方收到银行保函正本后预付合同货款，待货物到达指定地点、安装调试验收合格后，甲方退还银行保函正本；进口货物：合同生效后，由甲方通过进出口业务代理公司向乙方开出100%信用证，待货物到货、安装调试、并经学校组织验收合格后，由甲方通知进出口业务代理公司向乙方解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学校验收合格之日起1年。售后服务标准要求：1.质保期内供应商负责提供设备的维修及部件更换，质保期自采购人终验合格之日起计算。质保期满之前，供应商需派遣专业工程师对设备进行全面维护及校准。质保期满后，供应商对其提供的设备提供终身的技术支援。以上要求所产生的费用由供应商承担。 2、设备到货后，供应商负责安装和调试。设备安装调试期间，由供应商工程师在现场为采购人操作人员进行不低于2天培训，受培训人数不限，培训内容包括但不限于：设备原理、结构、操作、日常维护及保养等，保证采购人操作人员熟悉掌握设备相关知识。设备使用一段时间后，供应商按采购人要求组织工程师，提供不少于3天的高阶应用培训。不定期提供设备使用方面的技术咨询与支持。以上要求所产生的费用由供应商承担。 3.供应商需提供负责售后服务的部门或单位的名称及联系方法以及维修人员的姓名和联系电话。</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 报价要求：1.1进口设备报价：投标报价是指到达使用地点、验收合格达到正常使用条件前的所有费用，包括但不限于以下费用：货物价值、安装调试费、国内外运杂费（含保险）、仓储保管费、技术培训费、检测费、施工费、人工费、进口业务相关费用（按合同金额的0.68%收取。包括外贸代理公司进口业务代理费、国内外银行手续费、报关费、商检费等）及进口货物按国家政策征收的一切税费（按国家政策规定甲方可以享受的免税部分除外）等，以招标文件的内容和要求作为投标依据； 1.2、进口产品（经专家论证允许采购的情况下）按人民币报价，此报价不受市场价格及外汇汇率波动影响。采购人及招标代理机构不接受任何未办理合法进口手续的非国内生产产品的投标报价。 1.3、投标人所提供的产品型号、产地等重要信息，需要与仪器机身保持一致。因投标人原因（有且不限于型号有误、出具的净重、参数等证明有误、保税区内税号问题等）造成进口货物无法正常报关产生的一切后果及费用由投标人自行承担。最终无法清关的，投标人须重新发运外贸合同中约定的货物。 1.4、国产设备报价：投标总报价是指设备到达使用地点、验收合格达到正常使用条件前的所有费用，包括但不限于以下费用：货物价值、安装调试费、国内外运杂费（含保险）、仓储保管费、技术培训费、检测费、施工费、人工费等及按国家政策征收的一切税费等。2、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西安市雁塔区科技路30号合力紫郡B座21层第一会议室，若电子投标文件与纸质投标文件不一致的，以电子投标文件为准。投标保证金以电子保函形式递交需在开标前给shanxizhuoming_zb@163.com发一份扫描件。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供应商资格要求.docx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供应商提供2024年度经审计完整的财务审计报告（成立时间至提交响应文件截止时间不足一年的可提供成立后任意时段的资产负债表），或其开标前三个月内 银行出具的资信证明，或财政部门认可的政府采购专业担保机构出具的响应担保函；（注：①提供财务报告的，内容至少包括审计报告、附注。②提供资信证明的，必须提供资信证明全部页以及基本户信息（提供开户许可证或提供基本银行账户信息）。银行出具的存款证明不能代替资信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提供2025年1月（含1月）以来任意时间段的依法缴纳税收的相关凭据（时 间以税款所属时期为准），凭据应有税务机关或代收机关的公章或业务专用章。依法免税或无须缴纳税收的应提供说明；成立不足一个月的提供将依法纳税的承诺书(格式自拟)。（注:①零报税的提供申报成功的凭证。②时间以税款所属时段为准。）</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提供2025年1月（含1月）以来任意时间段的社会保障资金缴存单 据或社保机构开具的社会保险参保缴费情况证明。依法不需要缴纳社会保障资金的供应商应提供 相关文件证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进口授权</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投标报价未超过采购预算或者最高限价(合格)，投标报价超过采购预算或者最高限价(不合格)</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投标文件投标有效期符合招标文件要求的(合格)，投标文件无投标有效期或有效期达不到招标文件要求的(不合格)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交货期满足招标文件要求（合格），交货期不满足招标文件要求（不合格）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质保期满足招标文件要求（合格），质保期不满足招标文件要求（不合格）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投标文件的签署、盖章符合招标文件要求（合格），投标文件的签署、盖章不符合招标文件要求（不合格）</w:t>
            </w:r>
          </w:p>
        </w:tc>
        <w:tc>
          <w:tcPr>
            <w:tcW w:type="dxa" w:w="1661"/>
          </w:tcPr>
          <w:p>
            <w:pPr>
              <w:pStyle w:val="null3"/>
            </w:pPr>
            <w:r>
              <w:rPr>
                <w:rFonts w:ascii="仿宋_GB2312" w:hAnsi="仿宋_GB2312" w:cs="仿宋_GB2312" w:eastAsia="仿宋_GB2312"/>
              </w:rPr>
              <w:t>分项报价表.docx 供应商资格要求.docx 投标函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投标文件的标的数量满足采购要求的（合格），投标文件的标的数量不满足采购要求的（不合格）</w:t>
            </w:r>
          </w:p>
        </w:tc>
        <w:tc>
          <w:tcPr>
            <w:tcW w:type="dxa" w:w="1661"/>
          </w:tcPr>
          <w:p>
            <w:pPr>
              <w:pStyle w:val="null3"/>
            </w:pPr>
            <w:r>
              <w:rPr>
                <w:rFonts w:ascii="仿宋_GB2312" w:hAnsi="仿宋_GB2312" w:cs="仿宋_GB2312" w:eastAsia="仿宋_GB2312"/>
              </w:rPr>
              <w:t>分项报价表.docx 产品技术参数表.docx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供应商认为有必要说明的其他问题.docx 产品技术参数表.docx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基本分：所投产品的技术参数完全符合、响应招标文件 要求，没有负偏离计30分。 1、技术参数中标“★”项（4个）为实质性要求，不满足废标； 2、技术参数中标“ ▲”项（9）满分18分，负偏离一项扣2分， 扣完为止； 3、技术参数中非“★”“ ▲”项（46）满分12分，负偏离一项扣0.26分，扣完为止； 加分项：技术参数中参数性能优于招标文件要求，具有实际使用价值的提升，经评标委员会一致认定每项可加分，满分10分。 标“★”项参数技术指标和性能优于招标文件要求，每项加1分，满分4分；“ ▲”项参数技术指标和性能优于招标文件要求，每项加0.67分，满分6分。 备注：“★”“ ▲”项和所有优于参数须提供佐证材料（佐证材料不限于产品彩页、检测报告、官网功能截图等）。</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投标人需针对本项目提供完整的项目实施方案。内容包含：①供货组织安排、物力调配及保障措施②安装调试验收 二、评审标准 1、完整性：方案须全面，对评审内容中的各项要求描述详细； 2、可实施性：切合本项目实际情况，实施步骤清晰、合理； 3、针对性：方案能够紧扣项目实际情况，内容科学合理。 三、赋分依据（满分6分） ①供货组织安排、物力调配及保障措施：每完全满足一个评审标准得1分，满分3分；未提供不得分； ②安装调试验收:每完全满足一个评审标准得1分，满分3分；未提供不得分。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针对培训要求提供培训计划，为采购人培训操作维护人员，以保障使用过程中能熟练操作、维护和正常使用，培训方案内容包含①培训内容及方式②培训计划安排。 二、评审标准 1、完整性：方案须全面，对评审内容中的各项要求有详细描述； 2、可实施性：切合本项目实际情况，实施步骤清晰、合理； 3、针对性：方案能够紧扣项目实际情况，内容科学合理。 三、赋分标准（满分6分） ①培训内容及方式：每完全满足一个评审标准得1分，满分3分；未提供不得分； ②培训计划安排：每完全满足一个评审标准得1分，满分3分；未提供不得分。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根据项目实际需求，提供质量保证方案。内容包含：①产品性能、使用寿命及效果②质量保证措施。 二、评审标准 1、完整性：方案须全面，对评审内容中的各项要求有详细描述； 2、可实施性：切合本项目实际情况，实施步骤清晰、合理； 3、针对性：方案能够紧扣项目实际情况，内容科学合理。 三、赋分依据（满分6分） ①产品性能、使用寿命及效果：每完全满足一个评审标准得1分，满分3分；未提供不得分； ②质量保证措施:每完全满足一个评审标准得1分，满分3分；未提供不得分。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根据项目实际需求提供售后服务方案。内容包含：①本地化服务能力、服务范围及保障措施②应急处理方案。 二、评审标准 1.完整性：方案须全面，对评审内容中的各项要求有详细描述； 2.可实施性：切合本项目实际情况，提出步骤清晰、合理的方案； 3.针对性：方案能够紧扣项目实际情况，内容科学合理。 三、赋分依据（满分6分） ①售后服务范围及保障措施：每完全满足一个评审标准得1分，满分3分；未提供不得分； ②应急处理方案:每完全满足一个评审标准得1分，满分3分；未提供不得分。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提供供应商2022年10月1日至今同类项目合同（以合同签订日期为准），每提供1个得1分，最高得5分。 备注：响应文件中提供合同复印件。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在节能或环境标志产品政府采购品目清单中每有一项经国家认证机构认定为节能产品的得0.5分，每有一项为环境标志产品的得0.5分，供应商所投产品中每有一项产品即为节能产品又是环境标志产品得1分（产品不重复计分，如某一产品得到1分，不能再计节能或环境标志产品的0.5分），最多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供应商认为有必要说明的其他问题.docx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详见附件：质量保证.docx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