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版本号：HRC-ZBDL-2025-0153820251029001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《陕西省耕地恢复过渡期方案》编制项目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HRC-ZBDL-2025-01538</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《陕西省耕地恢复过渡期方案》编制项目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HRC-ZBDL-2025-01538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《陕西省耕地恢复过渡期方案》编制项目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根据《自然资源部 国家林业和草原局关于优化年度国土变更调查规范调查成果应用的通知》（自然资发〔2025〕128号），对因巩固脱贫攻坚成果和第三次全国国土调查前占用耕地种树种果种茶等原因造成的历史流出耕地、永久基本农田分类稳妥有序进行处置，设置合理过渡期，逐步找回优质耕地，编制《陕西省耕地恢复过渡期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采购包1（《陕西省耕地恢复过渡期方案》编制项目）：属于专门面向中小企业采购。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2、资质证书：供应商应当具备主管部门颁发的城乡规划编制单位乙级及以上资质</w:t>
      </w:r>
    </w:p>
    <w:p>
      <w:pPr>
        <w:pStyle w:val="null3"/>
      </w:pPr>
      <w:r>
        <w:rPr>
          <w:rFonts w:ascii="仿宋_GB2312" w:hAnsi="仿宋_GB2312" w:cs="仿宋_GB2312" w:eastAsia="仿宋_GB2312"/>
        </w:rPr>
        <w:t>3、财务状况报告：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12、专门面向中小微企业采购：本项目专门面向中小企业采购，仅限符合《政府采购促进中小企业发展管理办法》（财库〔2020〕46号）条件的中小企业参与，提供中小企业声明函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029-87851050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根据磋商文件、磋商响应文件及合同约定执行，经采购人、供应商及邀请的专家三方共同组织进行验收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根据《自然资源部 国家林业和草原局关于优化年度国土变更调查规范调查成果应用的通知》（自然资发〔2025〕128号），对因巩固脱贫攻坚成果和第三次全国国土调查前占用耕地种树种果种茶等原因造成的历史流出耕地、永久基本农田分类稳妥有序进行处置，设置合理过渡期，逐步找回优质耕地，编制《陕西省耕地恢复过渡期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776,000.00</w:t>
      </w:r>
    </w:p>
    <w:p>
      <w:pPr>
        <w:pStyle w:val="null3"/>
      </w:pPr>
      <w:r>
        <w:rPr>
          <w:rFonts w:ascii="仿宋_GB2312" w:hAnsi="仿宋_GB2312" w:cs="仿宋_GB2312" w:eastAsia="仿宋_GB2312"/>
        </w:rPr>
        <w:t>采购包最高限价（元）: 776,000.00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《陕西省耕地恢复过渡期方案》编制项目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776,000.00</w:t>
            </w:r>
          </w:p>
        </w:tc>
        <w:tc>
          <w:tcPr>
            <w:tcW w:type="dxa" w:w="831"/>
          </w:tcPr>
          <w:p>
            <w:pPr>
              <w:pStyle w:val="null3"/>
            </w:pPr>
            <w:r>
              <w:rPr>
                <w:rFonts w:ascii="仿宋_GB2312" w:hAnsi="仿宋_GB2312" w:cs="仿宋_GB2312" w:eastAsia="仿宋_GB2312"/>
              </w:rPr>
              <w:t>776000.00</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标的名称：《陕西省耕地恢复过渡期方案》编制项目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2026年3月31日前。（具体以合同约定为准）</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服务质量：合格。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一、项目目标</w:t>
            </w:r>
          </w:p>
          <w:p>
            <w:pPr>
              <w:pStyle w:val="null3"/>
              <w:ind w:firstLine="480"/>
              <w:jc w:val="both"/>
            </w:pPr>
            <w:r>
              <w:rPr>
                <w:rFonts w:ascii="仿宋_GB2312" w:hAnsi="仿宋_GB2312" w:cs="仿宋_GB2312" w:eastAsia="仿宋_GB2312"/>
                <w:sz w:val="24"/>
              </w:rPr>
              <w:t>根据《自然资源部</w:t>
            </w:r>
            <w:r>
              <w:rPr>
                <w:rFonts w:ascii="仿宋_GB2312" w:hAnsi="仿宋_GB2312" w:cs="仿宋_GB2312" w:eastAsia="仿宋_GB2312"/>
                <w:sz w:val="24"/>
              </w:rPr>
              <w:t>国家林业和草原局关于优化年度国土变更调查规范调查成果应用的通知》（自然资发〔</w:t>
            </w:r>
            <w:r>
              <w:rPr>
                <w:rFonts w:ascii="仿宋_GB2312" w:hAnsi="仿宋_GB2312" w:cs="仿宋_GB2312" w:eastAsia="仿宋_GB2312"/>
                <w:sz w:val="24"/>
              </w:rPr>
              <w:t>2025〕128号），对因巩固脱贫攻坚成果和第三次全国国土调查前占用耕地种树种果种茶等原因造成的历史流出耕地、永久基本农田分类稳妥有序进行处置，设置合理过渡期，逐步找回优质耕地，编制《陕西省耕地恢复过渡期方案》。</w:t>
            </w:r>
          </w:p>
          <w:p>
            <w:pPr>
              <w:pStyle w:val="null3"/>
              <w:ind w:firstLine="480"/>
              <w:jc w:val="both"/>
            </w:pPr>
            <w:r>
              <w:rPr>
                <w:rFonts w:ascii="仿宋_GB2312" w:hAnsi="仿宋_GB2312" w:cs="仿宋_GB2312" w:eastAsia="仿宋_GB2312"/>
                <w:sz w:val="24"/>
              </w:rPr>
              <w:t>二、任务划分</w:t>
            </w:r>
          </w:p>
          <w:p>
            <w:pPr>
              <w:pStyle w:val="null3"/>
              <w:ind w:firstLine="480"/>
              <w:jc w:val="both"/>
            </w:pPr>
            <w:r>
              <w:rPr>
                <w:rFonts w:ascii="仿宋_GB2312" w:hAnsi="仿宋_GB2312" w:cs="仿宋_GB2312" w:eastAsia="仿宋_GB2312"/>
                <w:sz w:val="24"/>
              </w:rPr>
              <w:t>不分包：完成《陕西省耕地恢复过渡期方案》编制项目的全部内容。</w:t>
            </w:r>
          </w:p>
          <w:p>
            <w:pPr>
              <w:pStyle w:val="null3"/>
              <w:ind w:firstLine="480"/>
              <w:jc w:val="both"/>
            </w:pPr>
            <w:r>
              <w:rPr>
                <w:rFonts w:ascii="仿宋_GB2312" w:hAnsi="仿宋_GB2312" w:cs="仿宋_GB2312" w:eastAsia="仿宋_GB2312"/>
                <w:sz w:val="24"/>
              </w:rPr>
              <w:t>三、工作内容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完善</w:t>
            </w:r>
            <w:r>
              <w:rPr>
                <w:rFonts w:ascii="仿宋_GB2312" w:hAnsi="仿宋_GB2312" w:cs="仿宋_GB2312" w:eastAsia="仿宋_GB2312"/>
                <w:sz w:val="24"/>
              </w:rPr>
              <w:t>技术方案</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国家相关政策要求，结合</w:t>
            </w:r>
            <w:r>
              <w:rPr>
                <w:rFonts w:ascii="仿宋_GB2312" w:hAnsi="仿宋_GB2312" w:cs="仿宋_GB2312" w:eastAsia="仿宋_GB2312"/>
                <w:sz w:val="24"/>
              </w:rPr>
              <w:t>工作</w:t>
            </w:r>
            <w:r>
              <w:rPr>
                <w:rFonts w:ascii="仿宋_GB2312" w:hAnsi="仿宋_GB2312" w:cs="仿宋_GB2312" w:eastAsia="仿宋_GB2312"/>
                <w:sz w:val="24"/>
              </w:rPr>
              <w:t>实际，</w:t>
            </w:r>
            <w:r>
              <w:rPr>
                <w:rFonts w:ascii="仿宋_GB2312" w:hAnsi="仿宋_GB2312" w:cs="仿宋_GB2312" w:eastAsia="仿宋_GB2312"/>
                <w:sz w:val="24"/>
              </w:rPr>
              <w:t>完善</w:t>
            </w:r>
            <w:r>
              <w:rPr>
                <w:rFonts w:ascii="仿宋_GB2312" w:hAnsi="仿宋_GB2312" w:cs="仿宋_GB2312" w:eastAsia="仿宋_GB2312"/>
                <w:sz w:val="24"/>
              </w:rPr>
              <w:t>“</w:t>
            </w:r>
            <w:r>
              <w:rPr>
                <w:rFonts w:ascii="仿宋_GB2312" w:hAnsi="仿宋_GB2312" w:cs="仿宋_GB2312" w:eastAsia="仿宋_GB2312"/>
                <w:sz w:val="24"/>
              </w:rPr>
              <w:t>陕西省耕地恢复过渡期方案</w:t>
            </w:r>
            <w:r>
              <w:rPr>
                <w:rFonts w:ascii="仿宋_GB2312" w:hAnsi="仿宋_GB2312" w:cs="仿宋_GB2312" w:eastAsia="仿宋_GB2312"/>
                <w:sz w:val="24"/>
              </w:rPr>
              <w:t>编制技术方案</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指导市县更新</w:t>
            </w:r>
            <w:r>
              <w:rPr>
                <w:rFonts w:ascii="仿宋_GB2312" w:hAnsi="仿宋_GB2312" w:cs="仿宋_GB2312" w:eastAsia="仿宋_GB2312"/>
                <w:sz w:val="24"/>
              </w:rPr>
              <w:t>工作底图</w:t>
            </w:r>
            <w:r>
              <w:rPr>
                <w:rFonts w:ascii="仿宋_GB2312" w:hAnsi="仿宋_GB2312" w:cs="仿宋_GB2312" w:eastAsia="仿宋_GB2312"/>
                <w:sz w:val="24"/>
              </w:rPr>
              <w:t>、</w:t>
            </w:r>
            <w:r>
              <w:rPr>
                <w:rFonts w:ascii="仿宋_GB2312" w:hAnsi="仿宋_GB2312" w:cs="仿宋_GB2312" w:eastAsia="仿宋_GB2312"/>
                <w:sz w:val="24"/>
              </w:rPr>
              <w:t>开展摸底工作</w:t>
            </w:r>
          </w:p>
          <w:p>
            <w:pPr>
              <w:pStyle w:val="null3"/>
              <w:ind w:firstLine="480"/>
              <w:jc w:val="both"/>
            </w:pPr>
            <w:r>
              <w:rPr>
                <w:rFonts w:ascii="仿宋_GB2312" w:hAnsi="仿宋_GB2312" w:cs="仿宋_GB2312" w:eastAsia="仿宋_GB2312"/>
                <w:sz w:val="24"/>
              </w:rPr>
              <w:t>根据有关文件要求，通过套合相关年度变更调查成果，</w:t>
            </w:r>
            <w:r>
              <w:rPr>
                <w:rFonts w:ascii="仿宋_GB2312" w:hAnsi="仿宋_GB2312" w:cs="仿宋_GB2312" w:eastAsia="仿宋_GB2312"/>
                <w:sz w:val="24"/>
              </w:rPr>
              <w:t>依据省级下发</w:t>
            </w:r>
            <w:r>
              <w:rPr>
                <w:rFonts w:ascii="仿宋_GB2312" w:hAnsi="仿宋_GB2312" w:cs="仿宋_GB2312" w:eastAsia="仿宋_GB2312"/>
                <w:sz w:val="24"/>
              </w:rPr>
              <w:t>工作底图</w:t>
            </w:r>
            <w:r>
              <w:rPr>
                <w:rFonts w:ascii="仿宋_GB2312" w:hAnsi="仿宋_GB2312" w:cs="仿宋_GB2312" w:eastAsia="仿宋_GB2312"/>
                <w:sz w:val="24"/>
              </w:rPr>
              <w:t>，</w:t>
            </w:r>
            <w:r>
              <w:rPr>
                <w:rFonts w:ascii="仿宋_GB2312" w:hAnsi="仿宋_GB2312" w:cs="仿宋_GB2312" w:eastAsia="仿宋_GB2312"/>
                <w:sz w:val="24"/>
              </w:rPr>
              <w:t>指导各市县开展底图更新及耕地恢复过渡期摸底工作。</w:t>
            </w:r>
          </w:p>
          <w:p>
            <w:pPr>
              <w:pStyle w:val="null3"/>
              <w:ind w:firstLine="480"/>
              <w:jc w:val="both"/>
            </w:pPr>
            <w:r>
              <w:rPr>
                <w:rFonts w:ascii="仿宋_GB2312" w:hAnsi="仿宋_GB2312" w:cs="仿宋_GB2312" w:eastAsia="仿宋_GB2312"/>
                <w:sz w:val="24"/>
              </w:rPr>
              <w:t>3.审核汇总上报成果</w:t>
            </w:r>
          </w:p>
          <w:p>
            <w:pPr>
              <w:pStyle w:val="null3"/>
              <w:ind w:firstLine="480"/>
              <w:jc w:val="both"/>
            </w:pPr>
            <w:r>
              <w:rPr>
                <w:rFonts w:ascii="仿宋_GB2312" w:hAnsi="仿宋_GB2312" w:cs="仿宋_GB2312" w:eastAsia="仿宋_GB2312"/>
                <w:sz w:val="24"/>
              </w:rPr>
              <w:t>对市县上报的成果进行完整性、逻辑一致性审核，并反馈修改意见。</w:t>
            </w:r>
          </w:p>
          <w:p>
            <w:pPr>
              <w:pStyle w:val="null3"/>
              <w:ind w:firstLine="480"/>
              <w:jc w:val="both"/>
            </w:pPr>
            <w:r>
              <w:rPr>
                <w:rFonts w:ascii="仿宋_GB2312" w:hAnsi="仿宋_GB2312" w:cs="仿宋_GB2312" w:eastAsia="仿宋_GB2312"/>
                <w:sz w:val="24"/>
              </w:rPr>
              <w:t>4.形成相关成果</w:t>
            </w:r>
          </w:p>
          <w:p>
            <w:pPr>
              <w:pStyle w:val="null3"/>
              <w:ind w:firstLine="480"/>
              <w:jc w:val="both"/>
            </w:pPr>
            <w:r>
              <w:rPr>
                <w:rFonts w:ascii="仿宋_GB2312" w:hAnsi="仿宋_GB2312" w:cs="仿宋_GB2312" w:eastAsia="仿宋_GB2312"/>
                <w:sz w:val="24"/>
              </w:rPr>
              <w:t>结合市县上报成果，编制陕西省耕地恢复过渡期方案、省级耕地恢复过渡期方案初步测算汇总表、省级</w:t>
            </w:r>
            <w:r>
              <w:rPr>
                <w:rFonts w:ascii="仿宋_GB2312" w:hAnsi="仿宋_GB2312" w:cs="仿宋_GB2312" w:eastAsia="仿宋_GB2312"/>
                <w:sz w:val="24"/>
              </w:rPr>
              <w:t>耕地恢复过渡期方案分地类调查</w:t>
            </w:r>
            <w:r>
              <w:rPr>
                <w:rFonts w:ascii="仿宋_GB2312" w:hAnsi="仿宋_GB2312" w:cs="仿宋_GB2312" w:eastAsia="仿宋_GB2312"/>
                <w:sz w:val="24"/>
              </w:rPr>
              <w:t>汇总表、省级耕地恢复过渡期方案分年度调查汇总表、省级耕地恢复过渡期方案内永久基本农田分地类调查汇总表、省级耕地恢复过渡期方案内永久基本农田分年度调查汇总表及省级历史流出耕地分类处置</w:t>
            </w:r>
            <w:r>
              <w:rPr>
                <w:rFonts w:ascii="仿宋_GB2312" w:hAnsi="仿宋_GB2312" w:cs="仿宋_GB2312" w:eastAsia="仿宋_GB2312"/>
                <w:sz w:val="24"/>
              </w:rPr>
              <w:t>矢量数据</w:t>
            </w:r>
            <w:r>
              <w:rPr>
                <w:rFonts w:ascii="仿宋_GB2312" w:hAnsi="仿宋_GB2312" w:cs="仿宋_GB2312" w:eastAsia="仿宋_GB2312"/>
                <w:sz w:val="24"/>
              </w:rPr>
              <w:t>，形成省级耕地恢复过渡期成果。</w:t>
            </w:r>
          </w:p>
          <w:p>
            <w:pPr>
              <w:pStyle w:val="null3"/>
              <w:ind w:firstLine="480"/>
              <w:jc w:val="both"/>
            </w:pPr>
            <w:r>
              <w:rPr>
                <w:rFonts w:ascii="仿宋_GB2312" w:hAnsi="仿宋_GB2312" w:cs="仿宋_GB2312" w:eastAsia="仿宋_GB2312"/>
                <w:sz w:val="24"/>
              </w:rPr>
              <w:t>若因政策发生变化，采购人有权要求供应商调整相关服务内容，不因此产生额外费用。</w:t>
            </w:r>
          </w:p>
          <w:p>
            <w:pPr>
              <w:pStyle w:val="null3"/>
              <w:ind w:firstLine="480"/>
              <w:jc w:val="both"/>
            </w:pPr>
            <w:r>
              <w:rPr>
                <w:rFonts w:ascii="仿宋_GB2312" w:hAnsi="仿宋_GB2312" w:cs="仿宋_GB2312" w:eastAsia="仿宋_GB2312"/>
                <w:sz w:val="24"/>
              </w:rPr>
              <w:t>四、工作要求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1、供应商应严格遵守国家有关数据安全保密的有关法律法规，确保数据安全。</w:t>
            </w:r>
          </w:p>
          <w:p>
            <w:pPr>
              <w:pStyle w:val="null3"/>
              <w:ind w:firstLine="480"/>
              <w:jc w:val="both"/>
            </w:pPr>
            <w:r>
              <w:rPr>
                <w:rFonts w:ascii="仿宋_GB2312" w:hAnsi="仿宋_GB2312" w:cs="仿宋_GB2312" w:eastAsia="仿宋_GB2312"/>
                <w:sz w:val="24"/>
              </w:rPr>
              <w:t>2、供应商应确保研究结果科学、正确，符合采购方的相关要求。不得向其他无关人员透漏科研结果等有关信息。</w:t>
            </w:r>
          </w:p>
          <w:p>
            <w:pPr>
              <w:pStyle w:val="null3"/>
              <w:ind w:firstLine="480"/>
              <w:jc w:val="both"/>
            </w:pPr>
            <w:r>
              <w:rPr>
                <w:rFonts w:ascii="仿宋_GB2312" w:hAnsi="仿宋_GB2312" w:cs="仿宋_GB2312" w:eastAsia="仿宋_GB2312"/>
                <w:sz w:val="24"/>
              </w:rPr>
              <w:t>3、供应商严格遵守采购方的保密管理规定，确保相关工作在采购方规定的内网环境安全运行。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1、人员数量要求：为保证项目进度，供应商应承诺投入本项目的工作人员数量充足，能够保证项目顺利实施。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2、项目负责人应具备项目所需的专业职称和相关工作经验，能够独立带领团队完成工作内容，具有良好的沟通能力，对待工作认真负责且担任相关工作技术负责人3年及以上。</w:t>
            </w:r>
          </w:p>
          <w:p>
            <w:pPr>
              <w:pStyle w:val="null3"/>
              <w:ind w:firstLine="480"/>
              <w:jc w:val="both"/>
            </w:pPr>
            <w:r>
              <w:rPr>
                <w:rFonts w:ascii="仿宋_GB2312" w:hAnsi="仿宋_GB2312" w:cs="仿宋_GB2312" w:eastAsia="仿宋_GB2312"/>
                <w:sz w:val="24"/>
              </w:rPr>
              <w:t>3、供应商拟派遣的人员不能为已经在采购方同期其他项目提供服务的人员。</w:t>
            </w:r>
          </w:p>
          <w:p>
            <w:pPr>
              <w:pStyle w:val="null3"/>
              <w:ind w:firstLine="480"/>
              <w:jc w:val="both"/>
            </w:pPr>
            <w:r>
              <w:rPr>
                <w:rFonts w:ascii="仿宋_GB2312" w:hAnsi="仿宋_GB2312" w:cs="仿宋_GB2312" w:eastAsia="仿宋_GB2312"/>
                <w:sz w:val="24"/>
              </w:rPr>
              <w:t>4、供应商选派本项目的技术负责人不得随意更换，如需更换人员，需经采购人同意，并且更换人员与投标承诺人员具有同等或以上的经验和相关证书。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5、供应商需承诺本项目拟投入人员的真实性，采购人将按照供应商磋商文件列入人员名单核对实际投入项目工作的技术人员。如需更换人员，需经采购人同意，并且更换人员与原人员具有同等或以上的资质。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（三）项目工作场地及设备要求</w:t>
            </w:r>
          </w:p>
          <w:p>
            <w:pPr>
              <w:pStyle w:val="null3"/>
              <w:ind w:firstLine="480"/>
              <w:jc w:val="both"/>
            </w:pPr>
            <w:r>
              <w:rPr>
                <w:rFonts w:ascii="仿宋_GB2312" w:hAnsi="仿宋_GB2312" w:cs="仿宋_GB2312" w:eastAsia="仿宋_GB2312"/>
                <w:sz w:val="24"/>
              </w:rPr>
              <w:t>按采购人要求，供应商须在陕西省国土空间勘测规划院统一安排的地点完成工作任务。</w:t>
            </w:r>
          </w:p>
          <w:p>
            <w:pPr>
              <w:pStyle w:val="null3"/>
              <w:ind w:firstLine="480"/>
              <w:jc w:val="both"/>
            </w:pPr>
            <w:r>
              <w:rPr>
                <w:rFonts w:ascii="仿宋_GB2312" w:hAnsi="仿宋_GB2312" w:cs="仿宋_GB2312" w:eastAsia="仿宋_GB2312"/>
                <w:sz w:val="24"/>
              </w:rPr>
              <w:t>（四）项目工作时间要求</w:t>
            </w:r>
          </w:p>
          <w:p>
            <w:pPr>
              <w:pStyle w:val="null3"/>
              <w:ind w:firstLine="480"/>
              <w:jc w:val="both"/>
            </w:pPr>
            <w:r>
              <w:rPr>
                <w:rFonts w:ascii="仿宋_GB2312" w:hAnsi="仿宋_GB2312" w:cs="仿宋_GB2312" w:eastAsia="仿宋_GB2312"/>
                <w:sz w:val="24"/>
              </w:rPr>
              <w:t>2026年3月31日前完成，具体完成时间依据自然资源部要求进行相应调整。</w:t>
            </w:r>
          </w:p>
          <w:p>
            <w:pPr>
              <w:pStyle w:val="null3"/>
              <w:ind w:firstLine="480"/>
              <w:jc w:val="both"/>
            </w:pPr>
            <w:r>
              <w:rPr>
                <w:rFonts w:ascii="仿宋_GB2312" w:hAnsi="仿宋_GB2312" w:cs="仿宋_GB2312" w:eastAsia="仿宋_GB2312"/>
                <w:sz w:val="24"/>
              </w:rPr>
              <w:t>五、技术要求</w:t>
            </w:r>
          </w:p>
          <w:p>
            <w:pPr>
              <w:pStyle w:val="null3"/>
              <w:ind w:firstLine="480"/>
              <w:jc w:val="both"/>
            </w:pPr>
            <w:r>
              <w:rPr>
                <w:rFonts w:ascii="仿宋_GB2312" w:hAnsi="仿宋_GB2312" w:cs="仿宋_GB2312" w:eastAsia="仿宋_GB2312"/>
                <w:sz w:val="24"/>
              </w:rPr>
              <w:t>按以下文件执行：</w:t>
            </w:r>
          </w:p>
          <w:p>
            <w:pPr>
              <w:pStyle w:val="null3"/>
              <w:ind w:firstLine="480"/>
              <w:jc w:val="both"/>
            </w:pPr>
            <w:r>
              <w:rPr>
                <w:rFonts w:ascii="仿宋_GB2312" w:hAnsi="仿宋_GB2312" w:cs="仿宋_GB2312" w:eastAsia="仿宋_GB2312"/>
                <w:sz w:val="24"/>
              </w:rPr>
              <w:t>《自然资源部</w:t>
            </w:r>
            <w:r>
              <w:rPr>
                <w:rFonts w:ascii="仿宋_GB2312" w:hAnsi="仿宋_GB2312" w:cs="仿宋_GB2312" w:eastAsia="仿宋_GB2312"/>
                <w:sz w:val="24"/>
              </w:rPr>
              <w:t>国家林业和草原局关于优化年度国土变更调查规范调查成果应用的通知》（自然资发〔</w:t>
            </w:r>
            <w:r>
              <w:rPr>
                <w:rFonts w:ascii="仿宋_GB2312" w:hAnsi="仿宋_GB2312" w:cs="仿宋_GB2312" w:eastAsia="仿宋_GB2312"/>
                <w:sz w:val="24"/>
              </w:rPr>
              <w:t>2025〕128号）</w:t>
            </w:r>
          </w:p>
          <w:p>
            <w:pPr>
              <w:pStyle w:val="null3"/>
              <w:ind w:firstLine="480"/>
              <w:jc w:val="both"/>
            </w:pPr>
            <w:r>
              <w:rPr>
                <w:rFonts w:ascii="仿宋_GB2312" w:hAnsi="仿宋_GB2312" w:cs="仿宋_GB2312" w:eastAsia="仿宋_GB2312"/>
                <w:sz w:val="24"/>
              </w:rPr>
              <w:t>《自然资源部办公厅</w:t>
            </w:r>
            <w:r>
              <w:rPr>
                <w:rFonts w:ascii="仿宋_GB2312" w:hAnsi="仿宋_GB2312" w:cs="仿宋_GB2312" w:eastAsia="仿宋_GB2312"/>
                <w:sz w:val="24"/>
              </w:rPr>
              <w:t>国家林业和草原局办公室关于支持陕西开展</w:t>
            </w:r>
            <w:r>
              <w:rPr>
                <w:rFonts w:ascii="仿宋_GB2312" w:hAnsi="仿宋_GB2312" w:cs="仿宋_GB2312" w:eastAsia="仿宋_GB2312"/>
                <w:sz w:val="24"/>
              </w:rPr>
              <w:t>“耕地数量、质量、生态三位一体保护”试点的意见》（自然资办函〔2025〕1591号）</w:t>
            </w:r>
          </w:p>
          <w:p>
            <w:pPr>
              <w:pStyle w:val="null3"/>
              <w:ind w:firstLine="480"/>
              <w:jc w:val="both"/>
            </w:pPr>
            <w:r>
              <w:rPr>
                <w:rFonts w:ascii="仿宋_GB2312" w:hAnsi="仿宋_GB2312" w:cs="仿宋_GB2312" w:eastAsia="仿宋_GB2312"/>
                <w:sz w:val="24"/>
              </w:rPr>
              <w:t>2025年度全国国土变更调查及森林草原湿地荒漠调查监测实施方案</w:t>
            </w:r>
          </w:p>
          <w:p>
            <w:pPr>
              <w:pStyle w:val="null3"/>
              <w:ind w:firstLine="480"/>
              <w:jc w:val="both"/>
            </w:pPr>
            <w:r>
              <w:rPr>
                <w:rFonts w:ascii="仿宋_GB2312" w:hAnsi="仿宋_GB2312" w:cs="仿宋_GB2312" w:eastAsia="仿宋_GB2312"/>
                <w:sz w:val="24"/>
              </w:rPr>
              <w:t>国土变更调查技术要求（</w:t>
            </w:r>
            <w:r>
              <w:rPr>
                <w:rFonts w:ascii="仿宋_GB2312" w:hAnsi="仿宋_GB2312" w:cs="仿宋_GB2312" w:eastAsia="仿宋_GB2312"/>
                <w:sz w:val="24"/>
              </w:rPr>
              <w:t>2025年度适用）</w:t>
            </w:r>
          </w:p>
          <w:p>
            <w:pPr>
              <w:pStyle w:val="null3"/>
              <w:ind w:firstLine="480"/>
              <w:jc w:val="both"/>
            </w:pPr>
            <w:r>
              <w:rPr>
                <w:rFonts w:ascii="仿宋_GB2312" w:hAnsi="仿宋_GB2312" w:cs="仿宋_GB2312" w:eastAsia="仿宋_GB2312"/>
                <w:sz w:val="24"/>
              </w:rPr>
              <w:t>六、工作成果</w:t>
            </w:r>
          </w:p>
          <w:p>
            <w:pPr>
              <w:pStyle w:val="null3"/>
              <w:ind w:firstLine="480"/>
              <w:jc w:val="both"/>
            </w:pPr>
            <w:r>
              <w:rPr>
                <w:rFonts w:ascii="仿宋_GB2312" w:hAnsi="仿宋_GB2312" w:cs="仿宋_GB2312" w:eastAsia="仿宋_GB2312"/>
                <w:sz w:val="24"/>
              </w:rPr>
              <w:t>1、表格成果</w:t>
            </w:r>
          </w:p>
          <w:p>
            <w:pPr>
              <w:pStyle w:val="null3"/>
              <w:ind w:firstLine="480"/>
              <w:jc w:val="both"/>
            </w:pPr>
            <w:r>
              <w:rPr>
                <w:rFonts w:ascii="仿宋_GB2312" w:hAnsi="仿宋_GB2312" w:cs="仿宋_GB2312" w:eastAsia="仿宋_GB2312"/>
                <w:sz w:val="24"/>
              </w:rPr>
              <w:t>①省</w:t>
            </w:r>
            <w:r>
              <w:rPr>
                <w:rFonts w:ascii="仿宋_GB2312" w:hAnsi="仿宋_GB2312" w:cs="仿宋_GB2312" w:eastAsia="仿宋_GB2312"/>
                <w:sz w:val="24"/>
              </w:rPr>
              <w:t>级耕地恢复过渡期方案初步测算汇总表；</w:t>
            </w:r>
          </w:p>
          <w:p>
            <w:pPr>
              <w:pStyle w:val="null3"/>
              <w:ind w:firstLine="480"/>
              <w:jc w:val="both"/>
            </w:pPr>
            <w:r>
              <w:rPr>
                <w:rFonts w:ascii="仿宋_GB2312" w:hAnsi="仿宋_GB2312" w:cs="仿宋_GB2312" w:eastAsia="仿宋_GB2312"/>
                <w:sz w:val="24"/>
              </w:rPr>
              <w:t>②省</w:t>
            </w:r>
            <w:r>
              <w:rPr>
                <w:rFonts w:ascii="仿宋_GB2312" w:hAnsi="仿宋_GB2312" w:cs="仿宋_GB2312" w:eastAsia="仿宋_GB2312"/>
                <w:sz w:val="24"/>
              </w:rPr>
              <w:t>级耕地恢复过渡期方案分地类调查汇总表；</w:t>
            </w:r>
          </w:p>
          <w:p>
            <w:pPr>
              <w:pStyle w:val="null3"/>
              <w:ind w:firstLine="480"/>
              <w:jc w:val="both"/>
            </w:pPr>
            <w:r>
              <w:rPr>
                <w:rFonts w:ascii="仿宋_GB2312" w:hAnsi="仿宋_GB2312" w:cs="仿宋_GB2312" w:eastAsia="仿宋_GB2312"/>
                <w:sz w:val="24"/>
              </w:rPr>
              <w:t>③省级耕地恢复过渡期方案内永久基本农田分地类调查汇总表；</w:t>
            </w:r>
          </w:p>
          <w:p>
            <w:pPr>
              <w:pStyle w:val="null3"/>
              <w:ind w:firstLine="480"/>
              <w:jc w:val="both"/>
            </w:pPr>
            <w:r>
              <w:rPr>
                <w:rFonts w:ascii="仿宋_GB2312" w:hAnsi="仿宋_GB2312" w:cs="仿宋_GB2312" w:eastAsia="仿宋_GB2312"/>
                <w:sz w:val="24"/>
              </w:rPr>
              <w:t>④省级耕地恢复过渡期方案分年度调查汇总表；</w:t>
            </w:r>
          </w:p>
          <w:p>
            <w:pPr>
              <w:pStyle w:val="null3"/>
              <w:ind w:firstLine="480"/>
              <w:jc w:val="both"/>
            </w:pPr>
            <w:r>
              <w:rPr>
                <w:rFonts w:ascii="仿宋_GB2312" w:hAnsi="仿宋_GB2312" w:cs="仿宋_GB2312" w:eastAsia="仿宋_GB2312"/>
                <w:sz w:val="24"/>
              </w:rPr>
              <w:t>⑤ 省级耕地恢复过渡期方案内永久基本农田分年度调查汇总表。</w:t>
            </w:r>
          </w:p>
          <w:p>
            <w:pPr>
              <w:pStyle w:val="null3"/>
              <w:ind w:firstLine="480"/>
              <w:jc w:val="both"/>
            </w:pPr>
            <w:r>
              <w:rPr>
                <w:rFonts w:ascii="仿宋_GB2312" w:hAnsi="仿宋_GB2312" w:cs="仿宋_GB2312" w:eastAsia="仿宋_GB2312"/>
                <w:sz w:val="24"/>
              </w:rPr>
              <w:t>2、数据成果</w:t>
            </w:r>
          </w:p>
          <w:p>
            <w:pPr>
              <w:pStyle w:val="null3"/>
              <w:ind w:firstLine="480"/>
              <w:jc w:val="both"/>
            </w:pPr>
            <w:r>
              <w:rPr>
                <w:rFonts w:ascii="仿宋_GB2312" w:hAnsi="仿宋_GB2312" w:cs="仿宋_GB2312" w:eastAsia="仿宋_GB2312"/>
                <w:sz w:val="24"/>
              </w:rPr>
              <w:t>省级历史流出耕地分类处置矢量数据。</w:t>
            </w:r>
          </w:p>
          <w:p>
            <w:pPr>
              <w:pStyle w:val="null3"/>
              <w:ind w:firstLine="480"/>
              <w:jc w:val="both"/>
            </w:pPr>
            <w:r>
              <w:rPr>
                <w:rFonts w:ascii="仿宋_GB2312" w:hAnsi="仿宋_GB2312" w:cs="仿宋_GB2312" w:eastAsia="仿宋_GB2312"/>
                <w:sz w:val="24"/>
              </w:rPr>
              <w:t>3、文本成果</w:t>
            </w:r>
          </w:p>
          <w:p>
            <w:pPr>
              <w:pStyle w:val="null3"/>
              <w:ind w:firstLine="480"/>
              <w:jc w:val="both"/>
            </w:pPr>
            <w:r>
              <w:rPr>
                <w:rFonts w:ascii="仿宋_GB2312" w:hAnsi="仿宋_GB2312" w:cs="仿宋_GB2312" w:eastAsia="仿宋_GB2312"/>
                <w:sz w:val="24"/>
              </w:rPr>
              <w:t>陕西省耕地恢复过渡期方案。</w:t>
            </w:r>
          </w:p>
          <w:p>
            <w:pPr>
              <w:pStyle w:val="null3"/>
              <w:ind w:firstLine="480"/>
              <w:jc w:val="both"/>
            </w:pPr>
            <w:r>
              <w:rPr>
                <w:rFonts w:ascii="仿宋_GB2312" w:hAnsi="仿宋_GB2312" w:cs="仿宋_GB2312" w:eastAsia="仿宋_GB2312"/>
                <w:sz w:val="24"/>
              </w:rPr>
              <w:t>五、商务要求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自合同签订之日起至</w:t>
            </w:r>
            <w:r>
              <w:rPr>
                <w:rFonts w:ascii="仿宋_GB2312" w:hAnsi="仿宋_GB2312" w:cs="仿宋_GB2312" w:eastAsia="仿宋_GB2312"/>
                <w:sz w:val="24"/>
              </w:rPr>
              <w:t>2026年3月31日前。（具体以合同约定为准）</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pPr>
            <w:r>
              <w:rPr>
                <w:rFonts w:ascii="仿宋_GB2312" w:hAnsi="仿宋_GB2312" w:cs="仿宋_GB2312" w:eastAsia="仿宋_GB2312"/>
                <w:sz w:val="24"/>
                <w:color w:val="000000"/>
              </w:rPr>
              <w:t>合同签订后，达到付款条件，由供应商开具支付金额的增值税发票起</w:t>
            </w:r>
            <w:r>
              <w:rPr>
                <w:rFonts w:ascii="仿宋_GB2312" w:hAnsi="仿宋_GB2312" w:cs="仿宋_GB2312" w:eastAsia="仿宋_GB2312"/>
                <w:sz w:val="24"/>
                <w:color w:val="000000"/>
              </w:rPr>
              <w:t>10日内，支付合同总金额的40%。形成初步成果，经采购方确认后，由供应商开具支付金额的增值税发票起10日内，支付合同总金额的30%。项目成果经审核通过，按要求报部且所有资料汇交至陕西省国土空间勘测规划院后，由供应商开具支付金额的增值税发票起10日内，支付合同总金额的30%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符合合同条款要求 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响应文件与纸质响应文件不一致的，以系统电子响应文件为准。 线下纸质文件递交截止时间：同在线递交电子响应文件截止时间一致；线下纸质文件递交地点：陕西省西安市曲江新区雁翔路3269号旺座曲江E座30层第三会议室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自合同签订之日起至2026年3月31日前（具体以合同约定为准）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形成初步成果，经采购方确认后，由供应商开具支付金额的增值税发票起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项目成果经采购人验收合格并汇交至陕西省国土空间勘测规划院数据资料中心后，由供应商开具支付金额的增值税发票起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本次采购采取综合评分法，按最后得分由高到低汇总排序。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供应商应当具备主管部门颁发的城乡规划编制单位乙级及以上资质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非联合体声明.docx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专门面向中小微企业采购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本项目专门面向中小企业采购，仅限符合《政府采购促进中小企业发展管理办法》（财库〔2020〕46号）条件的中小企业参与，提供中小企业声明函</w:t>
            </w:r>
          </w:p>
        </w:tc>
        <w:tc>
          <w:tcPr>
            <w:tcW w:type="dxa" w:w="1661"/>
          </w:tcPr>
          <w:p>
            <w:pPr>
              <w:pStyle w:val="null3"/>
            </w:pPr>
            <w:r>
              <w:rPr>
                <w:rFonts w:ascii="仿宋_GB2312" w:hAnsi="仿宋_GB2312" w:cs="仿宋_GB2312" w:eastAsia="仿宋_GB2312"/>
              </w:rPr>
              <w:t>响应文件封面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目标及内容</w:t>
            </w:r>
          </w:p>
        </w:tc>
        <w:tc>
          <w:tcPr>
            <w:tcW w:type="dxa" w:w="2492"/>
          </w:tcPr>
          <w:p>
            <w:pPr>
              <w:pStyle w:val="null3"/>
            </w:pPr>
            <w:r>
              <w:rPr>
                <w:rFonts w:ascii="仿宋_GB2312" w:hAnsi="仿宋_GB2312" w:cs="仿宋_GB2312" w:eastAsia="仿宋_GB2312"/>
              </w:rPr>
              <w:t>目标及内容:对编制方案的目标及内容认识理解进行评审。（内容包括但不限于：①对本项目目标及内容认识理解；②政策理解及现状形势分析；③工作思路及方式方法分析；④存在的问题及对策建议分析）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恢复方案路线</w:t>
            </w:r>
          </w:p>
        </w:tc>
        <w:tc>
          <w:tcPr>
            <w:tcW w:type="dxa" w:w="2492"/>
          </w:tcPr>
          <w:p>
            <w:pPr>
              <w:pStyle w:val="null3"/>
            </w:pPr>
            <w:r>
              <w:rPr>
                <w:rFonts w:ascii="仿宋_GB2312" w:hAnsi="仿宋_GB2312" w:cs="仿宋_GB2312" w:eastAsia="仿宋_GB2312"/>
              </w:rPr>
              <w:t>对恢复方案的技术路线清晰、全面，技术指标明确性进行评审。（内容包括但不限于：①恢复方案路线的清晰性；②恢复方案路线的全面性；③恢复方案路线的科学性；④恢复方案路线的合理性；⑤技术指标的明确性）上述5项内容满分得10分，每有一项缺项扣2分，每有一处内容存在不足的扣1分，最多扣10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恢复方案方法</w:t>
            </w:r>
          </w:p>
        </w:tc>
        <w:tc>
          <w:tcPr>
            <w:tcW w:type="dxa" w:w="2492"/>
          </w:tcPr>
          <w:p>
            <w:pPr>
              <w:pStyle w:val="null3"/>
            </w:pPr>
            <w:r>
              <w:rPr>
                <w:rFonts w:ascii="仿宋_GB2312" w:hAnsi="仿宋_GB2312" w:cs="仿宋_GB2312" w:eastAsia="仿宋_GB2312"/>
              </w:rPr>
              <w:t>对按照目标和内容确定的恢复方案方法进行评审。内容包括但不限于①恢复方案方法的清晰性；②恢复方案方法的全面性；③恢复方案方法的科学性；④恢复方案方法的合理性；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对恢复方案的技术难点分析全面及解决方案进行评审。内容包括但不限于①恢复方案的技术难点分析的全面性；②恢复方案的技术难点分析的专业性；③恢复方案技术难点的科学性；④解决方案的合理性；⑤解决方案的专业性；上述5项内容满分得10分，每有一项缺项扣2分，每有一处内容存在不足的扣1分，最多扣10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项目进度保证措施进行评审。内容包括但不限于①结合恢复方案要求，阐述服务时效及进度的保障措施的全面性；②结合恢复方案要求，阐述服务时效及进度的保障措施的专业性；③结合恢复方案要求，阐述服务时效及进度的保障措施的科学性；④结合恢复方案要求，阐述服务时效及进度的保障措施的合理性；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预期恢复方案成果</w:t>
            </w:r>
          </w:p>
        </w:tc>
        <w:tc>
          <w:tcPr>
            <w:tcW w:type="dxa" w:w="2492"/>
          </w:tcPr>
          <w:p>
            <w:pPr>
              <w:pStyle w:val="null3"/>
            </w:pPr>
            <w:r>
              <w:rPr>
                <w:rFonts w:ascii="仿宋_GB2312" w:hAnsi="仿宋_GB2312" w:cs="仿宋_GB2312" w:eastAsia="仿宋_GB2312"/>
              </w:rPr>
              <w:t>对预期恢复方案成果进行评审。内容包括但不限于①格式规范；②分类合理；③内容齐全；④成果描述具体详实；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对提出的意见建议有益于本项目进行评审。内容包括但不限于①技术；②质量；③进度；④管理；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拟派项目负责人具有土地相关专业高级及以上职称的计3分，不满足不得分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基本要求（5分）：包括项目负责人、开展本项目的相关专业技术人员不少于5名(其中高级职称人员不少于1人，中级职称人员不少于人员基本要求（5分）：包括项目负责人、开展本项目的相关专业技术人员不少于5名(其中高级职称人员不少于1人，中级职称人员不少于2人)，需提供人员近3个月在本单位的社保缴纳证明；外聘人员应提供与本单位签订的聘用合同，满足基本要求得5分，不满足基本要求，此项内容不得分。 2.项目实施团队中，高级职称人数（1人基础上）每增加1名高级及以上职称技术人员加1分，本项满分2分。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1月1日至投标截止时间前）以来，完成省级耕地保护相关工作业绩，有一项得2分，最高得分不超过4分（以合同签订日期为准），完成市、县级耕地保护相关工作业绩，有一项得2分，最高得分不超过12分（以合同签订日期为准）。 备注：须提供完整合同业绩复印件并加盖投标人公章。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-2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-2分；有保密措施、承诺满足项目需求计0.1-1.4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