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C06497">
      <w:pPr>
        <w:widowControl/>
        <w:adjustRightInd w:val="0"/>
        <w:snapToGrid w:val="0"/>
        <w:spacing w:line="360" w:lineRule="auto"/>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lang w:bidi="ar"/>
        </w:rPr>
        <w:t>西安科技大学设备采购合同</w:t>
      </w:r>
    </w:p>
    <w:p w14:paraId="5AE6E706">
      <w:pPr>
        <w:widowControl/>
        <w:adjustRightInd w:val="0"/>
        <w:snapToGrid w:val="0"/>
        <w:spacing w:line="360" w:lineRule="auto"/>
        <w:jc w:val="center"/>
        <w:rPr>
          <w:rFonts w:hint="eastAsia" w:ascii="仿宋" w:hAnsi="仿宋" w:eastAsia="仿宋" w:cs="仿宋"/>
          <w:kern w:val="0"/>
          <w:sz w:val="24"/>
          <w:szCs w:val="24"/>
          <w:highlight w:val="none"/>
          <w:u w:val="single"/>
        </w:rPr>
      </w:pPr>
    </w:p>
    <w:p w14:paraId="388F1CBE">
      <w:pPr>
        <w:widowControl/>
        <w:adjustRightInd w:val="0"/>
        <w:snapToGrid w:val="0"/>
        <w:spacing w:line="360" w:lineRule="auto"/>
        <w:ind w:right="-693" w:rightChars="-330"/>
        <w:rPr>
          <w:rFonts w:hint="eastAsia" w:ascii="仿宋" w:hAnsi="仿宋" w:eastAsia="仿宋" w:cs="仿宋"/>
          <w:b/>
          <w:kern w:val="0"/>
          <w:sz w:val="24"/>
          <w:szCs w:val="24"/>
          <w:highlight w:val="none"/>
          <w:u w:val="single"/>
        </w:rPr>
      </w:pPr>
      <w:r>
        <w:rPr>
          <w:rFonts w:hint="eastAsia" w:ascii="仿宋" w:hAnsi="仿宋" w:eastAsia="仿宋" w:cs="仿宋"/>
          <w:b/>
          <w:bCs/>
          <w:kern w:val="0"/>
          <w:sz w:val="24"/>
          <w:szCs w:val="24"/>
          <w:highlight w:val="none"/>
          <w:lang w:bidi="ar"/>
        </w:rPr>
        <w:t xml:space="preserve">需方（以下简称“甲方”）：西安科技大学      合同编号： </w:t>
      </w:r>
    </w:p>
    <w:p w14:paraId="2A645953">
      <w:pPr>
        <w:widowControl/>
        <w:adjustRightInd w:val="0"/>
        <w:snapToGrid w:val="0"/>
        <w:spacing w:line="360" w:lineRule="auto"/>
        <w:jc w:val="left"/>
        <w:rPr>
          <w:rFonts w:hint="eastAsia" w:ascii="仿宋" w:hAnsi="仿宋" w:eastAsia="仿宋" w:cs="仿宋"/>
          <w:b/>
          <w:bCs/>
          <w:kern w:val="0"/>
          <w:sz w:val="24"/>
          <w:szCs w:val="24"/>
          <w:highlight w:val="none"/>
        </w:rPr>
      </w:pPr>
      <w:r>
        <w:rPr>
          <w:rFonts w:hint="eastAsia" w:ascii="仿宋" w:hAnsi="仿宋" w:eastAsia="仿宋" w:cs="仿宋"/>
          <w:b/>
          <w:bCs/>
          <w:kern w:val="0"/>
          <w:sz w:val="24"/>
          <w:szCs w:val="24"/>
          <w:highlight w:val="none"/>
          <w:lang w:bidi="ar"/>
        </w:rPr>
        <w:t>供方（以下简称“乙方”）：</w:t>
      </w:r>
    </w:p>
    <w:p w14:paraId="091F5DBA">
      <w:pPr>
        <w:widowControl/>
        <w:adjustRightInd w:val="0"/>
        <w:snapToGrid w:val="0"/>
        <w:spacing w:line="360" w:lineRule="auto"/>
        <w:ind w:firstLine="54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bidi="ar"/>
        </w:rPr>
        <w:t>依据《中华人民共和国民法典》，甲乙双方经协商一致，就购买</w:t>
      </w:r>
      <w:r>
        <w:rPr>
          <w:rFonts w:hint="eastAsia" w:ascii="仿宋" w:hAnsi="仿宋" w:eastAsia="仿宋" w:cs="仿宋"/>
          <w:sz w:val="24"/>
          <w:szCs w:val="24"/>
          <w:highlight w:val="none"/>
          <w:u w:val="single"/>
          <w:lang w:bidi="ar"/>
        </w:rPr>
        <w:t xml:space="preserve"> (</w:t>
      </w:r>
      <w:r>
        <w:rPr>
          <w:rFonts w:hint="eastAsia" w:ascii="仿宋" w:hAnsi="仿宋" w:eastAsia="仿宋" w:cs="仿宋"/>
          <w:sz w:val="24"/>
          <w:szCs w:val="24"/>
          <w:highlight w:val="none"/>
          <w:u w:val="single"/>
          <w:lang w:val="en-US" w:eastAsia="zh-CN" w:bidi="ar"/>
        </w:rPr>
        <w:t xml:space="preserve">         </w:t>
      </w:r>
      <w:r>
        <w:rPr>
          <w:rFonts w:hint="eastAsia" w:ascii="仿宋" w:hAnsi="仿宋" w:eastAsia="仿宋" w:cs="仿宋"/>
          <w:sz w:val="24"/>
          <w:szCs w:val="24"/>
          <w:highlight w:val="none"/>
          <w:u w:val="single"/>
          <w:lang w:bidi="ar"/>
        </w:rPr>
        <w:t>) 设备</w:t>
      </w:r>
      <w:r>
        <w:rPr>
          <w:rFonts w:hint="eastAsia" w:ascii="仿宋" w:hAnsi="仿宋" w:eastAsia="仿宋" w:cs="仿宋"/>
          <w:kern w:val="0"/>
          <w:sz w:val="24"/>
          <w:szCs w:val="24"/>
          <w:highlight w:val="none"/>
          <w:lang w:bidi="ar"/>
        </w:rPr>
        <w:t>事宜，确立本合同,双方共同遵守：</w:t>
      </w:r>
    </w:p>
    <w:p w14:paraId="7BA3FB15">
      <w:pPr>
        <w:widowControl/>
        <w:adjustRightInd w:val="0"/>
        <w:snapToGrid w:val="0"/>
        <w:spacing w:line="360" w:lineRule="auto"/>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lang w:bidi="ar"/>
        </w:rPr>
        <w:t xml:space="preserve">一、产品名称、数量、价格：                         </w:t>
      </w:r>
    </w:p>
    <w:tbl>
      <w:tblPr>
        <w:tblStyle w:val="3"/>
        <w:tblpPr w:leftFromText="180" w:rightFromText="180" w:vertAnchor="text" w:horzAnchor="margin" w:tblpX="-253" w:tblpY="158"/>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2049"/>
        <w:gridCol w:w="1080"/>
        <w:gridCol w:w="900"/>
        <w:gridCol w:w="1260"/>
        <w:gridCol w:w="900"/>
        <w:gridCol w:w="1080"/>
        <w:gridCol w:w="1260"/>
      </w:tblGrid>
      <w:tr w14:paraId="4CC8B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trPr>
        <w:tc>
          <w:tcPr>
            <w:tcW w:w="646"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167F8E6D">
            <w:pPr>
              <w:adjustRightInd w:val="0"/>
              <w:snapToGrid w:val="0"/>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lang w:bidi="ar"/>
              </w:rPr>
              <w:t>序号</w:t>
            </w:r>
          </w:p>
        </w:tc>
        <w:tc>
          <w:tcPr>
            <w:tcW w:w="2049"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6070B27E">
            <w:pPr>
              <w:adjustRightInd w:val="0"/>
              <w:snapToGrid w:val="0"/>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lang w:bidi="ar"/>
              </w:rPr>
              <w:t>设备名称</w:t>
            </w:r>
          </w:p>
        </w:tc>
        <w:tc>
          <w:tcPr>
            <w:tcW w:w="108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7D12B627">
            <w:pPr>
              <w:adjustRightInd w:val="0"/>
              <w:snapToGrid w:val="0"/>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lang w:bidi="ar"/>
              </w:rPr>
              <w:t>规格型号</w:t>
            </w:r>
          </w:p>
        </w:tc>
        <w:tc>
          <w:tcPr>
            <w:tcW w:w="90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6D490D04">
            <w:pPr>
              <w:adjustRightInd w:val="0"/>
              <w:snapToGrid w:val="0"/>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lang w:bidi="ar"/>
              </w:rPr>
              <w:t>品牌</w:t>
            </w:r>
          </w:p>
        </w:tc>
        <w:tc>
          <w:tcPr>
            <w:tcW w:w="126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03F8B0DD">
            <w:pPr>
              <w:adjustRightInd w:val="0"/>
              <w:snapToGrid w:val="0"/>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lang w:bidi="ar"/>
              </w:rPr>
              <w:t>生产厂家</w:t>
            </w:r>
          </w:p>
        </w:tc>
        <w:tc>
          <w:tcPr>
            <w:tcW w:w="90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72E6539E">
            <w:pPr>
              <w:adjustRightInd w:val="0"/>
              <w:snapToGrid w:val="0"/>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lang w:bidi="ar"/>
              </w:rPr>
              <w:t>数量</w:t>
            </w:r>
          </w:p>
        </w:tc>
        <w:tc>
          <w:tcPr>
            <w:tcW w:w="108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55856F7C">
            <w:pPr>
              <w:adjustRightInd w:val="0"/>
              <w:snapToGrid w:val="0"/>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lang w:bidi="ar"/>
              </w:rPr>
              <w:t>单价(元)</w:t>
            </w:r>
          </w:p>
        </w:tc>
        <w:tc>
          <w:tcPr>
            <w:tcW w:w="126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42FDA069">
            <w:pPr>
              <w:adjustRightInd w:val="0"/>
              <w:snapToGrid w:val="0"/>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lang w:bidi="ar"/>
              </w:rPr>
              <w:t>合计( 元)</w:t>
            </w:r>
          </w:p>
        </w:tc>
      </w:tr>
      <w:tr w14:paraId="64D0C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46" w:type="dxa"/>
            <w:tcBorders>
              <w:top w:val="single" w:color="auto" w:sz="4" w:space="0"/>
              <w:left w:val="single" w:color="auto" w:sz="4" w:space="0"/>
              <w:bottom w:val="single" w:color="auto" w:sz="4" w:space="0"/>
              <w:right w:val="single" w:color="auto" w:sz="4" w:space="0"/>
            </w:tcBorders>
            <w:noWrap w:val="0"/>
            <w:vAlign w:val="center"/>
          </w:tcPr>
          <w:p w14:paraId="21EB8917">
            <w:pPr>
              <w:adjustRightInd w:val="0"/>
              <w:snapToGrid w:val="0"/>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lang w:bidi="ar"/>
              </w:rPr>
              <w:t>1</w:t>
            </w:r>
          </w:p>
        </w:tc>
        <w:tc>
          <w:tcPr>
            <w:tcW w:w="2049" w:type="dxa"/>
            <w:tcBorders>
              <w:top w:val="single" w:color="auto" w:sz="4" w:space="0"/>
              <w:left w:val="single" w:color="auto" w:sz="4" w:space="0"/>
              <w:bottom w:val="single" w:color="auto" w:sz="4" w:space="0"/>
              <w:right w:val="single" w:color="auto" w:sz="4" w:space="0"/>
            </w:tcBorders>
            <w:noWrap w:val="0"/>
            <w:vAlign w:val="center"/>
          </w:tcPr>
          <w:p w14:paraId="4DD4503F">
            <w:pPr>
              <w:adjustRightInd w:val="0"/>
              <w:snapToGrid w:val="0"/>
              <w:spacing w:line="360" w:lineRule="auto"/>
              <w:jc w:val="center"/>
              <w:rPr>
                <w:rFonts w:hint="eastAsia" w:ascii="仿宋" w:hAnsi="仿宋" w:eastAsia="仿宋" w:cs="仿宋"/>
                <w:sz w:val="24"/>
                <w:szCs w:val="24"/>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08574629">
            <w:pPr>
              <w:adjustRightInd w:val="0"/>
              <w:snapToGrid w:val="0"/>
              <w:spacing w:line="360" w:lineRule="auto"/>
              <w:jc w:val="center"/>
              <w:rPr>
                <w:rFonts w:hint="eastAsia" w:ascii="仿宋" w:hAnsi="仿宋" w:eastAsia="仿宋" w:cs="仿宋"/>
                <w:sz w:val="24"/>
                <w:szCs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top"/>
          </w:tcPr>
          <w:p w14:paraId="1A3010E9">
            <w:pPr>
              <w:adjustRightInd w:val="0"/>
              <w:snapToGrid w:val="0"/>
              <w:spacing w:line="360" w:lineRule="auto"/>
              <w:jc w:val="center"/>
              <w:rPr>
                <w:rFonts w:hint="eastAsia" w:ascii="仿宋" w:hAnsi="仿宋" w:eastAsia="仿宋" w:cs="仿宋"/>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4C9C6130">
            <w:pPr>
              <w:adjustRightInd w:val="0"/>
              <w:snapToGrid w:val="0"/>
              <w:spacing w:line="360" w:lineRule="auto"/>
              <w:jc w:val="center"/>
              <w:rPr>
                <w:rFonts w:hint="eastAsia" w:ascii="仿宋" w:hAnsi="仿宋" w:eastAsia="仿宋" w:cs="仿宋"/>
                <w:sz w:val="24"/>
                <w:szCs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687629C7">
            <w:pPr>
              <w:adjustRightInd w:val="0"/>
              <w:snapToGrid w:val="0"/>
              <w:spacing w:line="360" w:lineRule="auto"/>
              <w:jc w:val="center"/>
              <w:rPr>
                <w:rFonts w:hint="eastAsia" w:ascii="仿宋" w:hAnsi="仿宋" w:eastAsia="仿宋" w:cs="仿宋"/>
                <w:sz w:val="24"/>
                <w:szCs w:val="24"/>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32E35A94">
            <w:pPr>
              <w:adjustRightInd w:val="0"/>
              <w:snapToGrid w:val="0"/>
              <w:spacing w:line="360" w:lineRule="auto"/>
              <w:jc w:val="center"/>
              <w:rPr>
                <w:rFonts w:hint="eastAsia" w:ascii="仿宋" w:hAnsi="仿宋" w:eastAsia="仿宋" w:cs="仿宋"/>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6A9D177A">
            <w:pPr>
              <w:adjustRightInd w:val="0"/>
              <w:snapToGrid w:val="0"/>
              <w:spacing w:line="360" w:lineRule="auto"/>
              <w:jc w:val="center"/>
              <w:rPr>
                <w:rFonts w:hint="eastAsia" w:ascii="仿宋" w:hAnsi="仿宋" w:eastAsia="仿宋" w:cs="仿宋"/>
                <w:sz w:val="24"/>
                <w:szCs w:val="24"/>
                <w:highlight w:val="none"/>
              </w:rPr>
            </w:pPr>
          </w:p>
        </w:tc>
      </w:tr>
      <w:tr w14:paraId="0E092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646" w:type="dxa"/>
            <w:tcBorders>
              <w:top w:val="single" w:color="auto" w:sz="4" w:space="0"/>
              <w:left w:val="single" w:color="auto" w:sz="4" w:space="0"/>
              <w:bottom w:val="single" w:color="auto" w:sz="4" w:space="0"/>
              <w:right w:val="single" w:color="auto" w:sz="4" w:space="0"/>
            </w:tcBorders>
            <w:noWrap w:val="0"/>
            <w:vAlign w:val="center"/>
          </w:tcPr>
          <w:p w14:paraId="11FD08D1">
            <w:pPr>
              <w:adjustRightInd w:val="0"/>
              <w:snapToGrid w:val="0"/>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lang w:bidi="ar"/>
              </w:rPr>
              <w:t>2</w:t>
            </w:r>
          </w:p>
        </w:tc>
        <w:tc>
          <w:tcPr>
            <w:tcW w:w="2049" w:type="dxa"/>
            <w:tcBorders>
              <w:top w:val="single" w:color="auto" w:sz="4" w:space="0"/>
              <w:left w:val="single" w:color="auto" w:sz="4" w:space="0"/>
              <w:bottom w:val="single" w:color="auto" w:sz="4" w:space="0"/>
              <w:right w:val="single" w:color="auto" w:sz="4" w:space="0"/>
            </w:tcBorders>
            <w:noWrap w:val="0"/>
            <w:vAlign w:val="center"/>
          </w:tcPr>
          <w:p w14:paraId="12BB234E">
            <w:pPr>
              <w:adjustRightInd w:val="0"/>
              <w:snapToGrid w:val="0"/>
              <w:spacing w:line="360" w:lineRule="auto"/>
              <w:jc w:val="center"/>
              <w:rPr>
                <w:rFonts w:hint="eastAsia" w:ascii="仿宋" w:hAnsi="仿宋" w:eastAsia="仿宋" w:cs="仿宋"/>
                <w:sz w:val="24"/>
                <w:szCs w:val="24"/>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6B1B7737">
            <w:pPr>
              <w:adjustRightInd w:val="0"/>
              <w:snapToGrid w:val="0"/>
              <w:spacing w:line="360" w:lineRule="auto"/>
              <w:jc w:val="center"/>
              <w:rPr>
                <w:rFonts w:hint="eastAsia" w:ascii="仿宋" w:hAnsi="仿宋" w:eastAsia="仿宋" w:cs="仿宋"/>
                <w:sz w:val="24"/>
                <w:szCs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top"/>
          </w:tcPr>
          <w:p w14:paraId="084E08E1">
            <w:pPr>
              <w:adjustRightInd w:val="0"/>
              <w:snapToGrid w:val="0"/>
              <w:spacing w:line="360" w:lineRule="auto"/>
              <w:jc w:val="center"/>
              <w:rPr>
                <w:rFonts w:hint="eastAsia" w:ascii="仿宋" w:hAnsi="仿宋" w:eastAsia="仿宋" w:cs="仿宋"/>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6EEAB538">
            <w:pPr>
              <w:adjustRightInd w:val="0"/>
              <w:snapToGrid w:val="0"/>
              <w:spacing w:line="360" w:lineRule="auto"/>
              <w:jc w:val="center"/>
              <w:rPr>
                <w:rFonts w:hint="eastAsia" w:ascii="仿宋" w:hAnsi="仿宋" w:eastAsia="仿宋" w:cs="仿宋"/>
                <w:sz w:val="24"/>
                <w:szCs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16019152">
            <w:pPr>
              <w:adjustRightInd w:val="0"/>
              <w:snapToGrid w:val="0"/>
              <w:spacing w:line="360" w:lineRule="auto"/>
              <w:jc w:val="center"/>
              <w:rPr>
                <w:rFonts w:hint="eastAsia" w:ascii="仿宋" w:hAnsi="仿宋" w:eastAsia="仿宋" w:cs="仿宋"/>
                <w:sz w:val="24"/>
                <w:szCs w:val="24"/>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1A689066">
            <w:pPr>
              <w:adjustRightInd w:val="0"/>
              <w:snapToGrid w:val="0"/>
              <w:spacing w:line="360" w:lineRule="auto"/>
              <w:jc w:val="center"/>
              <w:rPr>
                <w:rFonts w:hint="eastAsia" w:ascii="仿宋" w:hAnsi="仿宋" w:eastAsia="仿宋" w:cs="仿宋"/>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0DF0E9CA">
            <w:pPr>
              <w:adjustRightInd w:val="0"/>
              <w:snapToGrid w:val="0"/>
              <w:spacing w:line="360" w:lineRule="auto"/>
              <w:jc w:val="center"/>
              <w:rPr>
                <w:rFonts w:hint="eastAsia" w:ascii="仿宋" w:hAnsi="仿宋" w:eastAsia="仿宋" w:cs="仿宋"/>
                <w:sz w:val="24"/>
                <w:szCs w:val="24"/>
                <w:highlight w:val="none"/>
              </w:rPr>
            </w:pPr>
          </w:p>
        </w:tc>
      </w:tr>
      <w:tr w14:paraId="0234E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646" w:type="dxa"/>
            <w:tcBorders>
              <w:top w:val="single" w:color="auto" w:sz="4" w:space="0"/>
              <w:left w:val="single" w:color="auto" w:sz="4" w:space="0"/>
              <w:bottom w:val="single" w:color="auto" w:sz="4" w:space="0"/>
              <w:right w:val="single" w:color="auto" w:sz="4" w:space="0"/>
            </w:tcBorders>
            <w:noWrap w:val="0"/>
            <w:vAlign w:val="center"/>
          </w:tcPr>
          <w:p w14:paraId="17568100">
            <w:pPr>
              <w:adjustRightInd w:val="0"/>
              <w:snapToGrid w:val="0"/>
              <w:spacing w:line="360" w:lineRule="auto"/>
              <w:jc w:val="center"/>
              <w:rPr>
                <w:rFonts w:hint="eastAsia" w:ascii="仿宋" w:hAnsi="仿宋" w:eastAsia="仿宋" w:cs="仿宋"/>
                <w:sz w:val="24"/>
                <w:szCs w:val="24"/>
                <w:highlight w:val="none"/>
              </w:rPr>
            </w:pPr>
          </w:p>
        </w:tc>
        <w:tc>
          <w:tcPr>
            <w:tcW w:w="2049" w:type="dxa"/>
            <w:tcBorders>
              <w:top w:val="single" w:color="auto" w:sz="4" w:space="0"/>
              <w:left w:val="single" w:color="auto" w:sz="4" w:space="0"/>
              <w:bottom w:val="single" w:color="auto" w:sz="4" w:space="0"/>
              <w:right w:val="single" w:color="auto" w:sz="4" w:space="0"/>
            </w:tcBorders>
            <w:noWrap w:val="0"/>
            <w:vAlign w:val="center"/>
          </w:tcPr>
          <w:p w14:paraId="704CC015">
            <w:pPr>
              <w:adjustRightInd w:val="0"/>
              <w:snapToGrid w:val="0"/>
              <w:spacing w:line="360" w:lineRule="auto"/>
              <w:jc w:val="center"/>
              <w:rPr>
                <w:rFonts w:hint="eastAsia" w:ascii="仿宋" w:hAnsi="仿宋" w:eastAsia="仿宋" w:cs="仿宋"/>
                <w:sz w:val="24"/>
                <w:szCs w:val="24"/>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4CE994CD">
            <w:pPr>
              <w:adjustRightInd w:val="0"/>
              <w:snapToGrid w:val="0"/>
              <w:spacing w:line="360" w:lineRule="auto"/>
              <w:jc w:val="center"/>
              <w:rPr>
                <w:rFonts w:hint="eastAsia" w:ascii="仿宋" w:hAnsi="仿宋" w:eastAsia="仿宋" w:cs="仿宋"/>
                <w:sz w:val="24"/>
                <w:szCs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top"/>
          </w:tcPr>
          <w:p w14:paraId="16EC54FB">
            <w:pPr>
              <w:adjustRightInd w:val="0"/>
              <w:snapToGrid w:val="0"/>
              <w:spacing w:line="360" w:lineRule="auto"/>
              <w:jc w:val="center"/>
              <w:rPr>
                <w:rFonts w:hint="eastAsia" w:ascii="仿宋" w:hAnsi="仿宋" w:eastAsia="仿宋" w:cs="仿宋"/>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5ED10548">
            <w:pPr>
              <w:adjustRightInd w:val="0"/>
              <w:snapToGrid w:val="0"/>
              <w:spacing w:line="360" w:lineRule="auto"/>
              <w:jc w:val="center"/>
              <w:rPr>
                <w:rFonts w:hint="eastAsia" w:ascii="仿宋" w:hAnsi="仿宋" w:eastAsia="仿宋" w:cs="仿宋"/>
                <w:sz w:val="24"/>
                <w:szCs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5114FB3F">
            <w:pPr>
              <w:adjustRightInd w:val="0"/>
              <w:snapToGrid w:val="0"/>
              <w:spacing w:line="360" w:lineRule="auto"/>
              <w:jc w:val="center"/>
              <w:rPr>
                <w:rFonts w:hint="eastAsia" w:ascii="仿宋" w:hAnsi="仿宋" w:eastAsia="仿宋" w:cs="仿宋"/>
                <w:sz w:val="24"/>
                <w:szCs w:val="24"/>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68B799FF">
            <w:pPr>
              <w:adjustRightInd w:val="0"/>
              <w:snapToGrid w:val="0"/>
              <w:spacing w:line="360" w:lineRule="auto"/>
              <w:jc w:val="center"/>
              <w:rPr>
                <w:rFonts w:hint="eastAsia" w:ascii="仿宋" w:hAnsi="仿宋" w:eastAsia="仿宋" w:cs="仿宋"/>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5F7747F4">
            <w:pPr>
              <w:adjustRightInd w:val="0"/>
              <w:snapToGrid w:val="0"/>
              <w:spacing w:line="360" w:lineRule="auto"/>
              <w:jc w:val="center"/>
              <w:rPr>
                <w:rFonts w:hint="eastAsia" w:ascii="仿宋" w:hAnsi="仿宋" w:eastAsia="仿宋" w:cs="仿宋"/>
                <w:sz w:val="24"/>
                <w:szCs w:val="24"/>
                <w:highlight w:val="none"/>
              </w:rPr>
            </w:pPr>
          </w:p>
        </w:tc>
      </w:tr>
      <w:tr w14:paraId="05A9A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46" w:type="dxa"/>
            <w:tcBorders>
              <w:top w:val="single" w:color="auto" w:sz="4" w:space="0"/>
              <w:left w:val="single" w:color="auto" w:sz="4" w:space="0"/>
              <w:bottom w:val="single" w:color="auto" w:sz="4" w:space="0"/>
              <w:right w:val="single" w:color="auto" w:sz="4" w:space="0"/>
            </w:tcBorders>
            <w:noWrap w:val="0"/>
            <w:vAlign w:val="center"/>
          </w:tcPr>
          <w:p w14:paraId="27C80C3A">
            <w:pPr>
              <w:adjustRightInd w:val="0"/>
              <w:snapToGrid w:val="0"/>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lang w:bidi="ar"/>
              </w:rPr>
              <w:t>合计</w:t>
            </w:r>
          </w:p>
        </w:tc>
        <w:tc>
          <w:tcPr>
            <w:tcW w:w="7269" w:type="dxa"/>
            <w:gridSpan w:val="6"/>
            <w:tcBorders>
              <w:top w:val="single" w:color="auto" w:sz="4" w:space="0"/>
              <w:left w:val="single" w:color="auto" w:sz="4" w:space="0"/>
              <w:bottom w:val="single" w:color="auto" w:sz="4" w:space="0"/>
              <w:right w:val="single" w:color="auto" w:sz="4" w:space="0"/>
            </w:tcBorders>
            <w:noWrap w:val="0"/>
            <w:vAlign w:val="center"/>
          </w:tcPr>
          <w:p w14:paraId="738F679F">
            <w:pPr>
              <w:adjustRightInd w:val="0"/>
              <w:snapToGrid w:val="0"/>
              <w:spacing w:line="360" w:lineRule="auto"/>
              <w:rPr>
                <w:rFonts w:hint="eastAsia" w:ascii="仿宋" w:hAnsi="仿宋" w:eastAsia="仿宋" w:cs="仿宋"/>
                <w:b/>
                <w:sz w:val="24"/>
                <w:szCs w:val="24"/>
                <w:highlight w:val="none"/>
              </w:rPr>
            </w:pPr>
            <w:r>
              <w:rPr>
                <w:rFonts w:hint="eastAsia" w:ascii="仿宋" w:hAnsi="仿宋" w:eastAsia="仿宋" w:cs="仿宋"/>
                <w:b/>
                <w:sz w:val="24"/>
                <w:szCs w:val="24"/>
                <w:highlight w:val="none"/>
                <w:lang w:bidi="ar"/>
              </w:rPr>
              <w:t>大写：                                      （含税价）</w:t>
            </w:r>
          </w:p>
        </w:tc>
        <w:tc>
          <w:tcPr>
            <w:tcW w:w="1260" w:type="dxa"/>
            <w:tcBorders>
              <w:top w:val="single" w:color="auto" w:sz="4" w:space="0"/>
              <w:left w:val="single" w:color="auto" w:sz="4" w:space="0"/>
              <w:bottom w:val="single" w:color="auto" w:sz="4" w:space="0"/>
              <w:right w:val="single" w:color="auto" w:sz="4" w:space="0"/>
            </w:tcBorders>
            <w:noWrap w:val="0"/>
            <w:vAlign w:val="center"/>
          </w:tcPr>
          <w:p w14:paraId="6B524C67">
            <w:pPr>
              <w:adjustRightInd w:val="0"/>
              <w:snapToGrid w:val="0"/>
              <w:spacing w:line="360" w:lineRule="auto"/>
              <w:jc w:val="center"/>
              <w:rPr>
                <w:rFonts w:hint="eastAsia" w:ascii="仿宋" w:hAnsi="仿宋" w:eastAsia="仿宋" w:cs="仿宋"/>
                <w:b/>
                <w:sz w:val="24"/>
                <w:szCs w:val="24"/>
                <w:highlight w:val="none"/>
              </w:rPr>
            </w:pPr>
          </w:p>
        </w:tc>
      </w:tr>
    </w:tbl>
    <w:p w14:paraId="02FA6AE9">
      <w:pPr>
        <w:widowControl/>
        <w:adjustRightInd w:val="0"/>
        <w:snapToGrid w:val="0"/>
        <w:spacing w:line="360" w:lineRule="auto"/>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bidi="ar"/>
        </w:rPr>
        <w:t xml:space="preserve">    1、合同总金额包括货物价款、附件、专用工具、安装、调试、检验、技术培训及技术资料和包装、运输、保险</w:t>
      </w:r>
      <w:r>
        <w:rPr>
          <w:rFonts w:hint="eastAsia" w:ascii="仿宋" w:hAnsi="仿宋" w:eastAsia="仿宋" w:cs="仿宋"/>
          <w:kern w:val="0"/>
          <w:sz w:val="24"/>
          <w:szCs w:val="24"/>
          <w:highlight w:val="none"/>
          <w:lang w:eastAsia="zh-CN" w:bidi="ar"/>
        </w:rPr>
        <w:t>、</w:t>
      </w:r>
      <w:r>
        <w:rPr>
          <w:rFonts w:hint="eastAsia" w:ascii="仿宋" w:hAnsi="仿宋" w:eastAsia="仿宋" w:cs="仿宋"/>
          <w:kern w:val="0"/>
          <w:sz w:val="24"/>
          <w:szCs w:val="24"/>
          <w:highlight w:val="none"/>
          <w:lang w:val="en-US" w:eastAsia="zh-CN" w:bidi="ar"/>
        </w:rPr>
        <w:t>税费</w:t>
      </w:r>
      <w:r>
        <w:rPr>
          <w:rFonts w:hint="eastAsia" w:ascii="仿宋" w:hAnsi="仿宋" w:eastAsia="仿宋" w:cs="仿宋"/>
          <w:kern w:val="0"/>
          <w:sz w:val="24"/>
          <w:szCs w:val="24"/>
          <w:highlight w:val="none"/>
          <w:lang w:bidi="ar"/>
        </w:rPr>
        <w:t>等全部费用，如果招投标文件对其另有规定的，从其规定。</w:t>
      </w:r>
    </w:p>
    <w:p w14:paraId="52810939">
      <w:pPr>
        <w:widowControl/>
        <w:adjustRightInd w:val="0"/>
        <w:snapToGrid w:val="0"/>
        <w:spacing w:line="360" w:lineRule="auto"/>
        <w:jc w:val="left"/>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lang w:bidi="ar"/>
        </w:rPr>
        <w:t>二、质量标准：</w:t>
      </w:r>
    </w:p>
    <w:p w14:paraId="52856312">
      <w:pPr>
        <w:widowControl/>
        <w:adjustRightInd w:val="0"/>
        <w:snapToGrid w:val="0"/>
        <w:spacing w:line="360" w:lineRule="auto"/>
        <w:ind w:firstLine="480" w:firstLineChars="200"/>
        <w:jc w:val="left"/>
        <w:rPr>
          <w:rFonts w:hint="eastAsia" w:ascii="仿宋" w:hAnsi="仿宋" w:eastAsia="仿宋" w:cs="仿宋"/>
          <w:kern w:val="0"/>
          <w:sz w:val="24"/>
          <w:szCs w:val="24"/>
          <w:highlight w:val="none"/>
          <w:lang w:bidi="ar"/>
        </w:rPr>
      </w:pPr>
      <w:r>
        <w:rPr>
          <w:rFonts w:hint="eastAsia" w:ascii="仿宋" w:hAnsi="仿宋" w:eastAsia="仿宋" w:cs="仿宋"/>
          <w:sz w:val="24"/>
          <w:szCs w:val="24"/>
          <w:highlight w:val="none"/>
          <w:lang w:bidi="ar"/>
        </w:rPr>
        <w:t>乙方提供的货物必须符合中华人民共和国国家安全环保标准，国家及有关行业产品质量认证标准。</w:t>
      </w:r>
      <w:r>
        <w:rPr>
          <w:rFonts w:hint="eastAsia" w:ascii="仿宋" w:hAnsi="仿宋" w:eastAsia="仿宋" w:cs="仿宋"/>
          <w:sz w:val="24"/>
          <w:szCs w:val="24"/>
          <w:highlight w:val="none"/>
          <w:lang w:val="en-US" w:eastAsia="zh-CN" w:bidi="ar"/>
        </w:rPr>
        <w:t>投标</w:t>
      </w:r>
      <w:r>
        <w:rPr>
          <w:rFonts w:hint="eastAsia" w:ascii="仿宋" w:hAnsi="仿宋" w:eastAsia="仿宋" w:cs="仿宋"/>
          <w:sz w:val="24"/>
          <w:szCs w:val="24"/>
          <w:highlight w:val="none"/>
          <w:lang w:bidi="ar"/>
        </w:rPr>
        <w:t>文件的质量要求及双方签字确认的技术协议</w:t>
      </w:r>
      <w:r>
        <w:rPr>
          <w:rFonts w:hint="eastAsia" w:ascii="仿宋" w:hAnsi="仿宋" w:eastAsia="仿宋" w:cs="仿宋"/>
          <w:kern w:val="0"/>
          <w:sz w:val="24"/>
          <w:szCs w:val="24"/>
          <w:highlight w:val="none"/>
          <w:lang w:bidi="ar"/>
        </w:rPr>
        <w:t>作为本合同的有效附件。</w:t>
      </w:r>
    </w:p>
    <w:p w14:paraId="40E24B8E">
      <w:pPr>
        <w:widowControl/>
        <w:adjustRightInd w:val="0"/>
        <w:snapToGrid w:val="0"/>
        <w:spacing w:line="360" w:lineRule="auto"/>
        <w:jc w:val="left"/>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lang w:bidi="ar"/>
        </w:rPr>
        <w:t>三、交货日期、方式及地点：</w:t>
      </w:r>
    </w:p>
    <w:p w14:paraId="470E8847">
      <w:pPr>
        <w:widowControl/>
        <w:adjustRightInd w:val="0"/>
        <w:snapToGrid w:val="0"/>
        <w:spacing w:line="360" w:lineRule="auto"/>
        <w:ind w:firstLine="470" w:firstLineChars="196"/>
        <w:jc w:val="left"/>
        <w:rPr>
          <w:rFonts w:hint="eastAsia" w:ascii="仿宋" w:hAnsi="仿宋" w:eastAsia="仿宋" w:cs="仿宋"/>
          <w:sz w:val="24"/>
          <w:szCs w:val="24"/>
          <w:highlight w:val="none"/>
        </w:rPr>
      </w:pPr>
      <w:r>
        <w:rPr>
          <w:rFonts w:hint="eastAsia" w:ascii="仿宋" w:hAnsi="仿宋" w:eastAsia="仿宋" w:cs="仿宋"/>
          <w:sz w:val="24"/>
          <w:szCs w:val="24"/>
          <w:highlight w:val="none"/>
          <w:lang w:bidi="ar"/>
        </w:rPr>
        <w:t>合同生效后，于     年   月    日前，乙方将所供设备送</w:t>
      </w:r>
      <w:bookmarkStart w:id="0" w:name="_GoBack"/>
      <w:bookmarkEnd w:id="0"/>
      <w:r>
        <w:rPr>
          <w:rFonts w:hint="eastAsia" w:ascii="仿宋" w:hAnsi="仿宋" w:eastAsia="仿宋" w:cs="仿宋"/>
          <w:sz w:val="24"/>
          <w:szCs w:val="24"/>
          <w:highlight w:val="none"/>
          <w:lang w:bidi="ar"/>
        </w:rPr>
        <w:t>至西安科技大学指定位置并安装调试完毕。</w:t>
      </w:r>
    </w:p>
    <w:p w14:paraId="127718E6">
      <w:pPr>
        <w:widowControl/>
        <w:adjustRightInd w:val="0"/>
        <w:snapToGrid w:val="0"/>
        <w:spacing w:line="360" w:lineRule="auto"/>
        <w:jc w:val="left"/>
        <w:rPr>
          <w:rFonts w:hint="eastAsia" w:ascii="仿宋" w:hAnsi="仿宋" w:eastAsia="仿宋" w:cs="仿宋"/>
          <w:b/>
          <w:bCs/>
          <w:kern w:val="0"/>
          <w:sz w:val="24"/>
          <w:szCs w:val="24"/>
          <w:highlight w:val="none"/>
        </w:rPr>
      </w:pPr>
      <w:r>
        <w:rPr>
          <w:rFonts w:hint="eastAsia" w:ascii="仿宋" w:hAnsi="仿宋" w:eastAsia="仿宋" w:cs="仿宋"/>
          <w:b/>
          <w:kern w:val="0"/>
          <w:sz w:val="24"/>
          <w:szCs w:val="24"/>
          <w:highlight w:val="none"/>
          <w:lang w:bidi="ar"/>
        </w:rPr>
        <w:t>四、乙方对质量保证的条件及期限：</w:t>
      </w:r>
    </w:p>
    <w:p w14:paraId="3310BAE6">
      <w:pPr>
        <w:widowControl/>
        <w:adjustRightInd w:val="0"/>
        <w:snapToGrid w:val="0"/>
        <w:spacing w:line="360" w:lineRule="auto"/>
        <w:ind w:firstLine="42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bidi="ar"/>
        </w:rPr>
        <w:t>1、设备自验收合格之日起保质期</w:t>
      </w:r>
      <w:r>
        <w:rPr>
          <w:rFonts w:hint="eastAsia" w:ascii="仿宋" w:hAnsi="仿宋" w:eastAsia="仿宋" w:cs="仿宋"/>
          <w:kern w:val="0"/>
          <w:sz w:val="24"/>
          <w:szCs w:val="24"/>
          <w:highlight w:val="none"/>
          <w:u w:val="single"/>
          <w:lang w:bidi="ar"/>
        </w:rPr>
        <w:t xml:space="preserve">    </w:t>
      </w:r>
      <w:r>
        <w:rPr>
          <w:rFonts w:hint="eastAsia" w:ascii="仿宋" w:hAnsi="仿宋" w:eastAsia="仿宋" w:cs="仿宋"/>
          <w:kern w:val="0"/>
          <w:sz w:val="24"/>
          <w:szCs w:val="24"/>
          <w:highlight w:val="none"/>
          <w:lang w:bidi="ar"/>
        </w:rPr>
        <w:t>年</w:t>
      </w:r>
      <w:r>
        <w:rPr>
          <w:rFonts w:hint="eastAsia" w:ascii="仿宋" w:hAnsi="仿宋" w:eastAsia="仿宋" w:cs="仿宋"/>
          <w:b/>
          <w:bCs/>
          <w:kern w:val="0"/>
          <w:sz w:val="24"/>
          <w:szCs w:val="24"/>
          <w:highlight w:val="none"/>
          <w:lang w:bidi="ar"/>
        </w:rPr>
        <w:t>。</w:t>
      </w:r>
      <w:r>
        <w:rPr>
          <w:rFonts w:hint="eastAsia" w:ascii="仿宋" w:hAnsi="仿宋" w:eastAsia="仿宋" w:cs="仿宋"/>
          <w:kern w:val="0"/>
          <w:sz w:val="24"/>
          <w:szCs w:val="24"/>
          <w:highlight w:val="none"/>
          <w:lang w:bidi="ar"/>
        </w:rPr>
        <w:t>在保质期内因设备本身的质量问题，乙方负责免费修理、更换零部件或退换，并须对设备出现的有关技术性问题或安全问题负责处理、解决。</w:t>
      </w:r>
    </w:p>
    <w:p w14:paraId="47AAB6D2">
      <w:pPr>
        <w:widowControl/>
        <w:adjustRightInd w:val="0"/>
        <w:snapToGrid w:val="0"/>
        <w:spacing w:line="360" w:lineRule="auto"/>
        <w:ind w:firstLine="420"/>
        <w:jc w:val="left"/>
        <w:rPr>
          <w:rFonts w:hint="eastAsia" w:ascii="仿宋" w:hAnsi="仿宋" w:eastAsia="仿宋" w:cs="仿宋"/>
          <w:kern w:val="0"/>
          <w:sz w:val="24"/>
          <w:szCs w:val="24"/>
          <w:highlight w:val="none"/>
        </w:rPr>
      </w:pPr>
      <w:r>
        <w:rPr>
          <w:rFonts w:hint="eastAsia" w:ascii="仿宋" w:hAnsi="仿宋" w:eastAsia="仿宋" w:cs="仿宋"/>
          <w:sz w:val="24"/>
          <w:szCs w:val="24"/>
          <w:highlight w:val="none"/>
          <w:lang w:bidi="ar"/>
        </w:rPr>
        <w:t>2、乙方所供的货物必须是双方招投标文件规定的全新、未使用的原装产品，并保证所供货物附件齐全且能够独立正常运行，因缺少附件及质量问题而发生的任何损失由乙方负责。</w:t>
      </w:r>
    </w:p>
    <w:p w14:paraId="65DD9F41">
      <w:pPr>
        <w:widowControl/>
        <w:adjustRightInd w:val="0"/>
        <w:snapToGrid w:val="0"/>
        <w:spacing w:line="360" w:lineRule="auto"/>
        <w:jc w:val="left"/>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lang w:bidi="ar"/>
        </w:rPr>
        <w:t>五、设备的包装及运输：</w:t>
      </w:r>
    </w:p>
    <w:p w14:paraId="3D96D115">
      <w:pPr>
        <w:widowControl/>
        <w:adjustRightInd w:val="0"/>
        <w:snapToGrid w:val="0"/>
        <w:spacing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bidi="ar"/>
        </w:rPr>
        <w:t>1、乙方应在设备发运前对其进行满足于运输距离、防震、防锈和防破损装卸要求的包装，以保证货物安全运输到达甲方指定地点。途中发生包装物破损的情况，甲方有权拒收货物。</w:t>
      </w:r>
    </w:p>
    <w:p w14:paraId="0C3549E5">
      <w:pPr>
        <w:widowControl/>
        <w:adjustRightInd w:val="0"/>
        <w:snapToGrid w:val="0"/>
        <w:spacing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bidi="ar"/>
        </w:rPr>
        <w:t>2、包装上注明货物品种及数量。</w:t>
      </w:r>
    </w:p>
    <w:p w14:paraId="093D7BDA">
      <w:pPr>
        <w:widowControl/>
        <w:adjustRightInd w:val="0"/>
        <w:snapToGrid w:val="0"/>
        <w:spacing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bidi="ar"/>
        </w:rPr>
        <w:t>3、使用说明书、质量检验证明书、随配附件和工具以及清单与设备一起发送。</w:t>
      </w:r>
    </w:p>
    <w:p w14:paraId="4A63EA49">
      <w:pPr>
        <w:widowControl/>
        <w:adjustRightInd w:val="0"/>
        <w:snapToGrid w:val="0"/>
        <w:spacing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bidi="ar"/>
        </w:rPr>
        <w:t>4、运输方式：乙方负责运输并承担运输、装卸、倒运及运保费等费用。</w:t>
      </w:r>
    </w:p>
    <w:p w14:paraId="6BD803B8">
      <w:pPr>
        <w:widowControl/>
        <w:adjustRightInd w:val="0"/>
        <w:snapToGrid w:val="0"/>
        <w:spacing w:line="360" w:lineRule="auto"/>
        <w:jc w:val="left"/>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lang w:bidi="ar"/>
        </w:rPr>
        <w:t>六、设备的安装、调试及验收：</w:t>
      </w:r>
    </w:p>
    <w:p w14:paraId="51678DB2">
      <w:pPr>
        <w:widowControl/>
        <w:adjustRightInd w:val="0"/>
        <w:snapToGrid w:val="0"/>
        <w:spacing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bidi="ar"/>
        </w:rPr>
        <w:t>1、乙方负责安装调试，甲方提供必要的工作条件（水电等）。</w:t>
      </w:r>
    </w:p>
    <w:p w14:paraId="5342B64D">
      <w:pPr>
        <w:widowControl/>
        <w:adjustRightInd w:val="0"/>
        <w:snapToGrid w:val="0"/>
        <w:spacing w:line="360" w:lineRule="auto"/>
        <w:ind w:firstLine="480" w:firstLineChars="200"/>
        <w:jc w:val="left"/>
        <w:rPr>
          <w:rFonts w:hint="eastAsia" w:ascii="仿宋" w:hAnsi="仿宋" w:eastAsia="仿宋" w:cs="仿宋"/>
          <w:kern w:val="0"/>
          <w:sz w:val="24"/>
          <w:szCs w:val="24"/>
          <w:highlight w:val="none"/>
          <w:lang w:val="en-US" w:eastAsia="zh-CN"/>
        </w:rPr>
      </w:pPr>
      <w:r>
        <w:rPr>
          <w:rFonts w:hint="eastAsia" w:ascii="仿宋" w:hAnsi="仿宋" w:eastAsia="仿宋" w:cs="仿宋"/>
          <w:kern w:val="0"/>
          <w:sz w:val="24"/>
          <w:szCs w:val="24"/>
          <w:highlight w:val="none"/>
          <w:lang w:val="en-US" w:eastAsia="zh-CN" w:bidi="ar"/>
        </w:rPr>
        <w:t>2、</w:t>
      </w:r>
      <w:r>
        <w:rPr>
          <w:rFonts w:hint="eastAsia" w:ascii="仿宋" w:hAnsi="仿宋" w:eastAsia="仿宋" w:cs="仿宋"/>
          <w:kern w:val="0"/>
          <w:sz w:val="24"/>
          <w:szCs w:val="24"/>
          <w:highlight w:val="none"/>
          <w:lang w:bidi="ar"/>
        </w:rPr>
        <w:t>验收标准和方法</w:t>
      </w:r>
      <w:r>
        <w:rPr>
          <w:rFonts w:hint="eastAsia" w:ascii="仿宋" w:hAnsi="仿宋" w:eastAsia="仿宋" w:cs="仿宋"/>
          <w:kern w:val="0"/>
          <w:sz w:val="24"/>
          <w:szCs w:val="24"/>
          <w:highlight w:val="none"/>
          <w:lang w:eastAsia="zh-CN" w:bidi="ar"/>
        </w:rPr>
        <w:t>：</w:t>
      </w:r>
      <w:r>
        <w:rPr>
          <w:rFonts w:hint="eastAsia" w:ascii="仿宋" w:hAnsi="仿宋" w:eastAsia="仿宋" w:cs="仿宋"/>
          <w:kern w:val="0"/>
          <w:sz w:val="24"/>
          <w:szCs w:val="24"/>
          <w:highlight w:val="none"/>
          <w:lang w:val="en-US" w:eastAsia="zh-CN"/>
        </w:rPr>
        <w:t>设备验收时需外聘相关专业专家进行验收，验收专家费用由中标单位支付；</w:t>
      </w:r>
    </w:p>
    <w:p w14:paraId="10CB44C8">
      <w:pPr>
        <w:widowControl/>
        <w:adjustRightInd w:val="0"/>
        <w:snapToGrid w:val="0"/>
        <w:spacing w:line="360" w:lineRule="auto"/>
        <w:ind w:firstLine="482" w:firstLineChars="200"/>
        <w:jc w:val="left"/>
        <w:rPr>
          <w:rFonts w:hint="eastAsia" w:ascii="仿宋" w:hAnsi="仿宋" w:eastAsia="仿宋" w:cs="仿宋"/>
          <w:kern w:val="0"/>
          <w:sz w:val="24"/>
          <w:szCs w:val="24"/>
          <w:highlight w:val="none"/>
          <w:lang w:val="en-US" w:eastAsia="zh-CN"/>
        </w:rPr>
      </w:pPr>
      <w:r>
        <w:rPr>
          <w:rFonts w:hint="eastAsia" w:ascii="仿宋" w:hAnsi="仿宋" w:eastAsia="仿宋" w:cs="仿宋"/>
          <w:b/>
          <w:bCs/>
          <w:kern w:val="0"/>
          <w:sz w:val="24"/>
          <w:szCs w:val="24"/>
          <w:highlight w:val="none"/>
          <w:lang w:val="en-US" w:eastAsia="zh-CN"/>
        </w:rPr>
        <w:t>进口产品</w:t>
      </w:r>
      <w:r>
        <w:rPr>
          <w:rFonts w:hint="eastAsia" w:ascii="仿宋" w:hAnsi="仿宋" w:eastAsia="仿宋" w:cs="仿宋"/>
          <w:kern w:val="0"/>
          <w:sz w:val="24"/>
          <w:szCs w:val="24"/>
          <w:highlight w:val="none"/>
          <w:lang w:val="en-US" w:eastAsia="zh-CN"/>
        </w:rPr>
        <w:t>：1、交付检验：所供货物到货后，采购人和中标人指定人员共同参加开箱检验，中标人负责开箱，甲乙双方及时对货物名称、厂家、数量、品种、型号、规格、参数、功能需求等（中标人协助）进行核对、检验。若货物与合同约定不符，采购人有权拒绝接收，中标人应无条件退换货直至合格，并承担逾期交货的违约责任，赔偿采购人损失。2、初验：货物通过试运行测试后进入试运行，试运行不少于30日历日。由中标人向采购人（用户）提供详细的试运行报告，报告中至少应详细记录各种实测、运行数据。项目试运行且通过中标人自测后提交采购人（用户）进行初验。验收内容按试运行报告，现场查看货物运行情况。初验合格后，采购人（用户）填写初验验收报告。3、整体验收即终验：该项目初验合格后，采购人根据供应商提供的初验验收报告，组织采购人相关人员或采购人专家组成验收小组对设备进行最终验收。验收依据为本合同文本、招投标文件和国内相应的标准、规范。验收合格后，采购人填写终验验收单，作为付款依据。验收不合格的，限期整改，整改过程中产生的费用和货物发生的一切损失由中标人承担；整改超过二次的，采购人有权单方解除本合同，中标人应无条件退还已收取的全部合同价款，并按合同总价30%向采购人支付违约金，违约金不足弥补采购人损失的，由中标人负责赔偿，货款尾款采购人有权不予支付。</w:t>
      </w:r>
    </w:p>
    <w:p w14:paraId="56203FF6">
      <w:pPr>
        <w:widowControl/>
        <w:adjustRightInd w:val="0"/>
        <w:snapToGrid w:val="0"/>
        <w:spacing w:line="360" w:lineRule="auto"/>
        <w:ind w:firstLine="482" w:firstLineChars="200"/>
        <w:jc w:val="left"/>
        <w:rPr>
          <w:rFonts w:hint="eastAsia" w:ascii="仿宋" w:hAnsi="仿宋" w:eastAsia="仿宋" w:cs="仿宋"/>
          <w:kern w:val="0"/>
          <w:sz w:val="24"/>
          <w:szCs w:val="24"/>
          <w:highlight w:val="none"/>
          <w:lang w:val="en-US" w:eastAsia="zh-CN"/>
        </w:rPr>
      </w:pPr>
      <w:r>
        <w:rPr>
          <w:rFonts w:hint="eastAsia" w:ascii="仿宋" w:hAnsi="仿宋" w:eastAsia="仿宋" w:cs="仿宋"/>
          <w:b/>
          <w:bCs/>
          <w:kern w:val="0"/>
          <w:sz w:val="24"/>
          <w:szCs w:val="24"/>
          <w:highlight w:val="none"/>
          <w:lang w:val="en-US" w:eastAsia="zh-CN"/>
        </w:rPr>
        <w:t>国产产品</w:t>
      </w:r>
      <w:r>
        <w:rPr>
          <w:rFonts w:hint="eastAsia" w:ascii="仿宋" w:hAnsi="仿宋" w:eastAsia="仿宋" w:cs="仿宋"/>
          <w:kern w:val="0"/>
          <w:sz w:val="24"/>
          <w:szCs w:val="24"/>
          <w:highlight w:val="none"/>
          <w:lang w:val="en-US" w:eastAsia="zh-CN"/>
        </w:rPr>
        <w:t>：1、初验：货物安装调试合格后，进行试运行测试，通过试运行测试后进入试运行，试运行不少于30日历日。由中标人向采购人提供详细的试运行报告，报告中至少应详细记录各种实测、运行数据。项目试运行且通过中标人自测后提交采购人使用单位进行初验。验收内容按试运行报告，现场查看货物运行情况。初验完成后，中标人填写初验验收报告并经采购人使用单位确认。2、整体验收即终验：该项目初验完成后，采购人根据使用单位提供的初验验收报告，组织采购人相关人员和专家组成的验收小组对系统设备进行最终验收。验收依据为本合同文本、招投标文件和国内相应的标准、规范，本合同内所列功能参数逐条验收，并符合采购人稳定安全正常使用的需求。验收合格后，采购人填写终验验收单，并由中标人向采购人提交货物所包含的所有资料，以便采购人使用单位日后管理和维护。验收不合格的，限期整改，整改过程中产生的费用和货物发生的一切损失由中标人承担；整改超过二次的，采购人有权单方解除本合同，中标人应无条件退还已收取的全部合同价款，并按合同总价30%向采购人支付违约金，违约金不足弥补采购人损失的，由中标人负责赔偿。</w:t>
      </w:r>
    </w:p>
    <w:p w14:paraId="6288D702">
      <w:pPr>
        <w:widowControl/>
        <w:tabs>
          <w:tab w:val="left" w:pos="94"/>
        </w:tabs>
        <w:adjustRightInd w:val="0"/>
        <w:snapToGrid w:val="0"/>
        <w:spacing w:line="360" w:lineRule="auto"/>
        <w:ind w:hanging="94"/>
        <w:jc w:val="left"/>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lang w:bidi="ar"/>
        </w:rPr>
        <w:t>七、付款方式及期限：</w:t>
      </w:r>
    </w:p>
    <w:p w14:paraId="0257BA8D">
      <w:pPr>
        <w:widowControl/>
        <w:tabs>
          <w:tab w:val="left" w:pos="94"/>
        </w:tabs>
        <w:adjustRightInd w:val="0"/>
        <w:snapToGrid w:val="0"/>
        <w:spacing w:line="360" w:lineRule="auto"/>
        <w:ind w:firstLine="240" w:firstLineChars="1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1.结算单位：采购人结算，在付款前必须开具全额增值税发票给采购人。</w:t>
      </w:r>
    </w:p>
    <w:p w14:paraId="3FFBC9DA">
      <w:pPr>
        <w:widowControl/>
        <w:tabs>
          <w:tab w:val="left" w:pos="94"/>
        </w:tabs>
        <w:adjustRightInd w:val="0"/>
        <w:snapToGrid w:val="0"/>
        <w:spacing w:line="360" w:lineRule="auto"/>
        <w:ind w:firstLine="240" w:firstLineChars="100"/>
        <w:jc w:val="left"/>
        <w:rPr>
          <w:rFonts w:hint="eastAsia" w:ascii="仿宋" w:hAnsi="仿宋" w:eastAsia="仿宋" w:cs="仿宋"/>
          <w:kern w:val="0"/>
          <w:sz w:val="24"/>
          <w:szCs w:val="24"/>
          <w:highlight w:val="none"/>
          <w:lang w:eastAsia="zh-CN"/>
        </w:rPr>
      </w:pPr>
      <w:r>
        <w:rPr>
          <w:rFonts w:hint="eastAsia" w:ascii="仿宋" w:hAnsi="仿宋" w:eastAsia="仿宋" w:cs="仿宋"/>
          <w:kern w:val="0"/>
          <w:sz w:val="24"/>
          <w:szCs w:val="24"/>
          <w:highlight w:val="none"/>
          <w:lang w:val="en-US" w:eastAsia="zh-CN"/>
        </w:rPr>
        <w:t>2</w:t>
      </w:r>
      <w:r>
        <w:rPr>
          <w:rFonts w:hint="eastAsia" w:ascii="仿宋" w:hAnsi="仿宋" w:eastAsia="仿宋" w:cs="仿宋"/>
          <w:kern w:val="0"/>
          <w:sz w:val="24"/>
          <w:szCs w:val="24"/>
          <w:highlight w:val="none"/>
        </w:rPr>
        <w:t>.进口产品付款方式</w:t>
      </w:r>
      <w:r>
        <w:rPr>
          <w:rFonts w:hint="eastAsia" w:ascii="仿宋" w:hAnsi="仿宋" w:eastAsia="仿宋" w:cs="仿宋"/>
          <w:kern w:val="0"/>
          <w:sz w:val="24"/>
          <w:szCs w:val="24"/>
          <w:highlight w:val="none"/>
          <w:lang w:eastAsia="zh-CN"/>
        </w:rPr>
        <w:t>：进口</w:t>
      </w:r>
      <w:r>
        <w:rPr>
          <w:rFonts w:hint="eastAsia" w:ascii="仿宋" w:hAnsi="仿宋" w:eastAsia="仿宋" w:cs="仿宋"/>
          <w:kern w:val="0"/>
          <w:sz w:val="24"/>
          <w:szCs w:val="24"/>
          <w:highlight w:val="none"/>
          <w:lang w:val="en-US" w:eastAsia="zh-CN"/>
        </w:rPr>
        <w:t>产品</w:t>
      </w:r>
      <w:r>
        <w:rPr>
          <w:rFonts w:hint="eastAsia" w:ascii="仿宋" w:hAnsi="仿宋" w:eastAsia="仿宋" w:cs="仿宋"/>
          <w:kern w:val="0"/>
          <w:sz w:val="24"/>
          <w:szCs w:val="24"/>
          <w:highlight w:val="none"/>
          <w:lang w:eastAsia="zh-CN"/>
        </w:rPr>
        <w:t>付款条件：签订合同前向学校缴纳5%的履约保证金，由采购人委托外贸进出口公司开出100%不可撤销信用证，采购人与中标人签订技术协议后，采购人将全额中标金额付至采购人与指定外贸公司开立的保证金账户，外贸公司凭采购人出具的《外贸业务委托单》实施开立即期不可撤销信用证等操作;货到采购人指定地点验收合格后，100%货款凭最终用户&lt;西安科技大学&gt;签署的验收报告解付，解付需采购人指令。缴纳的5%履约保证金无质量问题一次性无息退还。</w:t>
      </w:r>
    </w:p>
    <w:p w14:paraId="789147C6">
      <w:pPr>
        <w:widowControl/>
        <w:tabs>
          <w:tab w:val="left" w:pos="94"/>
        </w:tabs>
        <w:adjustRightInd w:val="0"/>
        <w:snapToGrid w:val="0"/>
        <w:spacing w:line="360" w:lineRule="auto"/>
        <w:ind w:firstLine="480" w:firstLineChars="200"/>
        <w:jc w:val="left"/>
        <w:rPr>
          <w:rFonts w:hint="eastAsia" w:ascii="仿宋" w:hAnsi="仿宋" w:eastAsia="仿宋" w:cs="仿宋"/>
          <w:kern w:val="0"/>
          <w:sz w:val="24"/>
          <w:szCs w:val="24"/>
          <w:highlight w:val="none"/>
          <w:lang w:eastAsia="zh-CN"/>
        </w:rPr>
      </w:pPr>
      <w:r>
        <w:rPr>
          <w:rFonts w:hint="eastAsia" w:ascii="仿宋" w:hAnsi="仿宋" w:eastAsia="仿宋" w:cs="仿宋"/>
          <w:kern w:val="0"/>
          <w:sz w:val="24"/>
          <w:szCs w:val="24"/>
          <w:highlight w:val="none"/>
          <w:lang w:eastAsia="zh-CN"/>
        </w:rPr>
        <w:t>国产产品付款方式：（1）非中小企业中标付款方式：签订合同前向学校缴纳5%的履约保证金，国内产品安装调试经学校验收合格后一次性支付全款，同时缴纳的5%履约保证金无质量问题一次性无息退还。（2）中小企业中标付款方式：签订合同前向学校缴纳5%的履约保证金，合同签订后采购人支付40%合同金额的预付款。国内产品安装调试经学校验收合格后一次性支付60%合同金额的余款，同时缴纳的5%履约保证金无质量问题一次性无息退还。</w:t>
      </w:r>
    </w:p>
    <w:p w14:paraId="5058B0A8">
      <w:pPr>
        <w:widowControl/>
        <w:tabs>
          <w:tab w:val="left" w:pos="94"/>
        </w:tabs>
        <w:adjustRightInd w:val="0"/>
        <w:snapToGrid w:val="0"/>
        <w:spacing w:line="360" w:lineRule="auto"/>
        <w:ind w:firstLine="482" w:firstLineChars="200"/>
        <w:jc w:val="left"/>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lang w:bidi="ar"/>
        </w:rPr>
        <w:t>八、违约责任：</w:t>
      </w:r>
    </w:p>
    <w:p w14:paraId="5F8D2C58">
      <w:pPr>
        <w:widowControl/>
        <w:adjustRightInd w:val="0"/>
        <w:snapToGrid w:val="0"/>
        <w:spacing w:line="360" w:lineRule="auto"/>
        <w:jc w:val="left"/>
        <w:rPr>
          <w:rFonts w:hint="eastAsia" w:ascii="仿宋" w:hAnsi="仿宋" w:eastAsia="仿宋" w:cs="仿宋"/>
          <w:kern w:val="0"/>
          <w:sz w:val="24"/>
          <w:szCs w:val="24"/>
          <w:highlight w:val="none"/>
          <w:lang w:eastAsia="zh-CN"/>
        </w:rPr>
      </w:pPr>
      <w:r>
        <w:rPr>
          <w:rFonts w:hint="eastAsia" w:ascii="仿宋" w:hAnsi="仿宋" w:eastAsia="仿宋" w:cs="仿宋"/>
          <w:kern w:val="0"/>
          <w:sz w:val="24"/>
          <w:szCs w:val="24"/>
          <w:highlight w:val="none"/>
          <w:lang w:eastAsia="zh-CN"/>
        </w:rPr>
        <w:t>1.除本合同约定的违约责任之外，双方按《中华人民共和国民法典》中的相关条款执行。 2.提供的货物不符合合同要求，或者不能满足招标文件技术要求，供应商必须无条件退换直到合格，并承担逾期供货违约责任。否则，采购人有权终止合同，供应商及制造厂商共同退还货款，并支付合同金额30%的违约金，违约金不足以弥补损失的，应继续赔偿损失。 3.除因不可抗力，供应商逾期交货，每天应按合同总价的千分之一向采购人支付违约金。如供应商逾期三十天仍未交齐货物的，采购人有权终止合同，供应商及制造厂商共同退还货款，并按合同总价30%向采购人支付违约金，违约金不足以弥补损失的，应继续赔偿损失。 4.供应商所交货物的类型、版本、参数、功能需求等在使用中如发生不符合合同约定、国家标准，或者所供货物达不到约定技术要求的，或者运行存在较大潜在风险的，导致采购人无法正常使用的，供应商应无条件全额向采购人退还已收取的合同款，并向采购人支付合同总价款30%的违约金，违约金不足以弥补损失的，应继续赔偿损失。 5.供应商所供货物在合理使用期限内，因质量或安装问题造成采购人或第三方人身伤亡、财产损失的，供应商应负责解决并承担赔偿责任，并赔偿采购人所有损失（包含但不限于律师费、诉讼费等一切损失）；供应商应按采购人要求采取退货、换货等方式处理，退换货的一切费用由供应商承担，并应退还采购人支付的合同总货款。 6.若交货后三十日历日内供应商未完成安装调试的，每逾期一日应按合同总价的千分之一向采购人支付违约金。违约金不足以弥补损失的，应继续赔偿采购人损失。</w:t>
      </w:r>
    </w:p>
    <w:p w14:paraId="1EB07B9D">
      <w:pPr>
        <w:widowControl/>
        <w:adjustRightInd w:val="0"/>
        <w:snapToGrid w:val="0"/>
        <w:spacing w:line="360" w:lineRule="auto"/>
        <w:jc w:val="left"/>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lang w:bidi="ar"/>
        </w:rPr>
        <w:t>九、争议解决方式：</w:t>
      </w:r>
    </w:p>
    <w:p w14:paraId="3D53F525">
      <w:pPr>
        <w:widowControl/>
        <w:adjustRightInd w:val="0"/>
        <w:snapToGrid w:val="0"/>
        <w:spacing w:line="360" w:lineRule="auto"/>
        <w:ind w:firstLine="480" w:firstLineChars="200"/>
        <w:jc w:val="left"/>
        <w:rPr>
          <w:rFonts w:hint="eastAsia" w:ascii="仿宋" w:hAnsi="仿宋" w:eastAsia="仿宋" w:cs="仿宋"/>
          <w:b/>
          <w:kern w:val="0"/>
          <w:sz w:val="24"/>
          <w:szCs w:val="24"/>
          <w:highlight w:val="none"/>
        </w:rPr>
      </w:pPr>
      <w:r>
        <w:rPr>
          <w:rFonts w:hint="eastAsia" w:ascii="仿宋" w:hAnsi="仿宋" w:eastAsia="仿宋" w:cs="仿宋"/>
          <w:kern w:val="0"/>
          <w:sz w:val="24"/>
          <w:szCs w:val="24"/>
          <w:highlight w:val="none"/>
          <w:lang w:bidi="ar"/>
        </w:rPr>
        <w:t>本合同在履行过程中，如发生争议，双方友好协商解决，如协商不成，双方同意向</w:t>
      </w:r>
      <w:r>
        <w:rPr>
          <w:rFonts w:hint="eastAsia" w:ascii="仿宋" w:hAnsi="仿宋" w:eastAsia="仿宋" w:cs="仿宋"/>
          <w:kern w:val="0"/>
          <w:sz w:val="24"/>
          <w:szCs w:val="24"/>
          <w:highlight w:val="none"/>
          <w:lang w:val="en-US" w:eastAsia="zh-CN" w:bidi="ar"/>
        </w:rPr>
        <w:t>甲方所在地</w:t>
      </w:r>
      <w:r>
        <w:rPr>
          <w:rFonts w:hint="eastAsia" w:ascii="仿宋" w:hAnsi="仿宋" w:eastAsia="仿宋" w:cs="仿宋"/>
          <w:kern w:val="0"/>
          <w:sz w:val="24"/>
          <w:szCs w:val="24"/>
          <w:highlight w:val="none"/>
          <w:lang w:bidi="ar"/>
        </w:rPr>
        <w:t>法院起诉解决。</w:t>
      </w:r>
    </w:p>
    <w:p w14:paraId="7E29D1A1">
      <w:pPr>
        <w:widowControl/>
        <w:adjustRightInd w:val="0"/>
        <w:snapToGrid w:val="0"/>
        <w:spacing w:line="360" w:lineRule="auto"/>
        <w:jc w:val="left"/>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lang w:bidi="ar"/>
        </w:rPr>
        <w:t>十、其他：</w:t>
      </w:r>
    </w:p>
    <w:p w14:paraId="745FA653">
      <w:pPr>
        <w:widowControl/>
        <w:adjustRightInd w:val="0"/>
        <w:snapToGrid w:val="0"/>
        <w:spacing w:line="360" w:lineRule="auto"/>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bidi="ar"/>
        </w:rPr>
        <w:t xml:space="preserve">    本合同自双方签字盖章之日起生效。本合同一式伍份，甲方执肆份，乙方执壹份，具有同等法律效力。 </w:t>
      </w:r>
    </w:p>
    <w:p w14:paraId="4D380DEA">
      <w:pPr>
        <w:widowControl/>
        <w:adjustRightInd w:val="0"/>
        <w:snapToGrid w:val="0"/>
        <w:spacing w:line="360" w:lineRule="auto"/>
        <w:jc w:val="left"/>
        <w:rPr>
          <w:rFonts w:hint="eastAsia" w:ascii="仿宋" w:hAnsi="仿宋" w:eastAsia="仿宋" w:cs="仿宋"/>
          <w:kern w:val="0"/>
          <w:sz w:val="24"/>
          <w:szCs w:val="24"/>
          <w:highlight w:val="none"/>
        </w:rPr>
      </w:pPr>
    </w:p>
    <w:p w14:paraId="7BAEC696">
      <w:pPr>
        <w:widowControl/>
        <w:adjustRightInd w:val="0"/>
        <w:snapToGrid w:val="0"/>
        <w:spacing w:line="360" w:lineRule="auto"/>
        <w:jc w:val="left"/>
        <w:rPr>
          <w:rFonts w:hint="eastAsia" w:ascii="仿宋" w:hAnsi="仿宋" w:eastAsia="仿宋" w:cs="仿宋"/>
          <w:bCs/>
          <w:kern w:val="0"/>
          <w:sz w:val="24"/>
          <w:szCs w:val="24"/>
          <w:highlight w:val="none"/>
        </w:rPr>
      </w:pPr>
      <w:r>
        <w:rPr>
          <w:rFonts w:hint="eastAsia" w:ascii="仿宋" w:hAnsi="仿宋" w:eastAsia="仿宋" w:cs="仿宋"/>
          <w:bCs/>
          <w:kern w:val="0"/>
          <w:sz w:val="24"/>
          <w:szCs w:val="24"/>
          <w:highlight w:val="none"/>
          <w:lang w:bidi="ar"/>
        </w:rPr>
        <w:t>需方(甲方)</w:t>
      </w:r>
      <w:r>
        <w:rPr>
          <w:rFonts w:hint="eastAsia" w:ascii="仿宋" w:hAnsi="仿宋" w:eastAsia="仿宋" w:cs="仿宋"/>
          <w:kern w:val="0"/>
          <w:sz w:val="24"/>
          <w:szCs w:val="24"/>
          <w:highlight w:val="none"/>
          <w:lang w:bidi="ar"/>
        </w:rPr>
        <w:t xml:space="preserve">：西安科技大学                    </w:t>
      </w:r>
      <w:r>
        <w:rPr>
          <w:rFonts w:hint="eastAsia" w:ascii="仿宋" w:hAnsi="仿宋" w:eastAsia="仿宋" w:cs="仿宋"/>
          <w:bCs/>
          <w:kern w:val="0"/>
          <w:sz w:val="24"/>
          <w:szCs w:val="24"/>
          <w:highlight w:val="none"/>
          <w:lang w:bidi="ar"/>
        </w:rPr>
        <w:t>供方(</w:t>
      </w:r>
      <w:r>
        <w:rPr>
          <w:rFonts w:hint="eastAsia" w:ascii="仿宋" w:hAnsi="仿宋" w:eastAsia="仿宋" w:cs="仿宋"/>
          <w:kern w:val="0"/>
          <w:sz w:val="24"/>
          <w:szCs w:val="24"/>
          <w:highlight w:val="none"/>
          <w:lang w:bidi="ar"/>
        </w:rPr>
        <w:t>乙方</w:t>
      </w:r>
      <w:r>
        <w:rPr>
          <w:rFonts w:hint="eastAsia" w:ascii="仿宋" w:hAnsi="仿宋" w:eastAsia="仿宋" w:cs="仿宋"/>
          <w:bCs/>
          <w:kern w:val="0"/>
          <w:sz w:val="24"/>
          <w:szCs w:val="24"/>
          <w:highlight w:val="none"/>
          <w:lang w:bidi="ar"/>
        </w:rPr>
        <w:t>)</w:t>
      </w:r>
      <w:r>
        <w:rPr>
          <w:rFonts w:hint="eastAsia" w:ascii="仿宋" w:hAnsi="仿宋" w:eastAsia="仿宋" w:cs="仿宋"/>
          <w:kern w:val="0"/>
          <w:sz w:val="24"/>
          <w:szCs w:val="24"/>
          <w:highlight w:val="none"/>
          <w:lang w:bidi="ar"/>
        </w:rPr>
        <w:t xml:space="preserve">：                       </w:t>
      </w:r>
    </w:p>
    <w:p w14:paraId="050E16A6">
      <w:pPr>
        <w:widowControl/>
        <w:adjustRightInd w:val="0"/>
        <w:snapToGrid w:val="0"/>
        <w:spacing w:line="360" w:lineRule="auto"/>
        <w:jc w:val="left"/>
        <w:rPr>
          <w:rFonts w:hint="eastAsia" w:ascii="仿宋" w:hAnsi="仿宋" w:eastAsia="仿宋" w:cs="仿宋"/>
          <w:spacing w:val="-16"/>
          <w:kern w:val="0"/>
          <w:sz w:val="24"/>
          <w:szCs w:val="24"/>
          <w:highlight w:val="none"/>
        </w:rPr>
      </w:pPr>
      <w:r>
        <w:rPr>
          <w:rFonts w:hint="eastAsia" w:ascii="仿宋" w:hAnsi="仿宋" w:eastAsia="仿宋" w:cs="仿宋"/>
          <w:spacing w:val="-16"/>
          <w:kern w:val="0"/>
          <w:sz w:val="24"/>
          <w:szCs w:val="24"/>
          <w:highlight w:val="none"/>
          <w:lang w:bidi="ar"/>
        </w:rPr>
        <w:t xml:space="preserve">项目负责人：                                              法定代表人：    </w:t>
      </w:r>
    </w:p>
    <w:p w14:paraId="28FFB863">
      <w:pPr>
        <w:widowControl/>
        <w:adjustRightInd w:val="0"/>
        <w:snapToGrid w:val="0"/>
        <w:spacing w:line="360" w:lineRule="auto"/>
        <w:jc w:val="left"/>
        <w:rPr>
          <w:rFonts w:hint="eastAsia" w:ascii="仿宋" w:hAnsi="仿宋" w:eastAsia="仿宋" w:cs="仿宋"/>
          <w:spacing w:val="-16"/>
          <w:kern w:val="0"/>
          <w:sz w:val="24"/>
          <w:szCs w:val="24"/>
          <w:highlight w:val="none"/>
        </w:rPr>
      </w:pPr>
    </w:p>
    <w:p w14:paraId="00B4E8AE">
      <w:pPr>
        <w:widowControl/>
        <w:adjustRightInd w:val="0"/>
        <w:snapToGrid w:val="0"/>
        <w:spacing w:line="360" w:lineRule="auto"/>
        <w:jc w:val="left"/>
        <w:rPr>
          <w:rFonts w:hint="eastAsia" w:ascii="仿宋" w:hAnsi="仿宋" w:eastAsia="仿宋" w:cs="仿宋"/>
          <w:spacing w:val="-16"/>
          <w:kern w:val="0"/>
          <w:sz w:val="24"/>
          <w:szCs w:val="24"/>
          <w:highlight w:val="none"/>
        </w:rPr>
      </w:pPr>
      <w:r>
        <w:rPr>
          <w:rFonts w:hint="eastAsia" w:ascii="仿宋" w:hAnsi="仿宋" w:eastAsia="仿宋" w:cs="仿宋"/>
          <w:kern w:val="0"/>
          <w:sz w:val="24"/>
          <w:szCs w:val="24"/>
          <w:highlight w:val="none"/>
          <w:lang w:bidi="ar"/>
        </w:rPr>
        <w:t>授权代表</w:t>
      </w:r>
      <w:r>
        <w:rPr>
          <w:rFonts w:hint="eastAsia" w:ascii="仿宋" w:hAnsi="仿宋" w:eastAsia="仿宋" w:cs="仿宋"/>
          <w:spacing w:val="-16"/>
          <w:kern w:val="0"/>
          <w:sz w:val="24"/>
          <w:szCs w:val="24"/>
          <w:highlight w:val="none"/>
          <w:lang w:bidi="ar"/>
        </w:rPr>
        <w:t xml:space="preserve">：  </w:t>
      </w:r>
      <w:r>
        <w:rPr>
          <w:rFonts w:hint="eastAsia" w:ascii="仿宋" w:hAnsi="仿宋" w:eastAsia="仿宋" w:cs="仿宋"/>
          <w:kern w:val="0"/>
          <w:sz w:val="24"/>
          <w:szCs w:val="24"/>
          <w:highlight w:val="none"/>
          <w:lang w:bidi="ar"/>
        </w:rPr>
        <w:t xml:space="preserve">                       </w:t>
      </w:r>
      <w:r>
        <w:rPr>
          <w:rFonts w:hint="eastAsia" w:ascii="仿宋" w:hAnsi="仿宋" w:eastAsia="仿宋" w:cs="仿宋"/>
          <w:spacing w:val="-16"/>
          <w:kern w:val="0"/>
          <w:sz w:val="24"/>
          <w:szCs w:val="24"/>
          <w:highlight w:val="none"/>
          <w:lang w:bidi="ar"/>
        </w:rPr>
        <w:t xml:space="preserve">   　        </w:t>
      </w:r>
      <w:r>
        <w:rPr>
          <w:rFonts w:hint="eastAsia" w:ascii="仿宋" w:hAnsi="仿宋" w:eastAsia="仿宋" w:cs="仿宋"/>
          <w:kern w:val="0"/>
          <w:sz w:val="24"/>
          <w:szCs w:val="24"/>
          <w:highlight w:val="none"/>
          <w:lang w:bidi="ar"/>
        </w:rPr>
        <w:t>授权代表</w:t>
      </w:r>
      <w:r>
        <w:rPr>
          <w:rFonts w:hint="eastAsia" w:ascii="仿宋" w:hAnsi="仿宋" w:eastAsia="仿宋" w:cs="仿宋"/>
          <w:spacing w:val="-16"/>
          <w:kern w:val="0"/>
          <w:sz w:val="24"/>
          <w:szCs w:val="24"/>
          <w:highlight w:val="none"/>
          <w:lang w:bidi="ar"/>
        </w:rPr>
        <w:t>：</w:t>
      </w:r>
    </w:p>
    <w:p w14:paraId="3C438DB2">
      <w:pPr>
        <w:widowControl/>
        <w:adjustRightInd w:val="0"/>
        <w:snapToGrid w:val="0"/>
        <w:spacing w:line="360" w:lineRule="auto"/>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bidi="ar"/>
        </w:rPr>
        <w:t xml:space="preserve">电话：                                      电    话： </w:t>
      </w:r>
    </w:p>
    <w:p w14:paraId="71860BDA">
      <w:pPr>
        <w:widowControl/>
        <w:adjustRightInd w:val="0"/>
        <w:snapToGrid w:val="0"/>
        <w:spacing w:line="360" w:lineRule="auto"/>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bidi="ar"/>
        </w:rPr>
        <w:t xml:space="preserve">传真：                                      传    真： </w:t>
      </w:r>
    </w:p>
    <w:p w14:paraId="56E04CD1">
      <w:pPr>
        <w:widowControl/>
        <w:adjustRightInd w:val="0"/>
        <w:snapToGrid w:val="0"/>
        <w:spacing w:line="360" w:lineRule="auto"/>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bidi="ar"/>
        </w:rPr>
        <w:t xml:space="preserve">开户银行：                                  开户银行： </w:t>
      </w:r>
    </w:p>
    <w:p w14:paraId="089A027C">
      <w:pPr>
        <w:widowControl/>
        <w:adjustRightInd w:val="0"/>
        <w:snapToGrid w:val="0"/>
        <w:spacing w:line="360" w:lineRule="auto"/>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bidi="ar"/>
        </w:rPr>
        <w:t xml:space="preserve">帐号：                                       帐    号：   </w:t>
      </w:r>
    </w:p>
    <w:p w14:paraId="31D123B0">
      <w:pPr>
        <w:widowControl/>
        <w:adjustRightInd w:val="0"/>
        <w:snapToGrid w:val="0"/>
        <w:spacing w:line="360" w:lineRule="auto"/>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lang w:bidi="ar"/>
        </w:rPr>
        <w:t xml:space="preserve">邮政编码：                                   邮政编码： </w:t>
      </w:r>
    </w:p>
    <w:p w14:paraId="164523A8">
      <w:r>
        <w:rPr>
          <w:rFonts w:hint="eastAsia" w:ascii="仿宋" w:hAnsi="仿宋" w:eastAsia="仿宋" w:cs="仿宋"/>
          <w:kern w:val="0"/>
          <w:sz w:val="24"/>
          <w:szCs w:val="24"/>
          <w:highlight w:val="none"/>
          <w:lang w:bidi="ar"/>
        </w:rPr>
        <w:t>签约时间：20**年  月  日                     签约时间：20**年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AFEC0A"/>
    <w:multiLevelType w:val="multilevel"/>
    <w:tmpl w:val="E6AFEC0A"/>
    <w:lvl w:ilvl="0" w:tentative="0">
      <w:start w:val="1"/>
      <w:numFmt w:val="ideographDigital"/>
      <w:lvlText w:val="%1"/>
      <w:lvlJc w:val="left"/>
      <w:pPr>
        <w:tabs>
          <w:tab w:val="left" w:pos="432"/>
        </w:tabs>
        <w:ind w:left="432" w:hanging="432"/>
      </w:pPr>
      <w:rPr>
        <w:rFonts w:hint="eastAsia"/>
      </w:rPr>
    </w:lvl>
    <w:lvl w:ilvl="1" w:tentative="0">
      <w:start w:val="1"/>
      <w:numFmt w:val="decimal"/>
      <w:lvlRestart w:val="0"/>
      <w:lvlText w:val="%2"/>
      <w:lvlJc w:val="left"/>
      <w:pPr>
        <w:tabs>
          <w:tab w:val="left" w:pos="576"/>
        </w:tabs>
        <w:ind w:left="576" w:hanging="576"/>
      </w:pPr>
      <w:rPr>
        <w:rFonts w:hint="eastAsia"/>
      </w:rPr>
    </w:lvl>
    <w:lvl w:ilvl="2" w:tentative="0">
      <w:start w:val="1"/>
      <w:numFmt w:val="decimal"/>
      <w:lvlText w:val="%2.%3"/>
      <w:lvlJc w:val="left"/>
      <w:pPr>
        <w:tabs>
          <w:tab w:val="left" w:pos="720"/>
        </w:tabs>
        <w:ind w:left="720" w:hanging="720"/>
      </w:pPr>
      <w:rPr>
        <w:rFonts w:hint="eastAsia"/>
      </w:rPr>
    </w:lvl>
    <w:lvl w:ilvl="3" w:tentative="0">
      <w:start w:val="1"/>
      <w:numFmt w:val="decimal"/>
      <w:pStyle w:val="2"/>
      <w:lvlText w:val="%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553529"/>
    <w:rsid w:val="0D5F6D00"/>
    <w:rsid w:val="13C76A41"/>
    <w:rsid w:val="231D1CA3"/>
    <w:rsid w:val="2B255B99"/>
    <w:rsid w:val="2C730B86"/>
    <w:rsid w:val="38627709"/>
    <w:rsid w:val="3E710F2E"/>
    <w:rsid w:val="44553529"/>
    <w:rsid w:val="5C084D49"/>
    <w:rsid w:val="7AF46434"/>
    <w:rsid w:val="7B8819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numPr>
        <w:ilvl w:val="3"/>
        <w:numId w:val="1"/>
      </w:numPr>
      <w:spacing w:line="460" w:lineRule="exact"/>
    </w:pPr>
    <w:rPr>
      <w:rFonts w:cs="Times New Roman"/>
      <w:szCs w:val="16"/>
    </w:rPr>
  </w:style>
  <w:style w:type="paragraph" w:customStyle="1" w:styleId="5">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3133</Words>
  <Characters>3175</Characters>
  <Lines>0</Lines>
  <Paragraphs>0</Paragraphs>
  <TotalTime>7</TotalTime>
  <ScaleCrop>false</ScaleCrop>
  <LinksUpToDate>false</LinksUpToDate>
  <CharactersWithSpaces>3649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2025-07-25T09:32:00Z</dcterms:created>
  <dc:creator>陕西中技招标有限公司</dc:creator>
  <cp:lastModifiedBy>起点</cp:lastModifiedBy>
  <dcterms:modified xsi:type="dcterms:W3CDTF">2025-09-23T06:43:51Z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9FFFD43E2087490D839C69BD7A184B8D_11</vt:lpwstr>
  </property>
  <property fmtid="{D5CDD505-2E9C-101B-9397-08002B2CF9AE}" pid="4" name="KSOTemplateDocerSaveRecord">
    <vt:lpwstr>eyJoZGlkIjoiNzQ2Y2ZmOTBkMTUyODBhYTJmYzM2MWM5NGIxYjkxMDYiLCJ1c2VySWQiOiI2Mjk5OTE3MzAifQ==</vt:lpwstr>
  </property>
</Properties>
</file>