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版本号：ZX2025-10-2220251029001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（货物类）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项目名称：</w:t>
      </w:r>
      <w:r>
        <w:rPr>
          <w:rFonts w:ascii="仿宋_GB2312" w:hAnsi="仿宋_GB2312" w:cs="仿宋_GB2312" w:eastAsia="仿宋_GB2312"/>
          <w:sz w:val="15"/>
          <w:b/>
        </w:rPr>
        <w:t>手性高效液相色谱仪采购项目</w:t>
      </w:r>
    </w:p>
    <w:p>
      <w:pPr>
        <w:pStyle w:val="null3"/>
        <w:jc w:val="center"/>
        <w:outlineLvl w:val="5"/>
      </w:pPr>
      <w:r>
        <w:rPr>
          <w:rFonts w:ascii="仿宋_GB2312" w:hAnsi="仿宋_GB2312" w:cs="仿宋_GB2312" w:eastAsia="仿宋_GB2312"/>
          <w:sz w:val="15"/>
          <w:b/>
        </w:rPr>
        <w:t xml:space="preserve">项目编号: </w:t>
      </w:r>
      <w:r>
        <w:rPr>
          <w:rFonts w:ascii="仿宋_GB2312" w:hAnsi="仿宋_GB2312" w:cs="仿宋_GB2312" w:eastAsia="仿宋_GB2312"/>
          <w:sz w:val="15"/>
          <w:b/>
        </w:rPr>
        <w:t>ZX2025-10-22</w:t>
      </w:r>
      <w:r>
        <w:br/>
      </w:r>
      <w:r>
        <w:br/>
      </w:r>
      <w:r>
        <w:br/>
      </w:r>
      <w:r>
        <w:br/>
      </w:r>
      <w:r>
        <w:br/>
      </w:r>
    </w:p>
    <w:p>
      <w:pPr>
        <w:pStyle w:val="null3"/>
        <w:jc w:val="center"/>
        <w:outlineLvl w:val="5"/>
      </w:pPr>
      <w:r>
        <w:rPr>
          <w:rFonts w:ascii="仿宋_GB2312" w:hAnsi="仿宋_GB2312" w:cs="仿宋_GB2312" w:eastAsia="仿宋_GB2312"/>
          <w:sz w:val="15"/>
          <w:b/>
        </w:rPr>
        <w:t>西北大学</w:t>
      </w:r>
    </w:p>
    <w:p>
      <w:pPr>
        <w:pStyle w:val="null3"/>
        <w:jc w:val="center"/>
        <w:outlineLvl w:val="5"/>
      </w:pPr>
      <w:r>
        <w:rPr>
          <w:rFonts w:ascii="仿宋_GB2312" w:hAnsi="仿宋_GB2312" w:cs="仿宋_GB2312" w:eastAsia="仿宋_GB2312"/>
          <w:sz w:val="15"/>
          <w:b/>
        </w:rPr>
        <w:t>陕西正信招标有限公司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2025年10月29日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陕西正信招标有限公司</w:t>
      </w:r>
      <w:r>
        <w:rPr>
          <w:rFonts w:ascii="仿宋_GB2312" w:hAnsi="仿宋_GB2312" w:cs="仿宋_GB2312" w:eastAsia="仿宋_GB2312"/>
        </w:rPr>
        <w:t>（以下简称“代理机构”）受</w:t>
      </w:r>
      <w:r>
        <w:rPr>
          <w:rFonts w:ascii="仿宋_GB2312" w:hAnsi="仿宋_GB2312" w:cs="仿宋_GB2312" w:eastAsia="仿宋_GB2312"/>
        </w:rPr>
        <w:t>西北大学</w:t>
      </w:r>
      <w:r>
        <w:rPr>
          <w:rFonts w:ascii="仿宋_GB2312" w:hAnsi="仿宋_GB2312" w:cs="仿宋_GB2312" w:eastAsia="仿宋_GB2312"/>
        </w:rPr>
        <w:t>委托，拟对</w:t>
      </w:r>
      <w:r>
        <w:rPr>
          <w:rFonts w:ascii="仿宋_GB2312" w:hAnsi="仿宋_GB2312" w:cs="仿宋_GB2312" w:eastAsia="仿宋_GB2312"/>
        </w:rPr>
        <w:t>手性高效液相色谱仪采购项目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ZX2025-10-22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手性高效液相色谱仪采购项目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手性高效液相色谱仪采购，具体详见采购文件第三章</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法定代表人参加协商的，须提供身份证复印件；法定代表人授权他人参加协商的，须提供法定代表人授权委托书及被授权人身份证复印件。供应商需在项目电子化交易系统中按要求填写并进行电子签章。</w:t>
      </w:r>
    </w:p>
    <w:p>
      <w:pPr>
        <w:pStyle w:val="null3"/>
      </w:pPr>
      <w:r>
        <w:rPr>
          <w:rFonts w:ascii="仿宋_GB2312" w:hAnsi="仿宋_GB2312" w:cs="仿宋_GB2312" w:eastAsia="仿宋_GB2312"/>
        </w:rPr>
        <w:t>2、进口授权：所投产品为进口产品的，须提供所投产品厂家授权书或总代理商授权书（提供总代理商授权书的须出具有效授权权限的相关证明文件，证明文件须能显示产品制造厂家对所投产品授权链条的完整性），国产产品不需要提供。供应商需在项目电子化交易系统中按要求填写并进行电子签章。</w:t>
      </w:r>
    </w:p>
    <w:p>
      <w:pPr>
        <w:pStyle w:val="null3"/>
        <w:ind w:firstLine="480"/>
      </w:pPr>
      <w:r>
        <w:rPr>
          <w:rFonts w:ascii="仿宋_GB2312" w:hAnsi="仿宋_GB2312" w:cs="仿宋_GB2312" w:eastAsia="仿宋_GB2312"/>
        </w:rPr>
        <w:t>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jc w:val="left"/>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西北大学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西安市长安区郭杜教育科技产业区学府大道1号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薛老师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029-88302974</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陕西正信招标有限公司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西安市莲湖区环城西路南段元晟合中心6层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孙童欣 马演 王宇轩 曹婷 蔡丹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029-88110800转8033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本项目各包预算金额如下：</w:t>
            </w:r>
          </w:p>
          <w:p>
            <w:pPr>
              <w:pStyle w:val="null3"/>
            </w:pPr>
            <w:r>
              <w:rPr>
                <w:rFonts w:ascii="仿宋_GB2312" w:hAnsi="仿宋_GB2312" w:cs="仿宋_GB2312" w:eastAsia="仿宋_GB2312"/>
              </w:rPr>
              <w:t>采购包1：600,000.00元</w:t>
            </w:r>
            <w:r>
              <w:rPr>
                <w:rFonts w:ascii="仿宋_GB2312" w:hAnsi="仿宋_GB2312" w:cs="仿宋_GB2312" w:eastAsia="仿宋_GB2312"/>
              </w:rPr>
              <w:t>供应商的包件采购报价高于包件采购预算的，其响应文件将按无效处理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采购包1：600,000.00元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采购包1保证金金额：11,022.00元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开户名称：陕西正信招标有限公司</w:t>
            </w:r>
          </w:p>
          <w:p>
            <w:pPr>
              <w:pStyle w:val="null3"/>
            </w:pPr>
            <w:r>
              <w:rPr>
                <w:rFonts w:ascii="仿宋_GB2312" w:hAnsi="仿宋_GB2312" w:cs="仿宋_GB2312" w:eastAsia="仿宋_GB2312"/>
              </w:rPr>
              <w:t>开户银行：中国银行西安北大街支行营业部</w:t>
            </w:r>
          </w:p>
          <w:p>
            <w:pPr>
              <w:pStyle w:val="null3"/>
            </w:pPr>
            <w:r>
              <w:rPr>
                <w:rFonts w:ascii="仿宋_GB2312" w:hAnsi="仿宋_GB2312" w:cs="仿宋_GB2312" w:eastAsia="仿宋_GB2312"/>
              </w:rPr>
              <w:t>银行账号：102119413784</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说明：1.合同签订前缴纳，缴纳金额为合同金额的5%， 缴纳方式：银行转账、支票/汇票/本票、保函/保险 。 2.转账账号：西北大学；611301015018001145006；交通银行太白路支行。转账金额到账后，可持银行回执到西北大学国有资产管理处换取收据。待合同执行完毕、项目验收合格后凭验收单和缴款收据，合同履约保证金予以退还。 3.除不可抗力原因外，如遇下列情况之一者，采购人有权不予退还投标人所缴纳的合同履约保证金，作为对采购人的赔偿： （1）合同签订后不能按合同时限要求供货或安装调试； （2）所供货物不合格、与合同不符； （3）不能按合同履约； （4）货物验收不合格。</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若有</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若有</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代理服务费收费标准：参照国家计委计价格[2002]1980号及发改办价格[2003]857号通知规定下浮20%收取，由中标人支付代理服务费</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允许。本项目允许采购进口产品，进口产品的清单详见第3章。</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w:t>
            </w:r>
          </w:p>
          <w:p>
            <w:pPr>
              <w:pStyle w:val="null3"/>
            </w:pPr>
            <w:r>
              <w:rPr>
                <w:rFonts w:ascii="仿宋_GB2312" w:hAnsi="仿宋_GB2312" w:cs="仿宋_GB2312" w:eastAsia="仿宋_GB2312"/>
              </w:rPr>
              <w:t>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西北大学</w:t>
      </w:r>
      <w:r>
        <w:rPr>
          <w:rFonts w:ascii="仿宋_GB2312" w:hAnsi="仿宋_GB2312" w:cs="仿宋_GB2312" w:eastAsia="仿宋_GB2312"/>
        </w:rPr>
        <w:t>和</w:t>
      </w:r>
      <w:r>
        <w:rPr>
          <w:rFonts w:ascii="仿宋_GB2312" w:hAnsi="仿宋_GB2312" w:cs="仿宋_GB2312" w:eastAsia="仿宋_GB2312"/>
        </w:rPr>
        <w:t>陕西正信招标有限公司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享有。对采购文件中供应商参加本次政府采购活动应当具备的条件、项目技术、服务、商务及其他要求，评审标准由采购人负责解释。除上述采购文件内容，其他内容由</w:t>
      </w:r>
      <w:r>
        <w:rPr>
          <w:rFonts w:ascii="仿宋_GB2312" w:hAnsi="仿宋_GB2312" w:cs="仿宋_GB2312" w:eastAsia="仿宋_GB2312"/>
        </w:rPr>
        <w:t>陕西正信招标有限公司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西北大学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陕西正信招标有限公司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 xml:space="preserve"> 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（五）协商办法</w:t>
      </w:r>
    </w:p>
    <w:p>
      <w:pPr>
        <w:pStyle w:val="null3"/>
        <w:ind w:firstLine="480"/>
      </w:pPr>
      <w:r>
        <w:rPr>
          <w:rFonts w:ascii="仿宋_GB2312" w:hAnsi="仿宋_GB2312" w:cs="仿宋_GB2312" w:eastAsia="仿宋_GB2312"/>
        </w:rPr>
        <w:t>（六）响应文件格式</w:t>
      </w:r>
    </w:p>
    <w:p>
      <w:pPr>
        <w:pStyle w:val="null3"/>
        <w:ind w:firstLine="480"/>
      </w:pPr>
      <w:r>
        <w:rPr>
          <w:rFonts w:ascii="仿宋_GB2312" w:hAnsi="仿宋_GB2312" w:cs="仿宋_GB2312" w:eastAsia="仿宋_GB2312"/>
        </w:rPr>
        <w:t>（七）拟签订采购的合同文本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三、响应文件报价出现前后不一致的，按照第五章要求进行修正。修正后的报价经供应商通过项目电子化交易系统进行确认，并加盖供应商（法定名称）电子印章，供应商未在规定时间内报价的，其响应无效。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二、供应商应按照客户端操作要求，对应采购文件的每项资格、符合性要求，逐一对应进行响应；未逐一对应进行响应或者响应内容不符合采购文件对应项的要求的，其响应文件作无效处理。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 xml:space="preserve"> 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（1）验收分初次开箱验收和学校最终验收两个阶段，以最终验收为准； （2）货物到货后，甲、乙双方共同开箱验收。如属于检验检疫法检目录内货物，由甲乙双方会同海关共同开箱验收。在检查货物原产地、型号、规格、配置符合合同要求后，由乙方负责安装调试、甲方负责技术验收（乙方协助），验收以国内行业标准或合同文本货物供货配置清单中描述的有关技术要求为准； （3）在货物安装调试运行正常后，甲方（采购单位）按学校相关业务部门规定提交验收申请，学校根据采购单位技术验收结果，组织有关专家进行货物的最终验收。</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手性高效液相色谱仪采购项目，具体详见采购文件</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600,000.00</w:t>
      </w:r>
    </w:p>
    <w:p>
      <w:pPr>
        <w:pStyle w:val="null3"/>
      </w:pPr>
      <w:r>
        <w:rPr>
          <w:rFonts w:ascii="仿宋_GB2312" w:hAnsi="仿宋_GB2312" w:cs="仿宋_GB2312" w:eastAsia="仿宋_GB2312"/>
        </w:rPr>
        <w:t>采购包最高限价（元）: 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手性液相高校色谱仪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标的名称：手性液相高校色谱仪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1.1.四元低压梯度泵</w:t>
            </w:r>
          </w:p>
          <w:p>
            <w:pPr>
              <w:pStyle w:val="null3"/>
            </w:pPr>
            <w:r>
              <w:rPr>
                <w:rFonts w:ascii="仿宋_GB2312" w:hAnsi="仿宋_GB2312" w:cs="仿宋_GB2312" w:eastAsia="仿宋_GB2312"/>
              </w:rPr>
              <w:t>1.1.1流速范围:0.001-10.0mL/min</w:t>
            </w:r>
          </w:p>
          <w:p>
            <w:pPr>
              <w:pStyle w:val="null3"/>
            </w:pPr>
            <w:r>
              <w:rPr>
                <w:rFonts w:ascii="仿宋_GB2312" w:hAnsi="仿宋_GB2312" w:cs="仿宋_GB2312" w:eastAsia="仿宋_GB2312"/>
              </w:rPr>
              <w:t>1.1.2最大压力优于60 MPa（需提供彩页，官网截图等佐证资料）</w:t>
            </w:r>
          </w:p>
          <w:p>
            <w:pPr>
              <w:pStyle w:val="null3"/>
            </w:pPr>
            <w:r>
              <w:rPr>
                <w:rFonts w:ascii="仿宋_GB2312" w:hAnsi="仿宋_GB2312" w:cs="仿宋_GB2312" w:eastAsia="仿宋_GB2312"/>
              </w:rPr>
              <w:t>1.1.3流量准度:优于±1%</w:t>
            </w:r>
          </w:p>
          <w:p>
            <w:pPr>
              <w:pStyle w:val="null3"/>
            </w:pPr>
            <w:r>
              <w:rPr>
                <w:rFonts w:ascii="仿宋_GB2312" w:hAnsi="仿宋_GB2312" w:cs="仿宋_GB2312" w:eastAsia="仿宋_GB2312"/>
              </w:rPr>
              <w:t>1.1.4流量精度:优于0.1%RSD</w:t>
            </w:r>
          </w:p>
          <w:p>
            <w:pPr>
              <w:pStyle w:val="null3"/>
            </w:pPr>
            <w:r>
              <w:rPr>
                <w:rFonts w:ascii="仿宋_GB2312" w:hAnsi="仿宋_GB2312" w:cs="仿宋_GB2312" w:eastAsia="仿宋_GB2312"/>
              </w:rPr>
              <w:t>1.2圆二色检测器</w:t>
            </w:r>
          </w:p>
          <w:p>
            <w:pPr>
              <w:pStyle w:val="null3"/>
            </w:pPr>
            <w:r>
              <w:rPr>
                <w:rFonts w:ascii="仿宋_GB2312" w:hAnsi="仿宋_GB2312" w:cs="仿宋_GB2312" w:eastAsia="仿宋_GB2312"/>
              </w:rPr>
              <w:t>1.2.1可同时输出CD、UV和g-factor信号</w:t>
            </w:r>
          </w:p>
          <w:p>
            <w:pPr>
              <w:pStyle w:val="null3"/>
            </w:pPr>
            <w:r>
              <w:rPr>
                <w:rFonts w:ascii="仿宋_GB2312" w:hAnsi="仿宋_GB2312" w:cs="仿宋_GB2312" w:eastAsia="仿宋_GB2312"/>
              </w:rPr>
              <w:t>1.2.2光源：150W Hg-Xe灯</w:t>
            </w:r>
          </w:p>
          <w:p>
            <w:pPr>
              <w:pStyle w:val="null3"/>
            </w:pPr>
            <w:r>
              <w:rPr>
                <w:rFonts w:ascii="仿宋_GB2312" w:hAnsi="仿宋_GB2312" w:cs="仿宋_GB2312" w:eastAsia="仿宋_GB2312"/>
              </w:rPr>
              <w:t>1.2.3波长设置范围：200-460nm</w:t>
            </w:r>
          </w:p>
          <w:p>
            <w:pPr>
              <w:pStyle w:val="null3"/>
            </w:pPr>
            <w:r>
              <w:rPr>
                <w:rFonts w:ascii="仿宋_GB2312" w:hAnsi="仿宋_GB2312" w:cs="仿宋_GB2312" w:eastAsia="仿宋_GB2312"/>
              </w:rPr>
              <w:t>1.2.4 CD测量范围：220-460nm</w:t>
            </w:r>
          </w:p>
          <w:p>
            <w:pPr>
              <w:pStyle w:val="null3"/>
            </w:pPr>
            <w:r>
              <w:rPr>
                <w:rFonts w:ascii="仿宋_GB2312" w:hAnsi="仿宋_GB2312" w:cs="仿宋_GB2312" w:eastAsia="仿宋_GB2312"/>
              </w:rPr>
              <w:t>1.2.5 波长准确度：±5nm</w:t>
            </w:r>
          </w:p>
          <w:p>
            <w:pPr>
              <w:pStyle w:val="null3"/>
            </w:pPr>
            <w:r>
              <w:rPr>
                <w:rFonts w:ascii="仿宋_GB2312" w:hAnsi="仿宋_GB2312" w:cs="仿宋_GB2312" w:eastAsia="仿宋_GB2312"/>
              </w:rPr>
              <w:t>1.2.6 波长重复性：±0.5nm</w:t>
            </w:r>
          </w:p>
          <w:p>
            <w:pPr>
              <w:pStyle w:val="null3"/>
            </w:pPr>
            <w:r>
              <w:rPr>
                <w:rFonts w:ascii="仿宋_GB2312" w:hAnsi="仿宋_GB2312" w:cs="仿宋_GB2312" w:eastAsia="仿宋_GB2312"/>
              </w:rPr>
              <w:t>1.2.7 噪音： 0.04mdeg</w:t>
            </w:r>
          </w:p>
          <w:p>
            <w:pPr>
              <w:pStyle w:val="null3"/>
            </w:pPr>
            <w:r>
              <w:rPr>
                <w:rFonts w:ascii="仿宋_GB2312" w:hAnsi="仿宋_GB2312" w:cs="仿宋_GB2312" w:eastAsia="仿宋_GB2312"/>
              </w:rPr>
              <w:t>1.2.8 漂移：0.01mdeg/h</w:t>
            </w:r>
          </w:p>
          <w:p>
            <w:pPr>
              <w:pStyle w:val="null3"/>
            </w:pPr>
            <w:r>
              <w:rPr>
                <w:rFonts w:ascii="仿宋_GB2312" w:hAnsi="仿宋_GB2312" w:cs="仿宋_GB2312" w:eastAsia="仿宋_GB2312"/>
              </w:rPr>
              <w:t>1.2.9 数据输出： 最大100Hz</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合同签订后150日内供货，10日内安装调试到位并交付使用</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西北大学长安校区指定地点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国产设备：合同生效后，中标供应商开具合同金额等额银行保函，采购人收到银行保函正本后预付合同货款，待货物到达指定地点、安装调试验收合格后，采购人退还银行保函正本；进口设备：合同生效后，由甲方通过进出口业务代理公司向乙方开出100%信用证，待货物到货、安装调试、并经学校组织验收合格后，由甲方通知进出口业务代理公司向乙方解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jc w:val="left"/>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按采购文件、响应文件及合同约定执行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ind w:firstLine="480"/>
        <w:jc w:val="left"/>
      </w:pPr>
      <w:r>
        <w:rPr>
          <w:rFonts w:ascii="仿宋_GB2312" w:hAnsi="仿宋_GB2312" w:cs="仿宋_GB2312" w:eastAsia="仿宋_GB2312"/>
        </w:rPr>
        <w:t xml:space="preserve"> 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采购人验收合格后1年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中标/成交供应商所交付货物不符合其投标承诺，存在偷工减料、以次充好情形的，采购人要求更换一次后仍不符合约定的，采购人有权解除采购合同，没收履约保证金，并将有关情况上报政府采购监管部门处理。</w:t>
      </w:r>
    </w:p>
    <w:p>
      <w:pPr>
        <w:pStyle w:val="null3"/>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为顺利推进政府采购电子化交易平台应用工作，供应商需要在线提交所有通过电子化交易平台实施的政府采购项目的响应文件，同时，线下提交响应文件正本壹份、副本壹份、电子版壹份（U盘一份，标明供应商名称，随正本密封）。若电子响应文件与纸质响应文件不一致的，以电子响应文件为准；若正本和副本不符，以正本为准。线下递交文件时间：详见本项目文件递交截止时间；线下递交文件地点：西安市莲湖区环城西路南段元晟合中心6层。 2、保证金注意事项：（1）保证金须从供应商户名支付，如从个人户名或非投标人户名支付，将被拒绝，视为自动放弃投标权利（该个人是供应商的情形除外）；保证金缴纳时间：开标时间之前；以保函形式交纳保证金的，供应商应在投标截止时间前将保函扫描成清晰的PDF文件，发送至邮箱2559647209@qq.com（邮件命名：项目编号），并将保函原件单独递交至代理机构财务；供应商应在响应文件中附保函复印件。保函必须由具有开具投标保函资格的单位开具；若供应商违约，开具保函单位承担连带责任；（2）保证金的提交金额、时间不满足采购文件要求的，投标无效；（3）投标保证金以采购代理机构到账凭证为准，投标人无需更换交纳凭证，由采购代理机构统一提供； （4）未按指定账户提交的，我公司将退回，供应商须在文件递交截止时间前按照指定账户再次提交。 3、供应商无正当理由拒签合同的，或在接到中标通知书规定的时间内，借故拖延、拒签合同者，采购人取消其中标资格，其投标保证金不予退还； 给采购人造成的损失超过投标保证金数额的，供应商还应对超过部分予以赔偿。同时报请政府采购监督机构通报全省，取消其进入政府采购市场的资格，并按规定予以处罚。 4、①进口设备报价：响应报价是指到达使用地点、验收合格达到正常使用条件前的所有费用，包括但不限于以下费用：货物价值、安装调试费、国内外运杂费（含保险）、仓储保管费、技术培训费、检测费、施工费、人工费、进口业务相关费用（按合同金额的0.68%收取。包括外贸代理公司进口业务代理费、国内外银行手续费、报关费、商检费等）及进口货物按国家政策征收的一切税费（按国家政策规定甲方可以享受的免税部分除外）等，以磋商文件的内容和要求作为响应依据；进口产品（经专家论证允许采购的情况下）按人民币报价，此报价不受市场价格及外汇汇率波动影响。采购人及招标代理机构不接受任何未办理合法进口手续的非国内生产产品的响应报价。供应商所提供的产品型号、产地等重要信息，需要与仪器机身保持一致。因供应商原因（有且不限于型号有误、出具的净重、参数等证明有误、保税区内税号问题等）造成进口货物无法正常报关产生的一切后果及费用由供应商自行承担。最终无法清关的，供应商须重新发运外贸合同中约定的货物。②国产设备报价：响应总报价是指设备到达使用地点、验收合格达到正常使用条件前的所有费用，包括但不限于以下费用：货物价值、安装调试费、国内外运杂费（含保险）、仓储保管费、技术培训费、检测费、施工费、人工费等及按国家政策征收的一切税费等。③响应报价表中标明本次货物、服务的所有单项价格和总价，任何有选择的报价将不予接受，否则按无效响应处理。5、本项目通过进口产品备案，允许采购进口产品：手性高效液相色谱仪。 6、本项目主要标的：手性高效液相色谱仪。</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税收缴纳证明：法人提供自2024年10月1日以来至少一个月的纳税证明或完税证明，纳税证明或完税证明上应有代收机构或税务机关的公章或业务专用章；其他组织和自然人提供自2024年10月1日以来至少一个月缴纳税收的凭据；依法免税的或者依法不需缴税的供应商应提供相关文件证明； ③社会保障资金缴纳证明：提供自2024年10月1日以来至少一个月已缴纳的社会保障资金的证明（社会保障资金缴存单据或社保机构开具的社会保险参保缴费情况证明等）；依法不需要缴纳社会保障资金的投标人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以上②-③项，提供“陕西省政府采购供应商信用承诺书”的，可不再提供其他证明文件。</w:t>
            </w:r>
          </w:p>
        </w:tc>
        <w:tc>
          <w:tcPr>
            <w:tcW w:type="dxa" w:w="1661"/>
          </w:tcPr>
          <w:p>
            <w:pPr>
              <w:pStyle w:val="null3"/>
            </w:pPr>
            <w:r>
              <w:rPr>
                <w:rFonts w:ascii="仿宋_GB2312" w:hAnsi="仿宋_GB2312" w:cs="仿宋_GB2312" w:eastAsia="仿宋_GB2312"/>
              </w:rPr>
              <w:t>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法人提供会计师事务所出具的有效的2024年度审计报告（成立时间至提交投标文件截止时间不足一年的可提供成立后任意时段的资产负债表），或提交自2025年4月1日以来银行出具的资信证明，或信用担保机构出具的投标担保函（以上三种形式的资料提供任何一种即可）；其他组织和自然人提供银行出具的资信证明或财务报表。 提供“陕西省政府采购供应商信用承诺书”的，可不再提供其他证明文件。 2.供应商需在项目电子化交易系统中按要求上传相应证明文件并进行电子签章。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法定代表人参加协商的，须提供身份证复印件；法定代表人授权他人参加协商的，须提供法定代表人授权委托书及被授权人身份证复印件。供应商需在项目电子化交易系统中按要求填写并进行电子签章。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进口授权</w:t>
            </w:r>
          </w:p>
        </w:tc>
        <w:tc>
          <w:tcPr>
            <w:tcW w:type="dxa" w:w="3322"/>
          </w:tcPr>
          <w:p>
            <w:pPr>
              <w:pStyle w:val="null3"/>
            </w:pPr>
            <w:r>
              <w:rPr>
                <w:rFonts w:ascii="仿宋_GB2312" w:hAnsi="仿宋_GB2312" w:cs="仿宋_GB2312" w:eastAsia="仿宋_GB2312"/>
              </w:rPr>
              <w:t>所投产品为进口产品的，须提供所投产品厂家授权书或总代理商授权书（提供总代理商授权书的须出具有效授权权限的相关证明文件，证明文件须能显示产品制造厂家对所投产品授权链条的完整性），国产产品不需要提供。供应商需在项目电子化交易系统中按要求填写并进行电子签章。</w:t>
            </w:r>
          </w:p>
        </w:tc>
        <w:tc>
          <w:tcPr>
            <w:tcW w:type="dxa" w:w="1661"/>
          </w:tcPr>
          <w:p>
            <w:pPr>
              <w:pStyle w:val="null3"/>
            </w:pPr>
            <w:r>
              <w:rPr>
                <w:rFonts w:ascii="仿宋_GB2312" w:hAnsi="仿宋_GB2312" w:cs="仿宋_GB2312" w:eastAsia="仿宋_GB2312"/>
              </w:rPr>
              <w:t>供应商资格证明文件.docx</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jc w:val="left"/>
      </w:pPr>
      <w:r>
        <w:rPr>
          <w:rFonts w:ascii="仿宋_GB2312" w:hAnsi="仿宋_GB2312" w:cs="仿宋_GB2312" w:eastAsia="仿宋_GB2312"/>
        </w:rPr>
        <w:t>（一）熟悉和理解单一来源采购文件；</w:t>
      </w:r>
    </w:p>
    <w:p>
      <w:pPr>
        <w:pStyle w:val="null3"/>
        <w:ind w:firstLine="480"/>
        <w:jc w:val="left"/>
      </w:pPr>
      <w:r>
        <w:rPr>
          <w:rFonts w:ascii="仿宋_GB2312" w:hAnsi="仿宋_GB2312" w:cs="仿宋_GB2312" w:eastAsia="仿宋_GB2312"/>
        </w:rPr>
        <w:t xml:space="preserve"> （二）审查供应商响应文件等是否满足单一来源采购文件要求，并作出评价；</w:t>
      </w:r>
    </w:p>
    <w:p>
      <w:pPr>
        <w:pStyle w:val="null3"/>
        <w:ind w:firstLine="480"/>
        <w:jc w:val="left"/>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jc w:val="left"/>
      </w:pPr>
      <w:r>
        <w:rPr>
          <w:rFonts w:ascii="仿宋_GB2312" w:hAnsi="仿宋_GB2312" w:cs="仿宋_GB2312" w:eastAsia="仿宋_GB2312"/>
        </w:rPr>
        <w:t>（四）推荐成交候选供应商，或者受采购人委托确定成交供应商；</w:t>
      </w:r>
    </w:p>
    <w:p>
      <w:pPr>
        <w:pStyle w:val="null3"/>
        <w:ind w:firstLine="480"/>
        <w:jc w:val="left"/>
      </w:pPr>
      <w:r>
        <w:rPr>
          <w:rFonts w:ascii="仿宋_GB2312" w:hAnsi="仿宋_GB2312" w:cs="仿宋_GB2312" w:eastAsia="仿宋_GB2312"/>
        </w:rPr>
        <w:t>（五）起草评审报告并进行签署；</w:t>
      </w:r>
    </w:p>
    <w:p>
      <w:pPr>
        <w:pStyle w:val="null3"/>
        <w:ind w:firstLine="480"/>
        <w:jc w:val="left"/>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jc w:val="left"/>
      </w:pPr>
      <w:r>
        <w:rPr>
          <w:rFonts w:ascii="仿宋_GB2312" w:hAnsi="仿宋_GB2312" w:cs="仿宋_GB2312" w:eastAsia="仿宋_GB2312"/>
        </w:rPr>
        <w:t>（七）法律、法规和规章规定的其他职责。</w:t>
      </w:r>
    </w:p>
    <w:p>
      <w:pPr>
        <w:pStyle w:val="null3"/>
        <w:jc w:val="left"/>
        <w:outlineLvl w:val="3"/>
      </w:pPr>
      <w:r>
        <w:rPr>
          <w:rFonts w:ascii="仿宋_GB2312" w:hAnsi="仿宋_GB2312" w:cs="仿宋_GB2312" w:eastAsia="仿宋_GB2312"/>
          <w:sz w:val="24"/>
          <w:b/>
        </w:rPr>
        <w:t>5.2.2.熟悉和理解采购文件和停止评审</w:t>
      </w:r>
    </w:p>
    <w:p>
      <w:pPr>
        <w:pStyle w:val="null3"/>
        <w:ind w:firstLine="480"/>
        <w:jc w:val="left"/>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jc w:val="left"/>
      </w:pPr>
      <w:r>
        <w:rPr>
          <w:rFonts w:ascii="仿宋_GB2312" w:hAnsi="仿宋_GB2312" w:cs="仿宋_GB2312" w:eastAsia="仿宋_GB2312"/>
        </w:rPr>
        <w:t>二、本采购文件有下列情形之一的，协商小组应当停止评审：</w:t>
      </w:r>
    </w:p>
    <w:p>
      <w:pPr>
        <w:pStyle w:val="null3"/>
        <w:ind w:firstLine="480"/>
        <w:jc w:val="left"/>
      </w:pPr>
      <w:r>
        <w:rPr>
          <w:rFonts w:ascii="仿宋_GB2312" w:hAnsi="仿宋_GB2312" w:cs="仿宋_GB2312" w:eastAsia="仿宋_GB2312"/>
        </w:rPr>
        <w:t>（一）采购文件的规定存在歧义、重大缺陷的；</w:t>
      </w:r>
    </w:p>
    <w:p>
      <w:pPr>
        <w:pStyle w:val="null3"/>
        <w:ind w:firstLine="480"/>
        <w:jc w:val="left"/>
      </w:pPr>
      <w:r>
        <w:rPr>
          <w:rFonts w:ascii="仿宋_GB2312" w:hAnsi="仿宋_GB2312" w:cs="仿宋_GB2312" w:eastAsia="仿宋_GB2312"/>
        </w:rPr>
        <w:t>（二）采购文件明显以不合理条件对供应商实行差别待遇或者歧视待遇的；</w:t>
      </w:r>
    </w:p>
    <w:p>
      <w:pPr>
        <w:pStyle w:val="null3"/>
        <w:ind w:firstLine="480"/>
        <w:jc w:val="left"/>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jc w:val="left"/>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jc w:val="left"/>
      </w:pPr>
      <w:r>
        <w:rPr>
          <w:rFonts w:ascii="仿宋_GB2312" w:hAnsi="仿宋_GB2312" w:cs="仿宋_GB2312" w:eastAsia="仿宋_GB2312"/>
        </w:rPr>
        <w:t>（五）采购文件将供应商的资格条件列为评分因素的；</w:t>
      </w:r>
    </w:p>
    <w:p>
      <w:pPr>
        <w:pStyle w:val="null3"/>
        <w:ind w:firstLine="480"/>
        <w:jc w:val="left"/>
      </w:pPr>
      <w:r>
        <w:rPr>
          <w:rFonts w:ascii="仿宋_GB2312" w:hAnsi="仿宋_GB2312" w:cs="仿宋_GB2312" w:eastAsia="仿宋_GB2312"/>
        </w:rPr>
        <w:t>（六）采购文件载明的成交原则不合法的；</w:t>
      </w:r>
    </w:p>
    <w:p>
      <w:pPr>
        <w:pStyle w:val="null3"/>
        <w:ind w:firstLine="480"/>
        <w:jc w:val="left"/>
      </w:pPr>
      <w:r>
        <w:rPr>
          <w:rFonts w:ascii="仿宋_GB2312" w:hAnsi="仿宋_GB2312" w:cs="仿宋_GB2312" w:eastAsia="仿宋_GB2312"/>
        </w:rPr>
        <w:t>（七）采购文件有违反国家其他有关强制性规定的情形。</w:t>
      </w:r>
    </w:p>
    <w:p>
      <w:pPr>
        <w:pStyle w:val="null3"/>
        <w:ind w:firstLine="480"/>
        <w:jc w:val="left"/>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满足本单一来源采购文件中第三章3.3商务要求中“交货时间、交货地点、采购资金的支付方式及约定、质量保修范围和保修期”的要求。</w:t>
            </w:r>
          </w:p>
        </w:tc>
        <w:tc>
          <w:tcPr>
            <w:tcW w:type="dxa" w:w="1661"/>
          </w:tcPr>
          <w:p>
            <w:pPr>
              <w:pStyle w:val="null3"/>
            </w:pPr>
            <w:r>
              <w:rPr>
                <w:rFonts w:ascii="仿宋_GB2312" w:hAnsi="仿宋_GB2312" w:cs="仿宋_GB2312" w:eastAsia="仿宋_GB2312"/>
              </w:rPr>
              <w:t>商务部分偏离表.docx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报价未超过采购文件中规定的最高限价</w:t>
            </w:r>
          </w:p>
        </w:tc>
        <w:tc>
          <w:tcPr>
            <w:tcW w:type="dxa" w:w="1661"/>
          </w:tcPr>
          <w:p>
            <w:pPr>
              <w:pStyle w:val="null3"/>
            </w:pPr>
            <w:r>
              <w:rPr>
                <w:rFonts w:ascii="仿宋_GB2312" w:hAnsi="仿宋_GB2312" w:cs="仿宋_GB2312" w:eastAsia="仿宋_GB2312"/>
              </w:rPr>
              <w:t>标的清单 报价表 响应函 分项价格表.docx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响应文件按照单一来源文件规定要求签署、盖章的</w:t>
            </w:r>
          </w:p>
        </w:tc>
        <w:tc>
          <w:tcPr>
            <w:tcW w:type="dxa" w:w="1661"/>
          </w:tcPr>
          <w:p>
            <w:pPr>
              <w:pStyle w:val="null3"/>
            </w:pPr>
            <w:r>
              <w:rPr>
                <w:rFonts w:ascii="仿宋_GB2312" w:hAnsi="仿宋_GB2312" w:cs="仿宋_GB2312" w:eastAsia="仿宋_GB2312"/>
              </w:rPr>
              <w:t>响应文件封面 中小企业声明函 残疾人福利性单位声明函 标的清单 承诺书.docx 报价表 供应商资格证明文件.docx 商务部分偏离表.docx 技术响应与偏离表.docx 监狱企业的证明文件 分项价格表.docx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响应有效期满足单一来源文件要求的</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不属于法律、法规和单一来源文件规定的其他无效情形</w:t>
            </w:r>
          </w:p>
        </w:tc>
        <w:tc>
          <w:tcPr>
            <w:tcW w:type="dxa" w:w="1661"/>
          </w:tcPr>
          <w:p>
            <w:pPr>
              <w:pStyle w:val="null3"/>
            </w:pPr>
            <w:r>
              <w:rPr>
                <w:rFonts w:ascii="仿宋_GB2312" w:hAnsi="仿宋_GB2312" w:cs="仿宋_GB2312" w:eastAsia="仿宋_GB2312"/>
              </w:rPr>
              <w:t>技术方案及实施方案、组织机构、售后服务承诺.docx 响应函</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一、协商会议在项目电子化交易系统进行。协商会议由代理机构在线主持，供应商代表在线参加。</w:t>
      </w:r>
    </w:p>
    <w:p>
      <w:pPr>
        <w:pStyle w:val="null3"/>
        <w:ind w:firstLine="480"/>
      </w:pPr>
      <w:r>
        <w:rPr>
          <w:rFonts w:ascii="仿宋_GB2312" w:hAnsi="仿宋_GB2312" w:cs="仿宋_GB2312" w:eastAsia="仿宋_GB2312"/>
        </w:rPr>
        <w:t>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jc w:val="left"/>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jc w:val="left"/>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jc w:val="left"/>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jc w:val="left"/>
      </w:pPr>
      <w:r>
        <w:rPr>
          <w:rFonts w:ascii="仿宋_GB2312" w:hAnsi="仿宋_GB2312" w:cs="仿宋_GB2312" w:eastAsia="仿宋_GB2312"/>
        </w:rPr>
        <w:t>（一）因情况变化，不再符合规定的单一来源采购方式适用情形的；</w:t>
      </w:r>
    </w:p>
    <w:p>
      <w:pPr>
        <w:pStyle w:val="null3"/>
        <w:jc w:val="left"/>
      </w:pPr>
      <w:r>
        <w:rPr>
          <w:rFonts w:ascii="仿宋_GB2312" w:hAnsi="仿宋_GB2312" w:cs="仿宋_GB2312" w:eastAsia="仿宋_GB2312"/>
        </w:rPr>
        <w:t>（二）出现影响采购公正的违法、违规行为的；</w:t>
      </w:r>
    </w:p>
    <w:p>
      <w:pPr>
        <w:pStyle w:val="null3"/>
        <w:jc w:val="left"/>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jc w:val="left"/>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 xml:space="preserve"> 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详见附件：分项价格表.docx</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详见附件：商务部分偏离表.docx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详见附件：技术响应与偏离表.docx</w:t>
      </w:r>
    </w:p>
    <w:p>
      <w:pPr>
        <w:pStyle w:val="null3"/>
        <w:ind w:firstLine="960"/>
      </w:pPr>
      <w:r>
        <w:rPr>
          <w:rFonts w:ascii="仿宋_GB2312" w:hAnsi="仿宋_GB2312" w:cs="仿宋_GB2312" w:eastAsia="仿宋_GB2312"/>
        </w:rPr>
        <w:t>详见附件：技术方案及实施方案、组织机构、售后服务承诺.docx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详见附件：合同正文.docx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