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D4028">
      <w:pPr>
        <w:keepNext w:val="0"/>
        <w:keepLines w:val="0"/>
        <w:widowControl w:val="0"/>
        <w:suppressLineNumbers w:val="0"/>
        <w:spacing w:before="0" w:beforeAutospacing="0" w:after="0" w:afterAutospacing="0" w:line="360" w:lineRule="auto"/>
        <w:ind w:left="0" w:right="0"/>
        <w:jc w:val="center"/>
        <w:rPr>
          <w:rFonts w:hint="eastAsia" w:ascii="黑体" w:hAnsi="Calibri" w:eastAsia="黑体" w:cs="Times New Roman"/>
          <w:color w:val="auto"/>
          <w:kern w:val="2"/>
          <w:sz w:val="32"/>
          <w:szCs w:val="32"/>
        </w:rPr>
      </w:pPr>
      <w:r>
        <w:rPr>
          <w:rFonts w:hint="eastAsia" w:ascii="黑体" w:hAnsi="宋体" w:eastAsia="黑体" w:cs="黑体"/>
          <w:color w:val="auto"/>
          <w:kern w:val="2"/>
          <w:sz w:val="32"/>
          <w:szCs w:val="32"/>
          <w:lang w:val="en-US" w:eastAsia="zh-CN" w:bidi="ar"/>
        </w:rPr>
        <w:t>西北大学购货合同</w:t>
      </w:r>
    </w:p>
    <w:p w14:paraId="237A8C69">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（进口合同模板）</w:t>
      </w:r>
    </w:p>
    <w:p w14:paraId="55E5910E">
      <w:pPr>
        <w:keepNext w:val="0"/>
        <w:keepLines w:val="0"/>
        <w:widowControl w:val="0"/>
        <w:suppressLineNumbers w:val="0"/>
        <w:spacing w:before="0" w:beforeAutospacing="0" w:after="0" w:afterAutospacing="0" w:line="360" w:lineRule="auto"/>
        <w:ind w:left="0" w:right="0" w:firstLine="420" w:firstLineChars="200"/>
        <w:jc w:val="left"/>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特别说明：以下内容只作为合同基本条款，在签订具体项目购货合同时，请根据项目实际情况再签订技术协议作为合同的附件。</w:t>
      </w:r>
    </w:p>
    <w:p w14:paraId="525B0EDD">
      <w:pPr>
        <w:keepNext w:val="0"/>
        <w:keepLines w:val="0"/>
        <w:widowControl w:val="0"/>
        <w:suppressLineNumbers w:val="0"/>
        <w:spacing w:before="0" w:beforeAutospacing="0" w:after="0" w:afterAutospacing="0" w:line="360" w:lineRule="auto"/>
        <w:ind w:left="0" w:right="0" w:firstLine="420" w:firstLineChars="200"/>
        <w:jc w:val="both"/>
        <w:rPr>
          <w:ins w:id="0" w:author="薛利娟" w:date=""/>
          <w:rFonts w:hint="eastAsia" w:ascii="宋体" w:hAnsi="Calibri" w:eastAsia="宋体" w:cs="Times New Roman"/>
          <w:color w:val="auto"/>
          <w:kern w:val="2"/>
          <w:sz w:val="21"/>
          <w:szCs w:val="21"/>
        </w:rPr>
      </w:pPr>
      <w:ins w:id="1" w:author="薛利娟">
        <w:r>
          <w:rPr>
            <w:rFonts w:hint="eastAsia" w:ascii="宋体" w:hAnsi="Calibri" w:eastAsia="宋体" w:cs="Times New Roman"/>
            <w:color w:val="auto"/>
            <w:kern w:val="2"/>
            <w:sz w:val="21"/>
            <w:szCs w:val="21"/>
            <w:lang w:val="en-US" w:eastAsia="zh-CN" w:bidi="ar"/>
          </w:rPr>
          <w:t xml:space="preserve"> </w:t>
        </w:r>
      </w:ins>
    </w:p>
    <w:p w14:paraId="27B19DE0">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根据《中华人民共和国政府采购法》、《中华人民共和国民法典》及有关法律规定，遵循平等、自愿、公平和诚实信用的原则，西北</w:t>
      </w:r>
      <w:bookmarkStart w:id="0" w:name="_GoBack"/>
      <w:bookmarkEnd w:id="0"/>
      <w:r>
        <w:rPr>
          <w:rFonts w:hint="eastAsia" w:ascii="宋体" w:hAnsi="宋体" w:eastAsia="宋体" w:cs="宋体"/>
          <w:color w:val="auto"/>
          <w:kern w:val="2"/>
          <w:sz w:val="21"/>
          <w:szCs w:val="21"/>
          <w:lang w:val="en-US" w:eastAsia="zh-CN" w:bidi="ar"/>
        </w:rPr>
        <w:t>大学（甲方）与××××公司（乙方）就西北大学××××学院（系）购置的××××等货物（招标编号：</w:t>
      </w:r>
      <w:r>
        <w:rPr>
          <w:rFonts w:hint="eastAsia" w:ascii="宋体" w:hAnsi="宋体" w:eastAsia="宋体" w:cs="宋体"/>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）经双方协商达成如下技术合同条款：</w:t>
      </w:r>
    </w:p>
    <w:p w14:paraId="0A9490F1">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一、合同内容</w:t>
      </w:r>
    </w:p>
    <w:p w14:paraId="34122CA8">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b/>
          <w:bCs w:val="0"/>
          <w:color w:val="auto"/>
          <w:kern w:val="2"/>
          <w:sz w:val="21"/>
          <w:szCs w:val="21"/>
        </w:rPr>
      </w:pPr>
      <w:r>
        <w:rPr>
          <w:rFonts w:hint="eastAsia" w:ascii="宋体" w:hAnsi="宋体" w:eastAsia="宋体" w:cs="宋体"/>
          <w:color w:val="auto"/>
          <w:kern w:val="2"/>
          <w:sz w:val="21"/>
          <w:szCs w:val="21"/>
          <w:lang w:val="en-US" w:eastAsia="zh-CN" w:bidi="ar"/>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53108BD9">
      <w:pPr>
        <w:keepNext w:val="0"/>
        <w:keepLines w:val="0"/>
        <w:widowControl w:val="0"/>
        <w:numPr>
          <w:ilvl w:val="0"/>
          <w:numId w:val="1"/>
        </w:numPr>
        <w:suppressLineNumbers w:val="0"/>
        <w:spacing w:before="0" w:beforeAutospacing="0" w:after="0" w:afterAutospacing="0" w:line="360" w:lineRule="auto"/>
        <w:ind w:left="780" w:right="0" w:hanging="36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购置清单（人民币）</w:t>
      </w:r>
    </w:p>
    <w:tbl>
      <w:tblPr>
        <w:tblStyle w:val="11"/>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tblLayout w:type="fixed"/>
        <w:tblCellMar>
          <w:top w:w="0" w:type="dxa"/>
          <w:left w:w="108" w:type="dxa"/>
          <w:bottom w:w="0" w:type="dxa"/>
          <w:right w:w="108" w:type="dxa"/>
        </w:tblCellMar>
      </w:tblPr>
      <w:tblGrid>
        <w:gridCol w:w="1695"/>
        <w:gridCol w:w="1545"/>
        <w:gridCol w:w="1440"/>
        <w:gridCol w:w="720"/>
        <w:gridCol w:w="720"/>
        <w:gridCol w:w="1153"/>
        <w:gridCol w:w="1133"/>
      </w:tblGrid>
      <w:tr w14:paraId="5478B00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vAlign w:val="center"/>
          </w:tcPr>
          <w:p w14:paraId="41C99DAC">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货物名称</w:t>
            </w:r>
          </w:p>
        </w:tc>
        <w:tc>
          <w:tcPr>
            <w:tcW w:w="1545" w:type="dxa"/>
            <w:tcBorders>
              <w:top w:val="single" w:color="auto" w:sz="4" w:space="0"/>
              <w:left w:val="nil"/>
              <w:bottom w:val="single" w:color="auto" w:sz="4" w:space="0"/>
              <w:right w:val="single" w:color="auto" w:sz="4" w:space="0"/>
            </w:tcBorders>
            <w:shd w:val="clear"/>
            <w:vAlign w:val="center"/>
          </w:tcPr>
          <w:p w14:paraId="42918F5E">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型号与规格</w:t>
            </w:r>
          </w:p>
        </w:tc>
        <w:tc>
          <w:tcPr>
            <w:tcW w:w="1440" w:type="dxa"/>
            <w:tcBorders>
              <w:top w:val="single" w:color="auto" w:sz="4" w:space="0"/>
              <w:left w:val="nil"/>
              <w:bottom w:val="single" w:color="auto" w:sz="4" w:space="0"/>
              <w:right w:val="single" w:color="auto" w:sz="4" w:space="0"/>
            </w:tcBorders>
            <w:shd w:val="clear"/>
            <w:vAlign w:val="center"/>
          </w:tcPr>
          <w:p w14:paraId="197A089C">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生产商、产地</w:t>
            </w:r>
          </w:p>
        </w:tc>
        <w:tc>
          <w:tcPr>
            <w:tcW w:w="720" w:type="dxa"/>
            <w:tcBorders>
              <w:top w:val="single" w:color="auto" w:sz="4" w:space="0"/>
              <w:left w:val="nil"/>
              <w:bottom w:val="single" w:color="auto" w:sz="4" w:space="0"/>
              <w:right w:val="single" w:color="auto" w:sz="4" w:space="0"/>
            </w:tcBorders>
            <w:shd w:val="clear"/>
            <w:vAlign w:val="center"/>
          </w:tcPr>
          <w:p w14:paraId="2F86AE91">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数量</w:t>
            </w:r>
          </w:p>
        </w:tc>
        <w:tc>
          <w:tcPr>
            <w:tcW w:w="720" w:type="dxa"/>
            <w:tcBorders>
              <w:top w:val="single" w:color="auto" w:sz="4" w:space="0"/>
              <w:left w:val="nil"/>
              <w:bottom w:val="single" w:color="auto" w:sz="4" w:space="0"/>
              <w:right w:val="single" w:color="auto" w:sz="4" w:space="0"/>
            </w:tcBorders>
            <w:shd w:val="clear"/>
            <w:vAlign w:val="center"/>
          </w:tcPr>
          <w:p w14:paraId="379C9DA4">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单位</w:t>
            </w:r>
          </w:p>
        </w:tc>
        <w:tc>
          <w:tcPr>
            <w:tcW w:w="1153" w:type="dxa"/>
            <w:tcBorders>
              <w:top w:val="single" w:color="auto" w:sz="4" w:space="0"/>
              <w:left w:val="nil"/>
              <w:bottom w:val="single" w:color="auto" w:sz="4" w:space="0"/>
              <w:right w:val="single" w:color="auto" w:sz="4" w:space="0"/>
            </w:tcBorders>
            <w:shd w:val="clear"/>
            <w:vAlign w:val="center"/>
          </w:tcPr>
          <w:p w14:paraId="04E6116C">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单价（元）</w:t>
            </w:r>
          </w:p>
        </w:tc>
        <w:tc>
          <w:tcPr>
            <w:tcW w:w="1133" w:type="dxa"/>
            <w:tcBorders>
              <w:top w:val="single" w:color="auto" w:sz="4" w:space="0"/>
              <w:left w:val="nil"/>
              <w:bottom w:val="single" w:color="auto" w:sz="4" w:space="0"/>
              <w:right w:val="single" w:color="auto" w:sz="4" w:space="0"/>
            </w:tcBorders>
            <w:shd w:val="clear"/>
            <w:vAlign w:val="center"/>
          </w:tcPr>
          <w:p w14:paraId="1CC9B849">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总价（元）</w:t>
            </w:r>
          </w:p>
        </w:tc>
      </w:tr>
      <w:tr w14:paraId="37F36BF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vAlign w:val="top"/>
          </w:tcPr>
          <w:p w14:paraId="7621C6DF">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545" w:type="dxa"/>
            <w:tcBorders>
              <w:top w:val="single" w:color="auto" w:sz="4" w:space="0"/>
              <w:left w:val="nil"/>
              <w:bottom w:val="single" w:color="auto" w:sz="4" w:space="0"/>
              <w:right w:val="single" w:color="auto" w:sz="4" w:space="0"/>
            </w:tcBorders>
            <w:shd w:val="clear"/>
            <w:vAlign w:val="top"/>
          </w:tcPr>
          <w:p w14:paraId="0FDFB63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440" w:type="dxa"/>
            <w:tcBorders>
              <w:top w:val="single" w:color="auto" w:sz="4" w:space="0"/>
              <w:left w:val="nil"/>
              <w:bottom w:val="single" w:color="auto" w:sz="4" w:space="0"/>
              <w:right w:val="single" w:color="auto" w:sz="4" w:space="0"/>
            </w:tcBorders>
            <w:shd w:val="clear"/>
            <w:vAlign w:val="top"/>
          </w:tcPr>
          <w:p w14:paraId="2DE45E1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720" w:type="dxa"/>
            <w:tcBorders>
              <w:top w:val="single" w:color="auto" w:sz="4" w:space="0"/>
              <w:left w:val="nil"/>
              <w:bottom w:val="single" w:color="auto" w:sz="4" w:space="0"/>
              <w:right w:val="single" w:color="auto" w:sz="4" w:space="0"/>
            </w:tcBorders>
            <w:shd w:val="clear"/>
            <w:vAlign w:val="top"/>
          </w:tcPr>
          <w:p w14:paraId="67CE6C9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720" w:type="dxa"/>
            <w:tcBorders>
              <w:top w:val="single" w:color="auto" w:sz="4" w:space="0"/>
              <w:left w:val="nil"/>
              <w:bottom w:val="single" w:color="auto" w:sz="4" w:space="0"/>
              <w:right w:val="single" w:color="auto" w:sz="4" w:space="0"/>
            </w:tcBorders>
            <w:shd w:val="clear"/>
            <w:vAlign w:val="top"/>
          </w:tcPr>
          <w:p w14:paraId="708538E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153" w:type="dxa"/>
            <w:tcBorders>
              <w:top w:val="single" w:color="auto" w:sz="4" w:space="0"/>
              <w:left w:val="nil"/>
              <w:bottom w:val="single" w:color="auto" w:sz="4" w:space="0"/>
              <w:right w:val="single" w:color="auto" w:sz="4" w:space="0"/>
            </w:tcBorders>
            <w:shd w:val="clear"/>
            <w:vAlign w:val="top"/>
          </w:tcPr>
          <w:p w14:paraId="208C37C8">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133" w:type="dxa"/>
            <w:tcBorders>
              <w:top w:val="single" w:color="auto" w:sz="4" w:space="0"/>
              <w:left w:val="nil"/>
              <w:bottom w:val="single" w:color="auto" w:sz="4" w:space="0"/>
              <w:right w:val="single" w:color="auto" w:sz="4" w:space="0"/>
            </w:tcBorders>
            <w:shd w:val="clear"/>
            <w:vAlign w:val="top"/>
          </w:tcPr>
          <w:p w14:paraId="1B8D821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r>
      <w:tr w14:paraId="643A6B6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vAlign w:val="center"/>
          </w:tcPr>
          <w:p w14:paraId="64AA05A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545" w:type="dxa"/>
            <w:tcBorders>
              <w:top w:val="single" w:color="auto" w:sz="4" w:space="0"/>
              <w:left w:val="nil"/>
              <w:bottom w:val="single" w:color="auto" w:sz="4" w:space="0"/>
              <w:right w:val="single" w:color="auto" w:sz="4" w:space="0"/>
            </w:tcBorders>
            <w:shd w:val="clear"/>
            <w:vAlign w:val="center"/>
          </w:tcPr>
          <w:p w14:paraId="4BB329C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440" w:type="dxa"/>
            <w:tcBorders>
              <w:top w:val="single" w:color="auto" w:sz="4" w:space="0"/>
              <w:left w:val="nil"/>
              <w:bottom w:val="single" w:color="auto" w:sz="4" w:space="0"/>
              <w:right w:val="single" w:color="auto" w:sz="4" w:space="0"/>
            </w:tcBorders>
            <w:shd w:val="clear"/>
            <w:vAlign w:val="center"/>
          </w:tcPr>
          <w:p w14:paraId="53D9CB2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720" w:type="dxa"/>
            <w:tcBorders>
              <w:top w:val="single" w:color="auto" w:sz="4" w:space="0"/>
              <w:left w:val="nil"/>
              <w:bottom w:val="single" w:color="auto" w:sz="4" w:space="0"/>
              <w:right w:val="single" w:color="auto" w:sz="4" w:space="0"/>
            </w:tcBorders>
            <w:shd w:val="clear"/>
            <w:vAlign w:val="center"/>
          </w:tcPr>
          <w:p w14:paraId="291FA82C">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720" w:type="dxa"/>
            <w:tcBorders>
              <w:top w:val="single" w:color="auto" w:sz="4" w:space="0"/>
              <w:left w:val="nil"/>
              <w:bottom w:val="single" w:color="auto" w:sz="4" w:space="0"/>
              <w:right w:val="single" w:color="auto" w:sz="4" w:space="0"/>
            </w:tcBorders>
            <w:shd w:val="clear"/>
            <w:vAlign w:val="center"/>
          </w:tcPr>
          <w:p w14:paraId="5CE23FA5">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153" w:type="dxa"/>
            <w:tcBorders>
              <w:top w:val="single" w:color="auto" w:sz="4" w:space="0"/>
              <w:left w:val="nil"/>
              <w:bottom w:val="single" w:color="auto" w:sz="4" w:space="0"/>
              <w:right w:val="single" w:color="auto" w:sz="4" w:space="0"/>
            </w:tcBorders>
            <w:shd w:val="clear"/>
            <w:vAlign w:val="center"/>
          </w:tcPr>
          <w:p w14:paraId="50DFF46F">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133" w:type="dxa"/>
            <w:tcBorders>
              <w:top w:val="single" w:color="auto" w:sz="4" w:space="0"/>
              <w:left w:val="nil"/>
              <w:bottom w:val="single" w:color="auto" w:sz="4" w:space="0"/>
              <w:right w:val="single" w:color="auto" w:sz="4" w:space="0"/>
            </w:tcBorders>
            <w:shd w:val="clear"/>
            <w:vAlign w:val="center"/>
          </w:tcPr>
          <w:p w14:paraId="649D31A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r>
      <w:tr w14:paraId="0CFC380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shd w:val="clear"/>
            <w:vAlign w:val="center"/>
          </w:tcPr>
          <w:p w14:paraId="5CD0A5CF">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合计金额（大写）：</w:t>
            </w:r>
          </w:p>
        </w:tc>
        <w:tc>
          <w:tcPr>
            <w:tcW w:w="1153" w:type="dxa"/>
            <w:tcBorders>
              <w:top w:val="single" w:color="auto" w:sz="4" w:space="0"/>
              <w:left w:val="nil"/>
              <w:bottom w:val="single" w:color="auto" w:sz="4" w:space="0"/>
              <w:right w:val="single" w:color="auto" w:sz="4" w:space="0"/>
            </w:tcBorders>
            <w:shd w:val="clear"/>
            <w:vAlign w:val="center"/>
          </w:tcPr>
          <w:p w14:paraId="241BE48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小写（元）</w:t>
            </w:r>
          </w:p>
        </w:tc>
        <w:tc>
          <w:tcPr>
            <w:tcW w:w="1133" w:type="dxa"/>
            <w:tcBorders>
              <w:top w:val="single" w:color="auto" w:sz="4" w:space="0"/>
              <w:left w:val="nil"/>
              <w:bottom w:val="single" w:color="auto" w:sz="4" w:space="0"/>
              <w:right w:val="single" w:color="auto" w:sz="4" w:space="0"/>
            </w:tcBorders>
            <w:shd w:val="clear"/>
            <w:vAlign w:val="center"/>
          </w:tcPr>
          <w:p w14:paraId="7152ACAF">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color w:val="auto"/>
                <w:kern w:val="2"/>
                <w:sz w:val="21"/>
                <w:szCs w:val="21"/>
                <w:bdr w:val="none" w:color="auto" w:sz="0" w:space="0"/>
              </w:rPr>
            </w:pPr>
          </w:p>
        </w:tc>
      </w:tr>
    </w:tbl>
    <w:p w14:paraId="3E52EFB5">
      <w:pPr>
        <w:keepNext w:val="0"/>
        <w:keepLines w:val="0"/>
        <w:widowControl w:val="0"/>
        <w:suppressLineNumbers w:val="0"/>
        <w:spacing w:before="0" w:beforeAutospacing="0" w:after="0" w:afterAutospacing="0" w:line="360" w:lineRule="auto"/>
        <w:ind w:left="537" w:leftChars="200" w:right="0" w:hanging="117" w:hangingChars="56"/>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、本合同总额为货物到达西北大学指定地点价格（大写）：</w:t>
      </w:r>
      <w:r>
        <w:rPr>
          <w:rFonts w:hint="default" w:ascii="Calibri" w:hAnsi="Calibri" w:eastAsia="宋体" w:cs="Times New Roman"/>
          <w:color w:val="auto"/>
          <w:kern w:val="2"/>
          <w:sz w:val="21"/>
          <w:szCs w:val="21"/>
          <w:u w:val="single"/>
          <w:lang w:val="en-US" w:eastAsia="zh-CN" w:bidi="ar"/>
        </w:rPr>
        <w:t xml:space="preserve">      </w:t>
      </w:r>
      <w:r>
        <w:rPr>
          <w:rFonts w:hint="eastAsia" w:ascii="Calibri" w:hAnsi="Calibri" w:eastAsia="宋体" w:cs="Times New Roman"/>
          <w:color w:val="auto"/>
          <w:kern w:val="2"/>
          <w:sz w:val="21"/>
          <w:szCs w:val="21"/>
          <w:u w:val="single"/>
          <w:lang w:val="en-US" w:eastAsia="zh-CN" w:bidi="ar"/>
        </w:rPr>
        <w:t xml:space="preserve">    </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元。</w:t>
      </w:r>
    </w:p>
    <w:p w14:paraId="026898CB">
      <w:pPr>
        <w:keepNext w:val="0"/>
        <w:keepLines w:val="0"/>
        <w:widowControl w:val="0"/>
        <w:suppressLineNumbers w:val="0"/>
        <w:tabs>
          <w:tab w:val="left" w:pos="0"/>
        </w:tabs>
        <w:spacing w:before="0" w:beforeAutospacing="0" w:after="0" w:afterAutospacing="0" w:line="500" w:lineRule="exact"/>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3</w:t>
      </w:r>
      <w:r>
        <w:rPr>
          <w:rFonts w:hint="eastAsia" w:ascii="宋体" w:hAnsi="宋体" w:eastAsia="宋体" w:cs="宋体"/>
          <w:color w:val="auto"/>
          <w:kern w:val="2"/>
          <w:sz w:val="21"/>
          <w:szCs w:val="21"/>
          <w:lang w:val="en-US" w:eastAsia="zh-CN" w:bidi="ar"/>
        </w:rPr>
        <w:t>、本合同总额为货物到达使用地点、验收合格达到正常使用条件前的所有费用，包括但不限于以下费用：货物价值、安装调试费、国内外运杂费（含保险）、仓储保管费、技术培训费、检测费、施工费、人工费、进口业务相关费用（按合同金额的</w:t>
      </w:r>
      <w:r>
        <w:rPr>
          <w:rFonts w:hint="default" w:ascii="Calibri" w:hAnsi="Calibri" w:eastAsia="宋体" w:cs="Calibri"/>
          <w:color w:val="auto"/>
          <w:kern w:val="2"/>
          <w:sz w:val="21"/>
          <w:szCs w:val="21"/>
          <w:lang w:val="en-US" w:eastAsia="zh-CN" w:bidi="ar"/>
        </w:rPr>
        <w:t>0.68%</w:t>
      </w:r>
      <w:r>
        <w:rPr>
          <w:rFonts w:hint="eastAsia" w:ascii="宋体" w:hAnsi="宋体" w:eastAsia="宋体" w:cs="宋体"/>
          <w:color w:val="auto"/>
          <w:kern w:val="2"/>
          <w:sz w:val="21"/>
          <w:szCs w:val="21"/>
          <w:lang w:val="en-US" w:eastAsia="zh-CN" w:bidi="ar"/>
        </w:rPr>
        <w:t>收取。包括外贸代理公司进口业务代理费、国内外银行手续费、报关费、商检费等）及进口货物按国家政策征收的一切税费（按国家政策规定甲方可以享受的免税部分除外）等。</w:t>
      </w:r>
    </w:p>
    <w:p w14:paraId="75FCA439">
      <w:pPr>
        <w:keepNext w:val="0"/>
        <w:keepLines w:val="0"/>
        <w:widowControl w:val="0"/>
        <w:suppressLineNumbers w:val="0"/>
        <w:tabs>
          <w:tab w:val="left" w:pos="0"/>
        </w:tabs>
        <w:spacing w:before="0" w:beforeAutospacing="0" w:after="0" w:afterAutospacing="0" w:line="500" w:lineRule="exact"/>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4</w:t>
      </w:r>
      <w:r>
        <w:rPr>
          <w:rFonts w:hint="eastAsia" w:ascii="宋体" w:hAnsi="宋体" w:eastAsia="宋体" w:cs="宋体"/>
          <w:color w:val="auto"/>
          <w:kern w:val="2"/>
          <w:sz w:val="21"/>
          <w:szCs w:val="21"/>
          <w:lang w:val="en-US" w:eastAsia="zh-CN" w:bidi="ar"/>
        </w:rPr>
        <w:t>、本合同总额不受市场价格及外汇汇率变化的影响，在合同不发生变更时作为付款结算的依据。</w:t>
      </w:r>
    </w:p>
    <w:p w14:paraId="7DC18D4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二、交货时间及交货地点</w:t>
      </w:r>
    </w:p>
    <w:p w14:paraId="502C9676">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、交货时间为本合同生效后</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u w:val="single"/>
          <w:lang w:val="en-US" w:eastAsia="zh-CN" w:bidi="ar"/>
        </w:rPr>
        <w:t xml:space="preserve"> </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天内到货，到货地点为西安西北大学××××学院（系）指定地点。</w:t>
      </w:r>
    </w:p>
    <w:p w14:paraId="7918AA26">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、货物的运输方式由乙方自行选择，但包装必须符合国际标准或行业标准，满足航空、铁路或公路运输以及货物装卸要求，保证使用人收到的是无任何损伤的货物。否则，因此造成的损失由乙方自行承担。</w:t>
      </w:r>
    </w:p>
    <w:p w14:paraId="35ABC613">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三、货物质量保证</w:t>
      </w:r>
    </w:p>
    <w:p w14:paraId="59BCC9CB">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、乙方必须保证所提供的货物及配套产品是合同规定厂家制造的、崭新的、未曾使用过的合格货物。</w:t>
      </w:r>
    </w:p>
    <w:p w14:paraId="035A666E">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、乙方提供的货物及配套产品必须等同或优于合同技术指标要求，并能按国际标准（行业标准）检测调试和验收，确保货物技术指标满足使用要求。</w:t>
      </w:r>
    </w:p>
    <w:p w14:paraId="7D13E94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 xml:space="preserve">    3</w:t>
      </w:r>
      <w:r>
        <w:rPr>
          <w:rFonts w:hint="eastAsia" w:ascii="宋体" w:hAnsi="宋体" w:eastAsia="宋体" w:cs="宋体"/>
          <w:color w:val="auto"/>
          <w:kern w:val="2"/>
          <w:sz w:val="21"/>
          <w:szCs w:val="21"/>
          <w:lang w:val="en-US" w:eastAsia="zh-CN" w:bidi="ar"/>
        </w:rPr>
        <w:t>、货物质量保修期为货物验收合格后</w:t>
      </w:r>
      <w:r>
        <w:rPr>
          <w:rFonts w:hint="default" w:ascii="Calibri" w:hAnsi="Calibri" w:eastAsia="宋体" w:cs="Times New Roman"/>
          <w:color w:val="auto"/>
          <w:kern w:val="2"/>
          <w:sz w:val="21"/>
          <w:szCs w:val="21"/>
          <w:u w:val="single"/>
          <w:lang w:val="en-US" w:eastAsia="zh-CN" w:bidi="ar"/>
        </w:rPr>
        <w:t xml:space="preserve"> </w:t>
      </w:r>
      <w:r>
        <w:rPr>
          <w:rFonts w:hint="eastAsia"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年。质量保修期内乙方免费维修，包括货物的零配件及国内不能解决的故障需要返回生产厂维修时所发生的一切费用。质量保期满后，乙方负责货物的终身维修。甲方如需更换货物的零配件，乙方只收取零配件的成本费，并由乙方负责更换。</w:t>
      </w:r>
    </w:p>
    <w:p w14:paraId="0C61A8A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四、技术服务承诺</w:t>
      </w:r>
    </w:p>
    <w:p w14:paraId="4BB5A811">
      <w:pPr>
        <w:pStyle w:val="10"/>
        <w:keepNext w:val="0"/>
        <w:keepLines w:val="0"/>
        <w:widowControl w:val="0"/>
        <w:suppressLineNumbers w:val="0"/>
        <w:spacing w:before="0" w:beforeAutospacing="1" w:after="0" w:afterAutospacing="1" w:line="360" w:lineRule="auto"/>
        <w:ind w:left="0" w:right="0" w:firstLine="420" w:firstLineChars="200"/>
        <w:jc w:val="both"/>
        <w:rPr>
          <w:rFonts w:hint="eastAsia" w:ascii="宋体"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1、乙方负责提供货物相应的技术资料，包括产品合格证、产品保修单、安装使用及维护说明书以及运输装箱清单等，外文资料需同时提供中文翻译文本。</w:t>
      </w:r>
    </w:p>
    <w:p w14:paraId="52785055">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2、人员培训：乙方免费为甲方培训使用人员。培训内容包括：操作、维护、简单维修等。</w:t>
      </w:r>
    </w:p>
    <w:p w14:paraId="3B6F8539">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3</w:t>
      </w:r>
      <w:r>
        <w:rPr>
          <w:rFonts w:hint="eastAsia" w:ascii="宋体" w:hAnsi="宋体" w:eastAsia="宋体" w:cs="宋体"/>
          <w:color w:val="auto"/>
          <w:kern w:val="2"/>
          <w:sz w:val="21"/>
          <w:szCs w:val="21"/>
          <w:lang w:val="en-US" w:eastAsia="zh-CN" w:bidi="ar"/>
        </w:rPr>
        <w:t>、货物到货后，由乙方技术人员会同甲方和海关在甲方现场免费安装调试。</w:t>
      </w:r>
    </w:p>
    <w:p w14:paraId="3A19CB70">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4</w:t>
      </w:r>
      <w:r>
        <w:rPr>
          <w:rFonts w:hint="eastAsia" w:ascii="宋体" w:hAnsi="宋体" w:eastAsia="宋体" w:cs="宋体"/>
          <w:color w:val="auto"/>
          <w:kern w:val="2"/>
          <w:sz w:val="21"/>
          <w:szCs w:val="21"/>
          <w:lang w:val="en-US" w:eastAsia="zh-CN" w:bidi="ar"/>
        </w:rPr>
        <w:t>、售后服务：质量保修期内乙方对甲方提出的服务响应不得超出（</w:t>
      </w:r>
      <w:r>
        <w:rPr>
          <w:rFonts w:hint="default" w:ascii="Calibri" w:hAnsi="Calibri" w:eastAsia="宋体" w:cs="Times New Roman"/>
          <w:color w:val="auto"/>
          <w:kern w:val="2"/>
          <w:sz w:val="21"/>
          <w:szCs w:val="21"/>
          <w:lang w:val="en-US" w:eastAsia="zh-CN" w:bidi="ar"/>
        </w:rPr>
        <w:t xml:space="preserve"> </w:t>
      </w:r>
      <w:r>
        <w:rPr>
          <w:rFonts w:hint="default" w:ascii="Calibri" w:hAnsi="Calibri" w:eastAsia="宋体" w:cs="Calibri"/>
          <w:color w:val="auto"/>
          <w:kern w:val="2"/>
          <w:sz w:val="21"/>
          <w:szCs w:val="21"/>
          <w:lang w:val="en-US" w:eastAsia="zh-CN" w:bidi="ar"/>
        </w:rPr>
        <w:t>48</w:t>
      </w:r>
      <w:r>
        <w:rPr>
          <w:rFonts w:hint="default"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）小时，并派人到现场排除故障或制订解决方案。</w:t>
      </w:r>
    </w:p>
    <w:p w14:paraId="49C46A51">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五、验收方法及标准</w:t>
      </w:r>
    </w:p>
    <w:p w14:paraId="2244637A">
      <w:pPr>
        <w:keepNext w:val="0"/>
        <w:keepLines w:val="0"/>
        <w:widowControl w:val="0"/>
        <w:suppressLineNumbers w:val="0"/>
        <w:spacing w:before="0" w:beforeAutospacing="0" w:after="0" w:afterAutospacing="0" w:line="360" w:lineRule="auto"/>
        <w:ind w:left="0" w:right="0" w:firstLine="420"/>
        <w:jc w:val="both"/>
        <w:rPr>
          <w:rFonts w:hint="eastAsia"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、验收分初次开箱验收和学校最终验收两个阶段，以最终验收为准。</w:t>
      </w:r>
    </w:p>
    <w:p w14:paraId="7366DAD5">
      <w:pPr>
        <w:keepNext w:val="0"/>
        <w:keepLines w:val="0"/>
        <w:widowControl w:val="0"/>
        <w:suppressLineNumbers w:val="0"/>
        <w:spacing w:before="0" w:beforeAutospacing="0" w:after="0" w:afterAutospacing="0" w:line="360" w:lineRule="auto"/>
        <w:ind w:left="0" w:right="0" w:firstLine="420"/>
        <w:jc w:val="both"/>
        <w:rPr>
          <w:rFonts w:hint="default"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w:t>
      </w:r>
    </w:p>
    <w:p w14:paraId="36B5BDD2">
      <w:pPr>
        <w:keepNext w:val="0"/>
        <w:keepLines w:val="0"/>
        <w:widowControl w:val="0"/>
        <w:suppressLineNumbers w:val="0"/>
        <w:spacing w:before="0" w:beforeAutospacing="0" w:after="0" w:afterAutospacing="0" w:line="360" w:lineRule="auto"/>
        <w:ind w:left="0" w:right="0" w:firstLine="422" w:firstLineChars="200"/>
        <w:jc w:val="both"/>
        <w:rPr>
          <w:rFonts w:hint="default" w:ascii="Calibri" w:hAnsi="Calibri" w:eastAsia="宋体" w:cs="Times New Roman"/>
          <w:color w:val="auto"/>
          <w:kern w:val="2"/>
          <w:sz w:val="21"/>
          <w:szCs w:val="21"/>
        </w:rPr>
      </w:pPr>
      <w:r>
        <w:rPr>
          <w:rFonts w:hint="default" w:ascii="Calibri" w:hAnsi="Calibri" w:eastAsia="宋体" w:cs="Calibri"/>
          <w:b/>
          <w:bCs/>
          <w:color w:val="auto"/>
          <w:kern w:val="2"/>
          <w:sz w:val="21"/>
          <w:szCs w:val="21"/>
          <w:lang w:val="en-US" w:eastAsia="zh-CN" w:bidi="ar"/>
        </w:rPr>
        <w:t>3</w:t>
      </w:r>
      <w:r>
        <w:rPr>
          <w:rFonts w:hint="eastAsia" w:ascii="宋体" w:hAnsi="宋体" w:eastAsia="宋体" w:cs="宋体"/>
          <w:b/>
          <w:bCs/>
          <w:color w:val="auto"/>
          <w:kern w:val="2"/>
          <w:sz w:val="21"/>
          <w:szCs w:val="21"/>
          <w:lang w:val="en-US" w:eastAsia="zh-CN" w:bidi="ar"/>
        </w:rPr>
        <w:t>、</w:t>
      </w:r>
      <w:r>
        <w:rPr>
          <w:rFonts w:hint="eastAsia" w:ascii="宋体" w:hAnsi="宋体" w:eastAsia="宋体" w:cs="宋体"/>
          <w:color w:val="auto"/>
          <w:kern w:val="2"/>
          <w:sz w:val="21"/>
          <w:szCs w:val="21"/>
          <w:lang w:val="en-US" w:eastAsia="zh-CN" w:bidi="ar"/>
        </w:rPr>
        <w:t>学校根据使用单位技术验收结果，组织有关专家进行的最终验收。</w:t>
      </w:r>
    </w:p>
    <w:p w14:paraId="34B47D6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六、合同款项支付方式</w:t>
      </w:r>
    </w:p>
    <w:p w14:paraId="00AA54BA">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合同生效后，由甲方通过进出口业务代理公司向乙方开出</w:t>
      </w:r>
      <w:r>
        <w:rPr>
          <w:rFonts w:hint="default" w:ascii="Calibri" w:hAnsi="Calibri" w:eastAsia="宋体" w:cs="Times New Roman"/>
          <w:color w:val="auto"/>
          <w:kern w:val="2"/>
          <w:sz w:val="21"/>
          <w:szCs w:val="21"/>
          <w:lang w:val="en-US" w:eastAsia="zh-CN" w:bidi="ar"/>
        </w:rPr>
        <w:t>100%</w:t>
      </w:r>
      <w:r>
        <w:rPr>
          <w:rFonts w:hint="eastAsia" w:ascii="宋体" w:hAnsi="宋体" w:eastAsia="宋体" w:cs="宋体"/>
          <w:color w:val="auto"/>
          <w:kern w:val="2"/>
          <w:sz w:val="21"/>
          <w:szCs w:val="21"/>
          <w:lang w:val="en-US" w:eastAsia="zh-CN" w:bidi="ar"/>
        </w:rPr>
        <w:t>信用证，待货物到货、安装调试、并经学校组织验收合格后，由甲方通知进出口业务代理公司向乙方解汇。</w:t>
      </w:r>
    </w:p>
    <w:p w14:paraId="71B1C5CB">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七、违约责任</w:t>
      </w:r>
    </w:p>
    <w:p w14:paraId="7E26466E">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、合同生效后，甲乙双方应按合同规定认真履约，合同履约责任只涉及合同甲乙双方，不考虑第三方因素。</w:t>
      </w:r>
    </w:p>
    <w:p w14:paraId="3EA09340">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、除不可抗力原因外，如遇下列情况之一者，甲方有权不予退还乙方所缴纳的合同履约保证金，作为对甲方的赔偿：（</w:t>
      </w:r>
      <w:r>
        <w:rPr>
          <w:rFonts w:hint="default" w:ascii="Calibri" w:hAnsi="Calibri" w:eastAsia="宋体" w:cs="Times New Roman"/>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）合同签订后不能按合同时限要求供货或安装调试；（</w:t>
      </w:r>
      <w:r>
        <w:rPr>
          <w:rFonts w:hint="default" w:ascii="Calibri" w:hAnsi="Calibri" w:eastAsia="宋体" w:cs="Times New Roman"/>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）所供货物不合格</w:t>
      </w:r>
      <w:r>
        <w:rPr>
          <w:rFonts w:hint="eastAsia" w:ascii="宋体" w:hAnsi="宋体" w:eastAsia="宋体" w:cs="宋体"/>
          <w:b/>
          <w:bCs w:val="0"/>
          <w:color w:val="auto"/>
          <w:kern w:val="2"/>
          <w:sz w:val="21"/>
          <w:szCs w:val="21"/>
          <w:lang w:val="en-US" w:eastAsia="zh-CN" w:bidi="ar"/>
        </w:rPr>
        <w:t>、</w:t>
      </w:r>
      <w:r>
        <w:rPr>
          <w:rFonts w:hint="eastAsia" w:ascii="宋体" w:hAnsi="宋体" w:eastAsia="宋体" w:cs="宋体"/>
          <w:color w:val="auto"/>
          <w:kern w:val="2"/>
          <w:sz w:val="21"/>
          <w:szCs w:val="21"/>
          <w:lang w:val="en-US" w:eastAsia="zh-CN" w:bidi="ar"/>
        </w:rPr>
        <w:t>与合同不符；（</w:t>
      </w:r>
      <w:r>
        <w:rPr>
          <w:rFonts w:hint="default" w:ascii="Calibri" w:hAnsi="Calibri" w:eastAsia="宋体" w:cs="Times New Roman"/>
          <w:color w:val="auto"/>
          <w:kern w:val="2"/>
          <w:sz w:val="21"/>
          <w:szCs w:val="21"/>
          <w:lang w:val="en-US" w:eastAsia="zh-CN" w:bidi="ar"/>
        </w:rPr>
        <w:t>3</w:t>
      </w:r>
      <w:r>
        <w:rPr>
          <w:rFonts w:hint="eastAsia" w:ascii="宋体" w:hAnsi="宋体" w:eastAsia="宋体" w:cs="宋体"/>
          <w:color w:val="auto"/>
          <w:kern w:val="2"/>
          <w:sz w:val="21"/>
          <w:szCs w:val="21"/>
          <w:lang w:val="en-US" w:eastAsia="zh-CN" w:bidi="ar"/>
        </w:rPr>
        <w:t>）不能按合同履约；（</w:t>
      </w:r>
      <w:r>
        <w:rPr>
          <w:rFonts w:hint="default" w:ascii="Calibri" w:hAnsi="Calibri" w:eastAsia="宋体" w:cs="Times New Roman"/>
          <w:color w:val="auto"/>
          <w:kern w:val="2"/>
          <w:sz w:val="21"/>
          <w:szCs w:val="21"/>
          <w:lang w:val="en-US" w:eastAsia="zh-CN" w:bidi="ar"/>
        </w:rPr>
        <w:t>4</w:t>
      </w:r>
      <w:r>
        <w:rPr>
          <w:rFonts w:hint="eastAsia" w:ascii="宋体" w:hAnsi="宋体" w:eastAsia="宋体" w:cs="宋体"/>
          <w:color w:val="auto"/>
          <w:kern w:val="2"/>
          <w:sz w:val="21"/>
          <w:szCs w:val="21"/>
          <w:lang w:val="en-US" w:eastAsia="zh-CN" w:bidi="ar"/>
        </w:rPr>
        <w:t>）货物验收不合格。如乙方的合同履约保证金不足以弥补甲方损失时，甲方有权要求乙方继续承担赔偿责任。</w:t>
      </w:r>
    </w:p>
    <w:p w14:paraId="38AF71D4">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3</w:t>
      </w:r>
      <w:r>
        <w:rPr>
          <w:rFonts w:hint="eastAsia" w:ascii="宋体" w:hAnsi="宋体" w:eastAsia="宋体" w:cs="宋体"/>
          <w:color w:val="auto"/>
          <w:kern w:val="2"/>
          <w:sz w:val="21"/>
          <w:szCs w:val="21"/>
          <w:lang w:val="en-US" w:eastAsia="zh-CN" w:bidi="ar"/>
        </w:rPr>
        <w:t>、乙方对所供货物出现的问题推委、拖延，（</w:t>
      </w:r>
      <w:r>
        <w:rPr>
          <w:rFonts w:hint="default" w:ascii="Calibri" w:hAnsi="Calibri" w:eastAsia="宋体" w:cs="Calibri"/>
          <w:color w:val="auto"/>
          <w:kern w:val="2"/>
          <w:sz w:val="21"/>
          <w:szCs w:val="21"/>
          <w:lang w:val="en-US" w:eastAsia="zh-CN" w:bidi="ar"/>
        </w:rPr>
        <w:t>48</w:t>
      </w:r>
      <w:r>
        <w:rPr>
          <w:rFonts w:hint="eastAsia" w:ascii="宋体" w:hAnsi="宋体" w:eastAsia="宋体" w:cs="宋体"/>
          <w:color w:val="auto"/>
          <w:kern w:val="2"/>
          <w:sz w:val="21"/>
          <w:szCs w:val="21"/>
          <w:lang w:val="en-US" w:eastAsia="zh-CN" w:bidi="ar"/>
        </w:rPr>
        <w:t>）小时未作出服务响应，应接受甲方的合理处罚。</w:t>
      </w:r>
    </w:p>
    <w:p w14:paraId="080C4AB3">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4</w:t>
      </w:r>
      <w:r>
        <w:rPr>
          <w:rFonts w:hint="eastAsia" w:ascii="宋体" w:hAnsi="宋体" w:eastAsia="宋体" w:cs="宋体"/>
          <w:color w:val="auto"/>
          <w:kern w:val="2"/>
          <w:sz w:val="21"/>
          <w:szCs w:val="21"/>
          <w:lang w:val="en-US" w:eastAsia="zh-CN" w:bidi="ar"/>
        </w:rPr>
        <w:t>、合同履约过程中，甲方应积极配合乙方进行验收以及验收前的外围配套等工作。否则，因此导致不能按期验收时，不能追究乙方责任；正常情况下应在验收合格后</w:t>
      </w:r>
      <w:r>
        <w:rPr>
          <w:rFonts w:hint="default" w:ascii="Calibri" w:hAnsi="Calibri" w:eastAsia="宋体" w:cs="Calibri"/>
          <w:color w:val="auto"/>
          <w:kern w:val="2"/>
          <w:sz w:val="21"/>
          <w:szCs w:val="21"/>
          <w:lang w:val="en-US" w:eastAsia="zh-CN" w:bidi="ar"/>
        </w:rPr>
        <w:t>30</w:t>
      </w:r>
      <w:r>
        <w:rPr>
          <w:rFonts w:hint="eastAsia" w:ascii="宋体" w:hAnsi="宋体" w:eastAsia="宋体" w:cs="宋体"/>
          <w:color w:val="auto"/>
          <w:kern w:val="2"/>
          <w:sz w:val="21"/>
          <w:szCs w:val="21"/>
          <w:lang w:val="en-US" w:eastAsia="zh-CN" w:bidi="ar"/>
        </w:rPr>
        <w:t>天内按规定向乙方付款，最长时间不能超过</w:t>
      </w:r>
      <w:r>
        <w:rPr>
          <w:rFonts w:hint="default" w:ascii="Calibri" w:hAnsi="Calibri" w:eastAsia="宋体" w:cs="Calibri"/>
          <w:color w:val="auto"/>
          <w:kern w:val="2"/>
          <w:sz w:val="21"/>
          <w:szCs w:val="21"/>
          <w:lang w:val="en-US" w:eastAsia="zh-CN" w:bidi="ar"/>
        </w:rPr>
        <w:t>60</w:t>
      </w:r>
      <w:r>
        <w:rPr>
          <w:rFonts w:hint="eastAsia" w:ascii="宋体" w:hAnsi="宋体" w:eastAsia="宋体" w:cs="宋体"/>
          <w:color w:val="auto"/>
          <w:kern w:val="2"/>
          <w:sz w:val="21"/>
          <w:szCs w:val="21"/>
          <w:lang w:val="en-US" w:eastAsia="zh-CN" w:bidi="ar"/>
        </w:rPr>
        <w:t>天。否则，按照每日利率万分之五支付逾期利息。</w:t>
      </w:r>
    </w:p>
    <w:p w14:paraId="78F1F81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八、其它事项</w:t>
      </w:r>
    </w:p>
    <w:p w14:paraId="38ECB0C1">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、合同经双方签字盖章后生效。本合同一式柒份，甲方执伍份，乙方执壹份，招标公司执壹份，执行完毕后自行失效。</w:t>
      </w:r>
    </w:p>
    <w:p w14:paraId="54140711">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、下述文件为本合同的一部分，并与本合同一起阅读和解释，且具有同等法律效力：</w:t>
      </w:r>
    </w:p>
    <w:p w14:paraId="785993CE">
      <w:pPr>
        <w:keepNext w:val="0"/>
        <w:keepLines w:val="0"/>
        <w:widowControl w:val="0"/>
        <w:suppressLineNumbers w:val="0"/>
        <w:spacing w:before="0" w:beforeAutospacing="0" w:after="0" w:afterAutospacing="0" w:line="360" w:lineRule="auto"/>
        <w:ind w:left="0" w:right="0" w:firstLine="525" w:firstLineChars="250"/>
        <w:jc w:val="both"/>
        <w:rPr>
          <w:rFonts w:hint="eastAsia" w:ascii="宋体" w:hAnsi="宋体" w:eastAsia="宋体" w:cs="Times New Roman"/>
          <w:color w:val="auto"/>
          <w:kern w:val="2"/>
          <w:sz w:val="21"/>
          <w:szCs w:val="21"/>
        </w:rPr>
      </w:pPr>
      <w:r>
        <w:rPr>
          <w:rFonts w:hint="eastAsia" w:ascii="宋体" w:hAnsi="宋体" w:eastAsia="宋体" w:cs="宋体"/>
          <w:color w:val="auto"/>
          <w:kern w:val="2"/>
          <w:sz w:val="21"/>
          <w:szCs w:val="21"/>
          <w:lang w:val="en-US" w:eastAsia="zh-CN" w:bidi="ar"/>
        </w:rPr>
        <w:t>①合同附件1：产品功能要求、技术规格及配置详单；</w:t>
      </w:r>
    </w:p>
    <w:p w14:paraId="3B5506D0">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color w:val="auto"/>
          <w:kern w:val="2"/>
          <w:sz w:val="21"/>
          <w:szCs w:val="21"/>
        </w:rPr>
      </w:pPr>
      <w:r>
        <w:rPr>
          <w:rFonts w:hint="eastAsia" w:ascii="宋体" w:hAnsi="宋体" w:eastAsia="宋体" w:cs="宋体"/>
          <w:color w:val="auto"/>
          <w:kern w:val="2"/>
          <w:sz w:val="21"/>
          <w:szCs w:val="21"/>
          <w:lang w:val="en-US" w:eastAsia="zh-CN" w:bidi="ar"/>
        </w:rPr>
        <w:t>②合同附件2：补充条款（如果有）；</w:t>
      </w:r>
    </w:p>
    <w:p w14:paraId="091102D3">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color w:val="auto"/>
          <w:kern w:val="2"/>
          <w:sz w:val="21"/>
          <w:szCs w:val="21"/>
        </w:rPr>
      </w:pPr>
      <w:r>
        <w:rPr>
          <w:rFonts w:hint="eastAsia" w:ascii="宋体" w:hAnsi="宋体" w:eastAsia="宋体" w:cs="宋体"/>
          <w:color w:val="auto"/>
          <w:kern w:val="2"/>
          <w:sz w:val="21"/>
          <w:szCs w:val="21"/>
          <w:lang w:val="en-US" w:eastAsia="zh-CN" w:bidi="ar"/>
        </w:rPr>
        <w:t>③合同附件3：澄清函及最终报价和承诺（如果有）；</w:t>
      </w:r>
    </w:p>
    <w:p w14:paraId="25B3F267">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color w:val="auto"/>
          <w:kern w:val="2"/>
          <w:sz w:val="21"/>
          <w:szCs w:val="21"/>
        </w:rPr>
      </w:pPr>
      <w:r>
        <w:rPr>
          <w:rFonts w:hint="eastAsia" w:ascii="宋体" w:hAnsi="宋体" w:eastAsia="宋体" w:cs="宋体"/>
          <w:color w:val="auto"/>
          <w:kern w:val="2"/>
          <w:sz w:val="21"/>
          <w:szCs w:val="21"/>
          <w:lang w:val="en-US" w:eastAsia="zh-CN" w:bidi="ar"/>
        </w:rPr>
        <w:t>④招标文件；</w:t>
      </w:r>
    </w:p>
    <w:p w14:paraId="0A69FA5C">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color w:val="auto"/>
          <w:kern w:val="2"/>
          <w:sz w:val="21"/>
          <w:szCs w:val="21"/>
        </w:rPr>
      </w:pPr>
      <w:r>
        <w:rPr>
          <w:rFonts w:hint="eastAsia" w:ascii="宋体" w:hAnsi="宋体" w:eastAsia="宋体" w:cs="宋体"/>
          <w:color w:val="auto"/>
          <w:kern w:val="2"/>
          <w:sz w:val="21"/>
          <w:szCs w:val="21"/>
          <w:lang w:val="en-US" w:eastAsia="zh-CN" w:bidi="ar"/>
        </w:rPr>
        <w:t>⑤投标文件；</w:t>
      </w:r>
    </w:p>
    <w:p w14:paraId="7B11AB3D">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color w:val="auto"/>
          <w:kern w:val="2"/>
          <w:sz w:val="21"/>
          <w:szCs w:val="21"/>
        </w:rPr>
      </w:pPr>
      <w:r>
        <w:rPr>
          <w:rFonts w:hint="eastAsia" w:ascii="宋体" w:hAnsi="宋体" w:eastAsia="宋体" w:cs="宋体"/>
          <w:color w:val="auto"/>
          <w:kern w:val="2"/>
          <w:sz w:val="21"/>
          <w:szCs w:val="21"/>
          <w:lang w:val="en-US" w:eastAsia="zh-CN" w:bidi="ar"/>
        </w:rPr>
        <w:t>⑥进出口代理协议；</w:t>
      </w:r>
    </w:p>
    <w:p w14:paraId="0E5B123D">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⑦中标通知书。</w:t>
      </w:r>
    </w:p>
    <w:p w14:paraId="6C3A5F61">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3</w:t>
      </w:r>
      <w:r>
        <w:rPr>
          <w:rFonts w:hint="eastAsia" w:ascii="宋体" w:hAnsi="宋体" w:eastAsia="宋体" w:cs="宋体"/>
          <w:color w:val="auto"/>
          <w:kern w:val="2"/>
          <w:sz w:val="21"/>
          <w:szCs w:val="21"/>
          <w:lang w:val="en-US" w:eastAsia="zh-CN" w:bidi="ar"/>
        </w:rPr>
        <w:t>、在本合同执行过程中，甲、乙双方协商签订的补充合同与原合同具有同等法律效力。</w:t>
      </w:r>
    </w:p>
    <w:p w14:paraId="622DE842">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 xml:space="preserve">    4</w:t>
      </w:r>
      <w:r>
        <w:rPr>
          <w:rFonts w:hint="eastAsia" w:ascii="宋体" w:hAnsi="宋体" w:eastAsia="宋体" w:cs="宋体"/>
          <w:color w:val="auto"/>
          <w:kern w:val="2"/>
          <w:sz w:val="21"/>
          <w:szCs w:val="21"/>
          <w:lang w:val="en-US" w:eastAsia="zh-CN" w:bidi="ar"/>
        </w:rPr>
        <w:t>、未尽事宜，双方协商解决。</w:t>
      </w:r>
    </w:p>
    <w:p w14:paraId="117136FB">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5</w:t>
      </w:r>
      <w:r>
        <w:rPr>
          <w:rFonts w:hint="eastAsia" w:ascii="宋体" w:hAnsi="宋体" w:eastAsia="宋体" w:cs="宋体"/>
          <w:color w:val="auto"/>
          <w:kern w:val="2"/>
          <w:sz w:val="21"/>
          <w:szCs w:val="21"/>
          <w:lang w:val="en-US" w:eastAsia="zh-CN" w:bidi="ar"/>
        </w:rPr>
        <w:t>、合同签订地点：西安</w:t>
      </w:r>
      <w:r>
        <w:rPr>
          <w:rFonts w:hint="default" w:ascii="Calibri" w:hAnsi="Calibri" w:eastAsia="宋体" w:cs="Times New Roman"/>
          <w:color w:val="auto"/>
          <w:kern w:val="2"/>
          <w:sz w:val="21"/>
          <w:szCs w:val="21"/>
          <w:lang w:val="en-US" w:eastAsia="zh-CN" w:bidi="ar"/>
        </w:rPr>
        <w:t>.</w:t>
      </w:r>
      <w:r>
        <w:rPr>
          <w:rFonts w:hint="eastAsia" w:ascii="宋体" w:hAnsi="宋体" w:eastAsia="宋体" w:cs="宋体"/>
          <w:color w:val="auto"/>
          <w:kern w:val="2"/>
          <w:sz w:val="21"/>
          <w:szCs w:val="21"/>
          <w:lang w:val="en-US" w:eastAsia="zh-CN" w:bidi="ar"/>
        </w:rPr>
        <w:t>西北大学</w:t>
      </w:r>
    </w:p>
    <w:p w14:paraId="433D98C8">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6</w:t>
      </w:r>
      <w:r>
        <w:rPr>
          <w:rFonts w:hint="eastAsia" w:ascii="宋体" w:hAnsi="宋体" w:eastAsia="宋体" w:cs="宋体"/>
          <w:color w:val="auto"/>
          <w:kern w:val="2"/>
          <w:sz w:val="21"/>
          <w:szCs w:val="21"/>
          <w:lang w:val="en-US" w:eastAsia="zh-CN" w:bidi="ar"/>
        </w:rPr>
        <w:t>、合同签订时间：</w:t>
      </w:r>
      <w:r>
        <w:rPr>
          <w:rFonts w:hint="eastAsia" w:ascii="宋体" w:hAnsi="宋体" w:eastAsia="宋体" w:cs="宋体"/>
          <w:color w:val="auto"/>
          <w:kern w:val="2"/>
          <w:sz w:val="21"/>
          <w:szCs w:val="21"/>
          <w:u w:val="single"/>
          <w:lang w:val="en-US" w:eastAsia="zh-CN" w:bidi="ar"/>
        </w:rPr>
        <w:t xml:space="preserve">  </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年</w:t>
      </w:r>
      <w:r>
        <w:rPr>
          <w:rFonts w:hint="eastAsia" w:ascii="宋体" w:hAnsi="宋体" w:eastAsia="宋体" w:cs="宋体"/>
          <w:color w:val="auto"/>
          <w:kern w:val="2"/>
          <w:sz w:val="21"/>
          <w:szCs w:val="21"/>
          <w:u w:val="single"/>
          <w:lang w:val="en-US" w:eastAsia="zh-CN" w:bidi="ar"/>
        </w:rPr>
        <w:t xml:space="preserve"> </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月</w:t>
      </w:r>
      <w:r>
        <w:rPr>
          <w:rFonts w:hint="eastAsia" w:ascii="宋体" w:hAnsi="宋体" w:eastAsia="宋体" w:cs="宋体"/>
          <w:color w:val="auto"/>
          <w:kern w:val="2"/>
          <w:sz w:val="21"/>
          <w:szCs w:val="21"/>
          <w:u w:val="single"/>
          <w:lang w:val="en-US" w:eastAsia="zh-CN" w:bidi="ar"/>
        </w:rPr>
        <w:t xml:space="preserve"> </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日</w:t>
      </w:r>
    </w:p>
    <w:p w14:paraId="07D9C0BF">
      <w:pPr>
        <w:keepNext w:val="0"/>
        <w:keepLines w:val="0"/>
        <w:widowControl w:val="0"/>
        <w:suppressLineNumbers w:val="0"/>
        <w:spacing w:before="0" w:beforeAutospacing="0" w:after="0" w:afterAutospacing="0" w:line="360" w:lineRule="auto"/>
        <w:ind w:left="0" w:right="0" w:firstLine="555"/>
        <w:jc w:val="both"/>
        <w:rPr>
          <w:rFonts w:hint="default" w:ascii="Calibri" w:hAnsi="Calibri" w:eastAsia="宋体" w:cs="Times New Roman"/>
          <w:b/>
          <w:bCs w:val="0"/>
          <w:color w:val="auto"/>
          <w:kern w:val="2"/>
          <w:sz w:val="21"/>
          <w:szCs w:val="21"/>
        </w:rPr>
      </w:pPr>
      <w:r>
        <w:rPr>
          <w:rFonts w:hint="eastAsia" w:ascii="宋体" w:hAnsi="宋体" w:eastAsia="宋体" w:cs="宋体"/>
          <w:b/>
          <w:bCs w:val="0"/>
          <w:color w:val="auto"/>
          <w:kern w:val="2"/>
          <w:sz w:val="21"/>
          <w:szCs w:val="21"/>
          <w:lang w:val="en-US" w:eastAsia="zh-CN" w:bidi="ar"/>
        </w:rPr>
        <w:t>甲</w:t>
      </w:r>
      <w:r>
        <w:rPr>
          <w:rFonts w:hint="default" w:ascii="Calibri" w:hAnsi="Calibri" w:eastAsia="宋体" w:cs="Times New Roman"/>
          <w:b/>
          <w:bCs w:val="0"/>
          <w:color w:val="auto"/>
          <w:kern w:val="2"/>
          <w:sz w:val="21"/>
          <w:szCs w:val="21"/>
          <w:lang w:val="en-US" w:eastAsia="zh-CN" w:bidi="ar"/>
        </w:rPr>
        <w:t xml:space="preserve">    </w:t>
      </w:r>
      <w:r>
        <w:rPr>
          <w:rFonts w:hint="eastAsia" w:ascii="宋体" w:hAnsi="宋体" w:eastAsia="宋体" w:cs="宋体"/>
          <w:b/>
          <w:bCs w:val="0"/>
          <w:color w:val="auto"/>
          <w:kern w:val="2"/>
          <w:sz w:val="21"/>
          <w:szCs w:val="21"/>
          <w:lang w:val="en-US" w:eastAsia="zh-CN" w:bidi="ar"/>
        </w:rPr>
        <w:t>方</w:t>
      </w:r>
      <w:r>
        <w:rPr>
          <w:rFonts w:hint="default" w:ascii="Calibri" w:hAnsi="Calibri" w:eastAsia="宋体" w:cs="Times New Roman"/>
          <w:b/>
          <w:bCs w:val="0"/>
          <w:color w:val="auto"/>
          <w:kern w:val="2"/>
          <w:sz w:val="21"/>
          <w:szCs w:val="21"/>
          <w:lang w:val="en-US" w:eastAsia="zh-CN" w:bidi="ar"/>
        </w:rPr>
        <w:t xml:space="preserve">                        </w:t>
      </w:r>
      <w:r>
        <w:rPr>
          <w:rFonts w:hint="eastAsia" w:ascii="Calibri" w:hAnsi="Calibri" w:eastAsia="宋体" w:cs="Times New Roman"/>
          <w:b/>
          <w:bCs w:val="0"/>
          <w:color w:val="auto"/>
          <w:kern w:val="2"/>
          <w:sz w:val="21"/>
          <w:szCs w:val="21"/>
          <w:lang w:val="en-US" w:eastAsia="zh-CN" w:bidi="ar"/>
        </w:rPr>
        <w:t xml:space="preserve">              </w:t>
      </w:r>
      <w:r>
        <w:rPr>
          <w:rFonts w:hint="eastAsia" w:ascii="宋体" w:hAnsi="宋体" w:eastAsia="宋体" w:cs="宋体"/>
          <w:b/>
          <w:bCs w:val="0"/>
          <w:color w:val="auto"/>
          <w:kern w:val="2"/>
          <w:sz w:val="21"/>
          <w:szCs w:val="21"/>
          <w:lang w:val="en-US" w:eastAsia="zh-CN" w:bidi="ar"/>
        </w:rPr>
        <w:t>乙</w:t>
      </w:r>
      <w:r>
        <w:rPr>
          <w:rFonts w:hint="default" w:ascii="Calibri" w:hAnsi="Calibri" w:eastAsia="宋体" w:cs="Times New Roman"/>
          <w:b/>
          <w:bCs w:val="0"/>
          <w:color w:val="auto"/>
          <w:kern w:val="2"/>
          <w:sz w:val="21"/>
          <w:szCs w:val="21"/>
          <w:lang w:val="en-US" w:eastAsia="zh-CN" w:bidi="ar"/>
        </w:rPr>
        <w:t xml:space="preserve">    </w:t>
      </w:r>
      <w:r>
        <w:rPr>
          <w:rFonts w:hint="eastAsia" w:ascii="宋体" w:hAnsi="宋体" w:eastAsia="宋体" w:cs="宋体"/>
          <w:b/>
          <w:bCs w:val="0"/>
          <w:color w:val="auto"/>
          <w:kern w:val="2"/>
          <w:sz w:val="21"/>
          <w:szCs w:val="21"/>
          <w:lang w:val="en-US" w:eastAsia="zh-CN" w:bidi="ar"/>
        </w:rPr>
        <w:t>方（全填）</w:t>
      </w:r>
    </w:p>
    <w:p w14:paraId="1245DCED">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b/>
          <w:bCs w:val="0"/>
          <w:color w:val="auto"/>
          <w:kern w:val="2"/>
          <w:sz w:val="21"/>
          <w:szCs w:val="21"/>
        </w:rPr>
      </w:pPr>
      <w:r>
        <w:rPr>
          <w:rFonts w:hint="eastAsia" w:ascii="宋体" w:hAnsi="宋体" w:eastAsia="宋体" w:cs="宋体"/>
          <w:color w:val="auto"/>
          <w:kern w:val="2"/>
          <w:sz w:val="21"/>
          <w:szCs w:val="21"/>
          <w:lang w:val="en-US" w:eastAsia="zh-CN" w:bidi="ar"/>
        </w:rPr>
        <w:t>单位名称（盖章）：</w:t>
      </w:r>
      <w:r>
        <w:rPr>
          <w:rFonts w:hint="default" w:ascii="Calibri" w:hAnsi="Calibri" w:eastAsia="宋体" w:cs="Times New Roman"/>
          <w:color w:val="auto"/>
          <w:kern w:val="2"/>
          <w:sz w:val="21"/>
          <w:szCs w:val="21"/>
          <w:lang w:val="en-US" w:eastAsia="zh-CN" w:bidi="ar"/>
        </w:rPr>
        <w:t xml:space="preserve">              </w:t>
      </w:r>
      <w:r>
        <w:rPr>
          <w:rFonts w:hint="eastAsia"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单位名称（盖章）：</w:t>
      </w:r>
    </w:p>
    <w:p w14:paraId="21A70181">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地</w:t>
      </w:r>
      <w:r>
        <w:rPr>
          <w:rFonts w:hint="default"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址：</w:t>
      </w:r>
      <w:r>
        <w:rPr>
          <w:rFonts w:hint="default" w:ascii="Calibri" w:hAnsi="Calibri" w:eastAsia="宋体" w:cs="Times New Roman"/>
          <w:color w:val="auto"/>
          <w:kern w:val="2"/>
          <w:sz w:val="21"/>
          <w:szCs w:val="21"/>
          <w:lang w:val="en-US" w:eastAsia="zh-CN" w:bidi="ar"/>
        </w:rPr>
        <w:t xml:space="preserve">                     </w:t>
      </w:r>
      <w:r>
        <w:rPr>
          <w:rFonts w:hint="eastAsia"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地</w:t>
      </w:r>
      <w:r>
        <w:rPr>
          <w:rFonts w:hint="default"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址：</w:t>
      </w:r>
    </w:p>
    <w:p w14:paraId="3B5C5DB8">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法定代表人：</w:t>
      </w:r>
      <w:r>
        <w:rPr>
          <w:rFonts w:hint="eastAsia"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法定代表人：（盖章</w:t>
      </w:r>
      <w:r>
        <w:rPr>
          <w:rFonts w:hint="default" w:ascii="Calibri" w:hAnsi="Calibri" w:eastAsia="宋体" w:cs="Calibri"/>
          <w:color w:val="auto"/>
          <w:kern w:val="2"/>
          <w:sz w:val="21"/>
          <w:szCs w:val="21"/>
          <w:lang w:val="en-US" w:eastAsia="zh-CN" w:bidi="ar"/>
        </w:rPr>
        <w:t>/</w:t>
      </w:r>
      <w:r>
        <w:rPr>
          <w:rFonts w:hint="eastAsia" w:ascii="宋体" w:hAnsi="宋体" w:eastAsia="宋体" w:cs="宋体"/>
          <w:color w:val="auto"/>
          <w:kern w:val="2"/>
          <w:sz w:val="21"/>
          <w:szCs w:val="21"/>
          <w:lang w:val="en-US" w:eastAsia="zh-CN" w:bidi="ar"/>
        </w:rPr>
        <w:t>签字）</w:t>
      </w:r>
    </w:p>
    <w:p w14:paraId="094C28DF">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委托代理人：（签字）</w:t>
      </w:r>
      <w:r>
        <w:rPr>
          <w:rFonts w:hint="eastAsia"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委托代理人：（签字）</w:t>
      </w:r>
    </w:p>
    <w:p w14:paraId="63285FC2">
      <w:pPr>
        <w:keepNext w:val="0"/>
        <w:keepLines w:val="0"/>
        <w:widowControl w:val="0"/>
        <w:suppressLineNumbers w:val="0"/>
        <w:spacing w:before="0" w:beforeAutospacing="0" w:after="0" w:afterAutospacing="0" w:line="360" w:lineRule="auto"/>
        <w:ind w:left="0" w:right="0" w:firstLine="54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电话：                                         电话：</w:t>
      </w:r>
    </w:p>
    <w:p w14:paraId="7A721350">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传真：</w:t>
      </w:r>
      <w:r>
        <w:rPr>
          <w:rFonts w:hint="default" w:ascii="Calibri" w:hAnsi="Calibri" w:eastAsia="宋体" w:cs="Times New Roman"/>
          <w:color w:val="auto"/>
          <w:kern w:val="2"/>
          <w:sz w:val="21"/>
          <w:szCs w:val="21"/>
          <w:lang w:val="en-US" w:eastAsia="zh-CN" w:bidi="ar"/>
        </w:rPr>
        <w:t xml:space="preserve">                     </w:t>
      </w:r>
      <w:r>
        <w:rPr>
          <w:rFonts w:hint="eastAsia"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 xml:space="preserve">     传真：</w:t>
      </w:r>
    </w:p>
    <w:p w14:paraId="2956BEE2">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邮编：                                         邮编：</w:t>
      </w:r>
    </w:p>
    <w:p w14:paraId="3549EB2F">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 xml:space="preserve">                                               开户银行及账号：</w:t>
      </w:r>
    </w:p>
    <w:p w14:paraId="59524215">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color w:val="auto"/>
          <w:kern w:val="2"/>
          <w:sz w:val="21"/>
          <w:szCs w:val="21"/>
        </w:rPr>
      </w:pPr>
      <w:r>
        <w:rPr>
          <w:rFonts w:hint="eastAsia" w:ascii="Calibri" w:hAnsi="Calibri" w:eastAsia="宋体" w:cs="Times New Roman"/>
          <w:color w:val="auto"/>
          <w:kern w:val="2"/>
          <w:sz w:val="21"/>
          <w:szCs w:val="21"/>
          <w:lang w:val="en-US" w:eastAsia="zh-CN" w:bidi="ar"/>
        </w:rPr>
        <w:t xml:space="preserve"> </w:t>
      </w:r>
    </w:p>
    <w:p w14:paraId="574690CC">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b/>
          <w:bCs/>
          <w:color w:val="auto"/>
          <w:kern w:val="2"/>
          <w:sz w:val="21"/>
          <w:szCs w:val="21"/>
        </w:rPr>
      </w:pPr>
      <w:r>
        <w:rPr>
          <w:rFonts w:hint="eastAsia" w:ascii="宋体" w:hAnsi="宋体" w:eastAsia="宋体" w:cs="宋体"/>
          <w:b/>
          <w:bCs/>
          <w:color w:val="auto"/>
          <w:kern w:val="2"/>
          <w:sz w:val="21"/>
          <w:szCs w:val="21"/>
          <w:lang w:val="en-US" w:eastAsia="zh-CN" w:bidi="ar"/>
        </w:rPr>
        <w:t>招标代理机构名称：</w:t>
      </w:r>
    </w:p>
    <w:p w14:paraId="56861E2B">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联系人</w:t>
      </w:r>
      <w:r>
        <w:rPr>
          <w:rFonts w:hint="default" w:ascii="Calibri" w:hAnsi="Calibri" w:eastAsia="宋体" w:cs="Calibri"/>
          <w:color w:val="auto"/>
          <w:kern w:val="2"/>
          <w:sz w:val="21"/>
          <w:szCs w:val="21"/>
          <w:lang w:val="en-US" w:eastAsia="zh-CN" w:bidi="ar"/>
        </w:rPr>
        <w:t>:</w:t>
      </w:r>
    </w:p>
    <w:p w14:paraId="7DA535B4">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联系电话：</w:t>
      </w:r>
    </w:p>
    <w:p w14:paraId="1930A858">
      <w:pPr>
        <w:rPr>
          <w:rFonts w:ascii="宋体" w:hAnsi="宋体" w:eastAsia="宋体" w:cs="宋体"/>
          <w:color w:val="auto"/>
        </w:rPr>
      </w:pPr>
      <w:r>
        <w:rPr>
          <w:rFonts w:ascii="宋体" w:hAnsi="宋体" w:eastAsia="宋体" w:cs="宋体"/>
          <w:color w:val="auto"/>
        </w:rPr>
        <w:br w:type="page"/>
      </w:r>
    </w:p>
    <w:p w14:paraId="22C9198C">
      <w:pPr>
        <w:keepNext w:val="0"/>
        <w:keepLines w:val="0"/>
        <w:widowControl w:val="0"/>
        <w:suppressLineNumbers w:val="0"/>
        <w:spacing w:before="0" w:beforeAutospacing="0" w:after="0" w:afterAutospacing="0" w:line="360" w:lineRule="auto"/>
        <w:ind w:left="0" w:right="0"/>
        <w:jc w:val="center"/>
        <w:rPr>
          <w:rFonts w:hint="eastAsia" w:ascii="黑体" w:hAnsi="Calibri" w:eastAsia="黑体" w:cs="Times New Roman"/>
          <w:color w:val="auto"/>
          <w:kern w:val="2"/>
          <w:sz w:val="32"/>
          <w:szCs w:val="32"/>
        </w:rPr>
      </w:pPr>
      <w:r>
        <w:rPr>
          <w:rFonts w:hint="eastAsia" w:ascii="黑体" w:hAnsi="宋体" w:eastAsia="黑体" w:cs="黑体"/>
          <w:color w:val="auto"/>
          <w:kern w:val="2"/>
          <w:sz w:val="32"/>
          <w:szCs w:val="32"/>
          <w:lang w:val="en-US" w:eastAsia="zh-CN" w:bidi="ar"/>
        </w:rPr>
        <w:t>西北大学购货合同</w:t>
      </w:r>
    </w:p>
    <w:p w14:paraId="55C45A8A">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w:t>
      </w:r>
      <w:r>
        <w:rPr>
          <w:rFonts w:hint="eastAsia" w:ascii="宋体" w:hAnsi="宋体" w:eastAsia="宋体" w:cs="宋体"/>
          <w:color w:val="auto"/>
          <w:kern w:val="2"/>
          <w:sz w:val="21"/>
          <w:szCs w:val="21"/>
          <w:lang w:val="en-US" w:eastAsia="zh-CN" w:bidi="ar"/>
        </w:rPr>
        <w:t>国产合同模板</w:t>
      </w:r>
      <w:r>
        <w:rPr>
          <w:rFonts w:hint="default" w:ascii="Calibri" w:hAnsi="Calibri" w:eastAsia="宋体" w:cs="Calibri"/>
          <w:color w:val="auto"/>
          <w:kern w:val="2"/>
          <w:sz w:val="21"/>
          <w:szCs w:val="21"/>
          <w:lang w:val="en-US" w:eastAsia="zh-CN" w:bidi="ar"/>
        </w:rPr>
        <w:t>)</w:t>
      </w:r>
    </w:p>
    <w:p w14:paraId="1612B68B">
      <w:pPr>
        <w:keepNext w:val="0"/>
        <w:keepLines w:val="0"/>
        <w:widowControl w:val="0"/>
        <w:suppressLineNumbers w:val="0"/>
        <w:spacing w:before="0" w:beforeAutospacing="0" w:after="0" w:afterAutospacing="0" w:line="360" w:lineRule="auto"/>
        <w:ind w:left="0" w:right="0" w:firstLine="420" w:firstLineChars="200"/>
        <w:jc w:val="left"/>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特别说明：以下内容只作为合同基本条款，在签订具体项目购货合同时，请根据项目实际情况再签订技术协议作为合同的附件。</w:t>
      </w:r>
    </w:p>
    <w:p w14:paraId="4BD308B0">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Calibri" w:eastAsia="宋体" w:cs="Times New Roman"/>
          <w:color w:val="auto"/>
          <w:kern w:val="2"/>
          <w:sz w:val="21"/>
          <w:szCs w:val="21"/>
        </w:rPr>
      </w:pPr>
      <w:r>
        <w:rPr>
          <w:rFonts w:hint="eastAsia" w:ascii="宋体" w:hAnsi="Calibri" w:eastAsia="宋体" w:cs="Times New Roman"/>
          <w:color w:val="auto"/>
          <w:kern w:val="2"/>
          <w:sz w:val="21"/>
          <w:szCs w:val="21"/>
          <w:lang w:val="en-US" w:eastAsia="zh-CN" w:bidi="ar"/>
        </w:rPr>
        <w:t xml:space="preserve"> </w:t>
      </w:r>
    </w:p>
    <w:p w14:paraId="34A2E0C8">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根据《中华人民共和国政府采购法》、《中华人民共和国民法典》及有关法律规定，遵循平等、自愿、公平和诚实信用的原则，西北大学（甲方）与××××公司（乙方）就西北大学××××学院（系）购置的××××等货物（招标编号：</w:t>
      </w:r>
      <w:r>
        <w:rPr>
          <w:rFonts w:hint="eastAsia" w:ascii="宋体" w:hAnsi="宋体" w:eastAsia="宋体" w:cs="宋体"/>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）经双方协商达成如下合同条款：</w:t>
      </w:r>
    </w:p>
    <w:p w14:paraId="0C55DDF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一、合同内容</w:t>
      </w:r>
    </w:p>
    <w:p w14:paraId="390C791C">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16DAF17E">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、购置清单</w:t>
      </w:r>
    </w:p>
    <w:tbl>
      <w:tblPr>
        <w:tblStyle w:val="11"/>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tblLayout w:type="fixed"/>
        <w:tblCellMar>
          <w:top w:w="0" w:type="dxa"/>
          <w:left w:w="108" w:type="dxa"/>
          <w:bottom w:w="0" w:type="dxa"/>
          <w:right w:w="108" w:type="dxa"/>
        </w:tblCellMar>
      </w:tblPr>
      <w:tblGrid>
        <w:gridCol w:w="1695"/>
        <w:gridCol w:w="1545"/>
        <w:gridCol w:w="1440"/>
        <w:gridCol w:w="810"/>
        <w:gridCol w:w="700"/>
        <w:gridCol w:w="1100"/>
        <w:gridCol w:w="1100"/>
      </w:tblGrid>
      <w:tr w14:paraId="290BD55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vAlign w:val="center"/>
          </w:tcPr>
          <w:p w14:paraId="69A6307B">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货物名称</w:t>
            </w:r>
          </w:p>
        </w:tc>
        <w:tc>
          <w:tcPr>
            <w:tcW w:w="1545" w:type="dxa"/>
            <w:tcBorders>
              <w:top w:val="single" w:color="auto" w:sz="4" w:space="0"/>
              <w:left w:val="nil"/>
              <w:bottom w:val="single" w:color="auto" w:sz="4" w:space="0"/>
              <w:right w:val="single" w:color="auto" w:sz="4" w:space="0"/>
            </w:tcBorders>
            <w:shd w:val="clear"/>
            <w:vAlign w:val="center"/>
          </w:tcPr>
          <w:p w14:paraId="4298CECF">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型号与规格</w:t>
            </w:r>
          </w:p>
        </w:tc>
        <w:tc>
          <w:tcPr>
            <w:tcW w:w="1440" w:type="dxa"/>
            <w:tcBorders>
              <w:top w:val="single" w:color="auto" w:sz="4" w:space="0"/>
              <w:left w:val="nil"/>
              <w:bottom w:val="single" w:color="auto" w:sz="4" w:space="0"/>
              <w:right w:val="single" w:color="auto" w:sz="4" w:space="0"/>
            </w:tcBorders>
            <w:shd w:val="clear"/>
            <w:vAlign w:val="center"/>
          </w:tcPr>
          <w:p w14:paraId="683D3A1F">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生产商、产地</w:t>
            </w:r>
          </w:p>
        </w:tc>
        <w:tc>
          <w:tcPr>
            <w:tcW w:w="810" w:type="dxa"/>
            <w:tcBorders>
              <w:top w:val="single" w:color="auto" w:sz="4" w:space="0"/>
              <w:left w:val="nil"/>
              <w:bottom w:val="single" w:color="auto" w:sz="4" w:space="0"/>
              <w:right w:val="single" w:color="auto" w:sz="4" w:space="0"/>
            </w:tcBorders>
            <w:shd w:val="clear"/>
            <w:vAlign w:val="center"/>
          </w:tcPr>
          <w:p w14:paraId="1F2399AE">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数量</w:t>
            </w:r>
          </w:p>
        </w:tc>
        <w:tc>
          <w:tcPr>
            <w:tcW w:w="700" w:type="dxa"/>
            <w:tcBorders>
              <w:top w:val="single" w:color="auto" w:sz="4" w:space="0"/>
              <w:left w:val="nil"/>
              <w:bottom w:val="single" w:color="auto" w:sz="4" w:space="0"/>
              <w:right w:val="single" w:color="auto" w:sz="4" w:space="0"/>
            </w:tcBorders>
            <w:shd w:val="clear"/>
            <w:vAlign w:val="center"/>
          </w:tcPr>
          <w:p w14:paraId="46074DF8">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单位</w:t>
            </w:r>
          </w:p>
        </w:tc>
        <w:tc>
          <w:tcPr>
            <w:tcW w:w="1100" w:type="dxa"/>
            <w:tcBorders>
              <w:top w:val="single" w:color="auto" w:sz="4" w:space="0"/>
              <w:left w:val="nil"/>
              <w:bottom w:val="single" w:color="auto" w:sz="4" w:space="0"/>
              <w:right w:val="single" w:color="auto" w:sz="4" w:space="0"/>
            </w:tcBorders>
            <w:shd w:val="clear"/>
            <w:vAlign w:val="center"/>
          </w:tcPr>
          <w:p w14:paraId="02486BCA">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单价（元）</w:t>
            </w:r>
          </w:p>
        </w:tc>
        <w:tc>
          <w:tcPr>
            <w:tcW w:w="1100" w:type="dxa"/>
            <w:tcBorders>
              <w:top w:val="single" w:color="auto" w:sz="4" w:space="0"/>
              <w:left w:val="nil"/>
              <w:bottom w:val="single" w:color="auto" w:sz="4" w:space="0"/>
              <w:right w:val="single" w:color="auto" w:sz="4" w:space="0"/>
            </w:tcBorders>
            <w:shd w:val="clear"/>
            <w:vAlign w:val="center"/>
          </w:tcPr>
          <w:p w14:paraId="35B460AD">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总价（元）</w:t>
            </w:r>
          </w:p>
        </w:tc>
      </w:tr>
      <w:tr w14:paraId="256FEDA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vAlign w:val="top"/>
          </w:tcPr>
          <w:p w14:paraId="312FA37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545" w:type="dxa"/>
            <w:tcBorders>
              <w:top w:val="single" w:color="auto" w:sz="4" w:space="0"/>
              <w:left w:val="nil"/>
              <w:bottom w:val="single" w:color="auto" w:sz="4" w:space="0"/>
              <w:right w:val="single" w:color="auto" w:sz="4" w:space="0"/>
            </w:tcBorders>
            <w:shd w:val="clear"/>
            <w:vAlign w:val="top"/>
          </w:tcPr>
          <w:p w14:paraId="10D4167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440" w:type="dxa"/>
            <w:tcBorders>
              <w:top w:val="single" w:color="auto" w:sz="4" w:space="0"/>
              <w:left w:val="nil"/>
              <w:bottom w:val="single" w:color="auto" w:sz="4" w:space="0"/>
              <w:right w:val="single" w:color="auto" w:sz="4" w:space="0"/>
            </w:tcBorders>
            <w:shd w:val="clear"/>
            <w:vAlign w:val="top"/>
          </w:tcPr>
          <w:p w14:paraId="011F499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810" w:type="dxa"/>
            <w:tcBorders>
              <w:top w:val="single" w:color="auto" w:sz="4" w:space="0"/>
              <w:left w:val="nil"/>
              <w:bottom w:val="single" w:color="auto" w:sz="4" w:space="0"/>
              <w:right w:val="single" w:color="auto" w:sz="4" w:space="0"/>
            </w:tcBorders>
            <w:shd w:val="clear"/>
            <w:vAlign w:val="top"/>
          </w:tcPr>
          <w:p w14:paraId="52CC65D5">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700" w:type="dxa"/>
            <w:tcBorders>
              <w:top w:val="single" w:color="auto" w:sz="4" w:space="0"/>
              <w:left w:val="nil"/>
              <w:bottom w:val="single" w:color="auto" w:sz="4" w:space="0"/>
              <w:right w:val="single" w:color="auto" w:sz="4" w:space="0"/>
            </w:tcBorders>
            <w:shd w:val="clear"/>
            <w:vAlign w:val="top"/>
          </w:tcPr>
          <w:p w14:paraId="77B395EB">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100" w:type="dxa"/>
            <w:tcBorders>
              <w:top w:val="single" w:color="auto" w:sz="4" w:space="0"/>
              <w:left w:val="nil"/>
              <w:bottom w:val="single" w:color="auto" w:sz="4" w:space="0"/>
              <w:right w:val="single" w:color="auto" w:sz="4" w:space="0"/>
            </w:tcBorders>
            <w:shd w:val="clear"/>
            <w:vAlign w:val="top"/>
          </w:tcPr>
          <w:p w14:paraId="28093F2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100" w:type="dxa"/>
            <w:tcBorders>
              <w:top w:val="single" w:color="auto" w:sz="4" w:space="0"/>
              <w:left w:val="nil"/>
              <w:bottom w:val="single" w:color="auto" w:sz="4" w:space="0"/>
              <w:right w:val="single" w:color="auto" w:sz="4" w:space="0"/>
            </w:tcBorders>
            <w:shd w:val="clear"/>
            <w:vAlign w:val="top"/>
          </w:tcPr>
          <w:p w14:paraId="5009CEC4">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r>
      <w:tr w14:paraId="6A790FC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vAlign w:val="center"/>
          </w:tcPr>
          <w:p w14:paraId="2BE2710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545" w:type="dxa"/>
            <w:tcBorders>
              <w:top w:val="single" w:color="auto" w:sz="4" w:space="0"/>
              <w:left w:val="nil"/>
              <w:bottom w:val="single" w:color="auto" w:sz="4" w:space="0"/>
              <w:right w:val="single" w:color="auto" w:sz="4" w:space="0"/>
            </w:tcBorders>
            <w:shd w:val="clear"/>
            <w:vAlign w:val="center"/>
          </w:tcPr>
          <w:p w14:paraId="3CD47DF8">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440" w:type="dxa"/>
            <w:tcBorders>
              <w:top w:val="single" w:color="auto" w:sz="4" w:space="0"/>
              <w:left w:val="nil"/>
              <w:bottom w:val="single" w:color="auto" w:sz="4" w:space="0"/>
              <w:right w:val="single" w:color="auto" w:sz="4" w:space="0"/>
            </w:tcBorders>
            <w:shd w:val="clear"/>
            <w:vAlign w:val="center"/>
          </w:tcPr>
          <w:p w14:paraId="682808D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810" w:type="dxa"/>
            <w:tcBorders>
              <w:top w:val="single" w:color="auto" w:sz="4" w:space="0"/>
              <w:left w:val="nil"/>
              <w:bottom w:val="single" w:color="auto" w:sz="4" w:space="0"/>
              <w:right w:val="single" w:color="auto" w:sz="4" w:space="0"/>
            </w:tcBorders>
            <w:shd w:val="clear"/>
            <w:vAlign w:val="center"/>
          </w:tcPr>
          <w:p w14:paraId="7F57222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700" w:type="dxa"/>
            <w:tcBorders>
              <w:top w:val="single" w:color="auto" w:sz="4" w:space="0"/>
              <w:left w:val="nil"/>
              <w:bottom w:val="single" w:color="auto" w:sz="4" w:space="0"/>
              <w:right w:val="single" w:color="auto" w:sz="4" w:space="0"/>
            </w:tcBorders>
            <w:shd w:val="clear"/>
            <w:vAlign w:val="center"/>
          </w:tcPr>
          <w:p w14:paraId="0775858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100" w:type="dxa"/>
            <w:tcBorders>
              <w:top w:val="single" w:color="auto" w:sz="4" w:space="0"/>
              <w:left w:val="nil"/>
              <w:bottom w:val="single" w:color="auto" w:sz="4" w:space="0"/>
              <w:right w:val="single" w:color="auto" w:sz="4" w:space="0"/>
            </w:tcBorders>
            <w:shd w:val="clear"/>
            <w:vAlign w:val="center"/>
          </w:tcPr>
          <w:p w14:paraId="2426E91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c>
          <w:tcPr>
            <w:tcW w:w="1100" w:type="dxa"/>
            <w:tcBorders>
              <w:top w:val="single" w:color="auto" w:sz="4" w:space="0"/>
              <w:left w:val="nil"/>
              <w:bottom w:val="single" w:color="auto" w:sz="4" w:space="0"/>
              <w:right w:val="single" w:color="auto" w:sz="4" w:space="0"/>
            </w:tcBorders>
            <w:shd w:val="clear"/>
            <w:vAlign w:val="center"/>
          </w:tcPr>
          <w:p w14:paraId="2007BDA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p>
        </w:tc>
      </w:tr>
      <w:tr w14:paraId="4929FBA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shd w:val="clear"/>
            <w:vAlign w:val="center"/>
          </w:tcPr>
          <w:p w14:paraId="6EFDBF4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合计金额（大写）：</w:t>
            </w:r>
          </w:p>
        </w:tc>
        <w:tc>
          <w:tcPr>
            <w:tcW w:w="1100" w:type="dxa"/>
            <w:tcBorders>
              <w:top w:val="single" w:color="auto" w:sz="4" w:space="0"/>
              <w:left w:val="nil"/>
              <w:bottom w:val="single" w:color="auto" w:sz="4" w:space="0"/>
              <w:right w:val="single" w:color="auto" w:sz="4" w:space="0"/>
            </w:tcBorders>
            <w:shd w:val="clear"/>
            <w:vAlign w:val="center"/>
          </w:tcPr>
          <w:p w14:paraId="36C862E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合计（元）</w:t>
            </w:r>
          </w:p>
        </w:tc>
        <w:tc>
          <w:tcPr>
            <w:tcW w:w="1100" w:type="dxa"/>
            <w:tcBorders>
              <w:top w:val="single" w:color="auto" w:sz="4" w:space="0"/>
              <w:left w:val="nil"/>
              <w:bottom w:val="single" w:color="auto" w:sz="4" w:space="0"/>
              <w:right w:val="single" w:color="auto" w:sz="4" w:space="0"/>
            </w:tcBorders>
            <w:shd w:val="clear"/>
            <w:vAlign w:val="center"/>
          </w:tcPr>
          <w:p w14:paraId="5D8BA5CC">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color w:val="auto"/>
                <w:kern w:val="2"/>
                <w:sz w:val="21"/>
                <w:szCs w:val="21"/>
                <w:bdr w:val="none" w:color="auto" w:sz="0" w:space="0"/>
              </w:rPr>
            </w:pPr>
            <w:r>
              <w:rPr>
                <w:rFonts w:hint="eastAsia" w:ascii="宋体" w:hAnsi="宋体" w:eastAsia="宋体" w:cs="宋体"/>
                <w:color w:val="auto"/>
                <w:kern w:val="2"/>
                <w:sz w:val="21"/>
                <w:szCs w:val="21"/>
                <w:bdr w:val="none" w:color="auto" w:sz="0" w:space="0"/>
                <w:lang w:val="en-US" w:eastAsia="zh-CN" w:bidi="ar"/>
              </w:rPr>
              <w:t>小写</w:t>
            </w:r>
          </w:p>
        </w:tc>
      </w:tr>
    </w:tbl>
    <w:p w14:paraId="69CA4918">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、合同总额：</w:t>
      </w:r>
      <w:r>
        <w:rPr>
          <w:rFonts w:hint="eastAsia" w:ascii="宋体" w:hAnsi="宋体" w:eastAsia="宋体" w:cs="宋体"/>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元，是指货物到达西北大学指定地点、完成验收后的价格，其中已包含货物价格、包装运杂费（含保险）、工程费、安装调试费及相关费用等。</w:t>
      </w:r>
    </w:p>
    <w:p w14:paraId="7DA355AF">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3</w:t>
      </w:r>
      <w:r>
        <w:rPr>
          <w:rFonts w:hint="eastAsia" w:ascii="宋体" w:hAnsi="宋体" w:eastAsia="宋体" w:cs="宋体"/>
          <w:color w:val="auto"/>
          <w:kern w:val="2"/>
          <w:sz w:val="21"/>
          <w:szCs w:val="21"/>
          <w:lang w:val="en-US" w:eastAsia="zh-CN" w:bidi="ar"/>
        </w:rPr>
        <w:t>、合同总额为一次性包死价格，不受市场价格的变化和影响，在合同不发生变更时作为付款结算的依据。</w:t>
      </w:r>
    </w:p>
    <w:p w14:paraId="7C13EB3C">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color w:val="auto"/>
          <w:kern w:val="2"/>
          <w:sz w:val="24"/>
          <w:szCs w:val="24"/>
          <w:lang w:val="en-US" w:eastAsia="zh-CN" w:bidi="ar"/>
        </w:rPr>
        <w:t>二、</w:t>
      </w:r>
      <w:r>
        <w:rPr>
          <w:rFonts w:hint="eastAsia" w:ascii="宋体" w:hAnsi="宋体" w:eastAsia="宋体" w:cs="宋体"/>
          <w:b/>
          <w:bCs w:val="0"/>
          <w:color w:val="auto"/>
          <w:kern w:val="2"/>
          <w:sz w:val="24"/>
          <w:szCs w:val="24"/>
          <w:lang w:val="en-US" w:eastAsia="zh-CN" w:bidi="ar"/>
        </w:rPr>
        <w:t>包装运输要求</w:t>
      </w:r>
    </w:p>
    <w:p w14:paraId="06186F8A">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货物的运输方式由乙方自行选择，但包装必须符合国家标准或行业标准，满足航空、铁路或公路运输以及货物装卸要求，保证使用人收到的是无任何损伤的货物。否则，因此造成的损失由乙方自行承担。</w:t>
      </w:r>
    </w:p>
    <w:p w14:paraId="191494FD">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三、交货时间及交货地点</w:t>
      </w:r>
    </w:p>
    <w:p w14:paraId="43671FAB">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交货时间为本合同生效后</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u w:val="single"/>
          <w:lang w:val="en-US" w:eastAsia="zh-CN" w:bidi="ar"/>
        </w:rPr>
        <w:t xml:space="preserve"> </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天内到货，货到后</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日内安装调试交付使用。交货地点为西北大学××××学院（系）指定地点。</w:t>
      </w:r>
    </w:p>
    <w:p w14:paraId="700D24D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四、产品质量保证</w:t>
      </w:r>
    </w:p>
    <w:p w14:paraId="470B7DA7">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、乙方提供的货物及配套产品，必须是合同规定厂家制造的、合格、全新、未曾使用的、且经过国家质检部门检验，并颁发了产品准销证的产品。</w:t>
      </w:r>
    </w:p>
    <w:p w14:paraId="21071D5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 xml:space="preserve">    2</w:t>
      </w:r>
      <w:r>
        <w:rPr>
          <w:rFonts w:hint="eastAsia" w:ascii="宋体" w:hAnsi="宋体" w:eastAsia="宋体" w:cs="宋体"/>
          <w:color w:val="auto"/>
          <w:kern w:val="2"/>
          <w:sz w:val="21"/>
          <w:szCs w:val="21"/>
          <w:lang w:val="en-US" w:eastAsia="zh-CN" w:bidi="ar"/>
        </w:rPr>
        <w:t>、乙方提供的货物及配套产品必须等同于或优于合同技术指标要求，并能按国家标准或行业标准供应、检测、调试，确保产品技术指标满足使用要求。</w:t>
      </w:r>
    </w:p>
    <w:p w14:paraId="22F42F6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 xml:space="preserve">    3</w:t>
      </w:r>
      <w:r>
        <w:rPr>
          <w:rFonts w:hint="eastAsia" w:ascii="宋体" w:hAnsi="宋体" w:eastAsia="宋体" w:cs="宋体"/>
          <w:color w:val="auto"/>
          <w:kern w:val="2"/>
          <w:sz w:val="21"/>
          <w:szCs w:val="21"/>
          <w:lang w:val="en-US" w:eastAsia="zh-CN" w:bidi="ar"/>
        </w:rPr>
        <w:t>、产品质量保证期为货物验收合格后</w:t>
      </w:r>
      <w:r>
        <w:rPr>
          <w:rFonts w:hint="eastAsia" w:ascii="宋体" w:hAnsi="宋体" w:eastAsia="宋体" w:cs="宋体"/>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年。质保期内，乙方对所供货物免费进行质保和服务。</w:t>
      </w:r>
    </w:p>
    <w:p w14:paraId="03F8E878">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五、技术服务承诺</w:t>
      </w:r>
    </w:p>
    <w:p w14:paraId="43047A4E">
      <w:pPr>
        <w:pStyle w:val="10"/>
        <w:keepNext w:val="0"/>
        <w:keepLines w:val="0"/>
        <w:widowControl w:val="0"/>
        <w:suppressLineNumbers w:val="0"/>
        <w:spacing w:before="0" w:beforeAutospacing="1" w:after="0" w:afterAutospacing="1"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、乙方负责提供货物相应的技术资料，包括产品合格证、产品保修单、安装使用及维护说明书以及运输装箱清单等。</w:t>
      </w:r>
    </w:p>
    <w:p w14:paraId="52646CD7">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、人员培训：乙方免费为甲方培训货物使用人员，培训内容包括：货物操作、维护、简单维修等。</w:t>
      </w:r>
    </w:p>
    <w:p w14:paraId="5FD918FD">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3</w:t>
      </w:r>
      <w:r>
        <w:rPr>
          <w:rFonts w:hint="eastAsia" w:ascii="宋体" w:hAnsi="宋体" w:eastAsia="宋体" w:cs="宋体"/>
          <w:color w:val="auto"/>
          <w:kern w:val="2"/>
          <w:sz w:val="21"/>
          <w:szCs w:val="21"/>
          <w:lang w:val="en-US" w:eastAsia="zh-CN" w:bidi="ar"/>
        </w:rPr>
        <w:t>、售后服务：质保期内乙方对甲方提出的服务响应不得超出</w:t>
      </w:r>
      <w:r>
        <w:rPr>
          <w:rFonts w:hint="default" w:ascii="Calibri" w:hAnsi="Calibri" w:eastAsia="宋体" w:cs="Times New Roman"/>
          <w:color w:val="auto"/>
          <w:kern w:val="2"/>
          <w:sz w:val="21"/>
          <w:szCs w:val="21"/>
          <w:lang w:val="en-US" w:eastAsia="zh-CN" w:bidi="ar"/>
        </w:rPr>
        <w:t>24</w:t>
      </w:r>
      <w:r>
        <w:rPr>
          <w:rFonts w:hint="eastAsia" w:ascii="宋体" w:hAnsi="宋体" w:eastAsia="宋体" w:cs="宋体"/>
          <w:color w:val="auto"/>
          <w:kern w:val="2"/>
          <w:sz w:val="21"/>
          <w:szCs w:val="21"/>
          <w:lang w:val="en-US" w:eastAsia="zh-CN" w:bidi="ar"/>
        </w:rPr>
        <w:t>小时。</w:t>
      </w:r>
    </w:p>
    <w:p w14:paraId="23EEA55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六、验收方法及标准</w:t>
      </w:r>
    </w:p>
    <w:p w14:paraId="56C0E047">
      <w:pPr>
        <w:keepNext w:val="0"/>
        <w:keepLines w:val="0"/>
        <w:widowControl w:val="0"/>
        <w:suppressLineNumbers w:val="0"/>
        <w:spacing w:before="0" w:beforeAutospacing="0" w:after="0" w:afterAutospacing="0" w:line="360" w:lineRule="auto"/>
        <w:ind w:left="0" w:right="0" w:firstLine="411" w:firstLineChars="196"/>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、验收分初次开箱验收和学校最终验收两个阶段，以最终验收为准。</w:t>
      </w:r>
    </w:p>
    <w:p w14:paraId="1B7B2ABB">
      <w:pPr>
        <w:keepNext w:val="0"/>
        <w:keepLines w:val="0"/>
        <w:widowControl w:val="0"/>
        <w:suppressLineNumbers w:val="0"/>
        <w:spacing w:before="0" w:beforeAutospacing="0" w:after="0" w:afterAutospacing="0" w:line="360" w:lineRule="auto"/>
        <w:ind w:left="0" w:right="0" w:firstLine="411" w:firstLineChars="196"/>
        <w:jc w:val="both"/>
        <w:rPr>
          <w:rFonts w:hint="default"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5243F1D1">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3</w:t>
      </w:r>
      <w:r>
        <w:rPr>
          <w:rFonts w:hint="eastAsia" w:ascii="宋体" w:hAnsi="宋体" w:eastAsia="宋体" w:cs="宋体"/>
          <w:color w:val="auto"/>
          <w:kern w:val="2"/>
          <w:sz w:val="21"/>
          <w:szCs w:val="21"/>
          <w:lang w:val="en-US" w:eastAsia="zh-CN" w:bidi="ar"/>
        </w:rPr>
        <w:t>、学校根据最终使用单位技术验收结果，组织有关专家进行货物的最终验收。</w:t>
      </w:r>
    </w:p>
    <w:p w14:paraId="0421525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七、合同款项支付方式</w:t>
      </w:r>
    </w:p>
    <w:p w14:paraId="7E69FECD">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合同生效后，待货物到达指定地点、安装调试验收合格后，一次性付清合同货款。</w:t>
      </w:r>
    </w:p>
    <w:p w14:paraId="0C90EA0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八、违约责任</w:t>
      </w:r>
    </w:p>
    <w:p w14:paraId="15461E8F">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、合同生效后，甲乙双方应按合同规定认真履约。合同履约责任只涉及合同甲乙双方，不考虑第三方因素。</w:t>
      </w:r>
    </w:p>
    <w:p w14:paraId="48C1B5D9">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、除不可抗力原因外，如遇下列情况之一者，乙方所缴纳的合同履约保证金甲方有权不予退还，作为对甲方的赔偿：（</w:t>
      </w:r>
      <w:r>
        <w:rPr>
          <w:rFonts w:hint="default" w:ascii="Calibri" w:hAnsi="Calibri" w:eastAsia="宋体" w:cs="Times New Roman"/>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）合同签订后不能按合同时限要求供货或安装调试；（</w:t>
      </w:r>
      <w:r>
        <w:rPr>
          <w:rFonts w:hint="default" w:ascii="Calibri" w:hAnsi="Calibri" w:eastAsia="宋体" w:cs="Times New Roman"/>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）所供货物不合格、与合同不符；（</w:t>
      </w:r>
      <w:r>
        <w:rPr>
          <w:rFonts w:hint="default" w:ascii="Calibri" w:hAnsi="Calibri" w:eastAsia="宋体" w:cs="Times New Roman"/>
          <w:color w:val="auto"/>
          <w:kern w:val="2"/>
          <w:sz w:val="21"/>
          <w:szCs w:val="21"/>
          <w:lang w:val="en-US" w:eastAsia="zh-CN" w:bidi="ar"/>
        </w:rPr>
        <w:t>3</w:t>
      </w:r>
      <w:r>
        <w:rPr>
          <w:rFonts w:hint="eastAsia" w:ascii="宋体" w:hAnsi="宋体" w:eastAsia="宋体" w:cs="宋体"/>
          <w:color w:val="auto"/>
          <w:kern w:val="2"/>
          <w:sz w:val="21"/>
          <w:szCs w:val="21"/>
          <w:lang w:val="en-US" w:eastAsia="zh-CN" w:bidi="ar"/>
        </w:rPr>
        <w:t>）不能按合同履约；（</w:t>
      </w:r>
      <w:r>
        <w:rPr>
          <w:rFonts w:hint="default" w:ascii="Calibri" w:hAnsi="Calibri" w:eastAsia="宋体" w:cs="Times New Roman"/>
          <w:color w:val="auto"/>
          <w:kern w:val="2"/>
          <w:sz w:val="21"/>
          <w:szCs w:val="21"/>
          <w:lang w:val="en-US" w:eastAsia="zh-CN" w:bidi="ar"/>
        </w:rPr>
        <w:t>4</w:t>
      </w:r>
      <w:r>
        <w:rPr>
          <w:rFonts w:hint="eastAsia" w:ascii="宋体" w:hAnsi="宋体" w:eastAsia="宋体" w:cs="宋体"/>
          <w:color w:val="auto"/>
          <w:kern w:val="2"/>
          <w:sz w:val="21"/>
          <w:szCs w:val="21"/>
          <w:lang w:val="en-US" w:eastAsia="zh-CN" w:bidi="ar"/>
        </w:rPr>
        <w:t>）货物验收不合格。如乙方的合同履约保证金不足以弥补甲方损失时，甲方有权要求乙方继续承担赔偿责任。</w:t>
      </w:r>
    </w:p>
    <w:p w14:paraId="141FE6CF">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3</w:t>
      </w:r>
      <w:r>
        <w:rPr>
          <w:rFonts w:hint="eastAsia" w:ascii="宋体" w:hAnsi="宋体" w:eastAsia="宋体" w:cs="宋体"/>
          <w:color w:val="auto"/>
          <w:kern w:val="2"/>
          <w:sz w:val="21"/>
          <w:szCs w:val="21"/>
          <w:lang w:val="en-US" w:eastAsia="zh-CN" w:bidi="ar"/>
        </w:rPr>
        <w:t>、乙方对所供产品出现的问题推委、拖延，</w:t>
      </w:r>
      <w:r>
        <w:rPr>
          <w:rFonts w:hint="default" w:ascii="Calibri" w:hAnsi="Calibri" w:eastAsia="宋体" w:cs="Times New Roman"/>
          <w:color w:val="auto"/>
          <w:kern w:val="2"/>
          <w:sz w:val="21"/>
          <w:szCs w:val="21"/>
          <w:lang w:val="en-US" w:eastAsia="zh-CN" w:bidi="ar"/>
        </w:rPr>
        <w:t>24</w:t>
      </w:r>
      <w:r>
        <w:rPr>
          <w:rFonts w:hint="eastAsia" w:ascii="宋体" w:hAnsi="宋体" w:eastAsia="宋体" w:cs="宋体"/>
          <w:color w:val="auto"/>
          <w:kern w:val="2"/>
          <w:sz w:val="21"/>
          <w:szCs w:val="21"/>
          <w:lang w:val="en-US" w:eastAsia="zh-CN" w:bidi="ar"/>
        </w:rPr>
        <w:t>小时未作出服务响应，应接受甲方的合理处罚。</w:t>
      </w:r>
    </w:p>
    <w:p w14:paraId="456CB06D">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4</w:t>
      </w:r>
      <w:r>
        <w:rPr>
          <w:rFonts w:hint="eastAsia" w:ascii="宋体" w:hAnsi="宋体" w:eastAsia="宋体" w:cs="宋体"/>
          <w:color w:val="auto"/>
          <w:kern w:val="2"/>
          <w:sz w:val="21"/>
          <w:szCs w:val="21"/>
          <w:lang w:val="en-US" w:eastAsia="zh-CN" w:bidi="ar"/>
        </w:rPr>
        <w:t>、合同履约过程中，甲方应积极配合乙方进行验收以及验收前的外围配套等工作。否则，因此导致不能按期验收时，不能追究乙方责任；正常情况下应在验收合格后</w:t>
      </w:r>
      <w:r>
        <w:rPr>
          <w:rFonts w:hint="default" w:ascii="Calibri" w:hAnsi="Calibri" w:eastAsia="宋体" w:cs="Calibri"/>
          <w:color w:val="auto"/>
          <w:kern w:val="2"/>
          <w:sz w:val="21"/>
          <w:szCs w:val="21"/>
          <w:lang w:val="en-US" w:eastAsia="zh-CN" w:bidi="ar"/>
        </w:rPr>
        <w:t>30</w:t>
      </w:r>
      <w:r>
        <w:rPr>
          <w:rFonts w:hint="eastAsia" w:ascii="宋体" w:hAnsi="宋体" w:eastAsia="宋体" w:cs="宋体"/>
          <w:color w:val="auto"/>
          <w:kern w:val="2"/>
          <w:sz w:val="21"/>
          <w:szCs w:val="21"/>
          <w:lang w:val="en-US" w:eastAsia="zh-CN" w:bidi="ar"/>
        </w:rPr>
        <w:t>天内按规定向乙方付款，最长时间不能超过</w:t>
      </w:r>
      <w:r>
        <w:rPr>
          <w:rFonts w:hint="default" w:ascii="Calibri" w:hAnsi="Calibri" w:eastAsia="宋体" w:cs="Calibri"/>
          <w:color w:val="auto"/>
          <w:kern w:val="2"/>
          <w:sz w:val="21"/>
          <w:szCs w:val="21"/>
          <w:lang w:val="en-US" w:eastAsia="zh-CN" w:bidi="ar"/>
        </w:rPr>
        <w:t>60</w:t>
      </w:r>
      <w:r>
        <w:rPr>
          <w:rFonts w:hint="eastAsia" w:ascii="宋体" w:hAnsi="宋体" w:eastAsia="宋体" w:cs="宋体"/>
          <w:color w:val="auto"/>
          <w:kern w:val="2"/>
          <w:sz w:val="21"/>
          <w:szCs w:val="21"/>
          <w:lang w:val="en-US" w:eastAsia="zh-CN" w:bidi="ar"/>
        </w:rPr>
        <w:t>天。否则，按照每日利率万分之五支付逾期利息。</w:t>
      </w:r>
    </w:p>
    <w:p w14:paraId="1E5D885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color w:val="auto"/>
          <w:kern w:val="2"/>
          <w:sz w:val="24"/>
          <w:szCs w:val="24"/>
        </w:rPr>
      </w:pPr>
      <w:r>
        <w:rPr>
          <w:rFonts w:hint="eastAsia" w:ascii="宋体" w:hAnsi="宋体" w:eastAsia="宋体" w:cs="宋体"/>
          <w:b/>
          <w:bCs w:val="0"/>
          <w:color w:val="auto"/>
          <w:kern w:val="2"/>
          <w:sz w:val="24"/>
          <w:szCs w:val="24"/>
          <w:lang w:val="en-US" w:eastAsia="zh-CN" w:bidi="ar"/>
        </w:rPr>
        <w:t>九、其它事项</w:t>
      </w:r>
    </w:p>
    <w:p w14:paraId="5BFCDF26">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1</w:t>
      </w:r>
      <w:r>
        <w:rPr>
          <w:rFonts w:hint="eastAsia" w:ascii="宋体" w:hAnsi="宋体" w:eastAsia="宋体" w:cs="宋体"/>
          <w:color w:val="auto"/>
          <w:kern w:val="2"/>
          <w:sz w:val="21"/>
          <w:szCs w:val="21"/>
          <w:lang w:val="en-US" w:eastAsia="zh-CN" w:bidi="ar"/>
        </w:rPr>
        <w:t>、合同经双方签字盖章后生效。本合同一式柒份，甲方执伍份，乙方执壹份，招标公司执壹份，执行完毕后自行失效。</w:t>
      </w:r>
    </w:p>
    <w:p w14:paraId="6AF53BA4">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2</w:t>
      </w:r>
      <w:r>
        <w:rPr>
          <w:rFonts w:hint="eastAsia" w:ascii="宋体" w:hAnsi="宋体" w:eastAsia="宋体" w:cs="宋体"/>
          <w:color w:val="auto"/>
          <w:kern w:val="2"/>
          <w:sz w:val="21"/>
          <w:szCs w:val="21"/>
          <w:lang w:val="en-US" w:eastAsia="zh-CN" w:bidi="ar"/>
        </w:rPr>
        <w:t>、下述文件为本合同的一部分，并与本合同一起阅读和解释，且具有同等法律效力：</w:t>
      </w:r>
    </w:p>
    <w:p w14:paraId="1BD81A50">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color w:val="auto"/>
          <w:kern w:val="2"/>
          <w:sz w:val="21"/>
          <w:szCs w:val="21"/>
        </w:rPr>
      </w:pPr>
      <w:r>
        <w:rPr>
          <w:rFonts w:hint="eastAsia" w:ascii="宋体" w:hAnsi="宋体" w:eastAsia="宋体" w:cs="宋体"/>
          <w:color w:val="auto"/>
          <w:kern w:val="2"/>
          <w:sz w:val="21"/>
          <w:szCs w:val="21"/>
          <w:lang w:val="en-US" w:eastAsia="zh-CN" w:bidi="ar"/>
        </w:rPr>
        <w:t>①合同附件1：产品功能要求、技术规格及配置详单；</w:t>
      </w:r>
    </w:p>
    <w:p w14:paraId="6471F560">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color w:val="auto"/>
          <w:kern w:val="2"/>
          <w:sz w:val="21"/>
          <w:szCs w:val="21"/>
        </w:rPr>
      </w:pPr>
      <w:r>
        <w:rPr>
          <w:rFonts w:hint="eastAsia" w:ascii="宋体" w:hAnsi="宋体" w:eastAsia="宋体" w:cs="宋体"/>
          <w:color w:val="auto"/>
          <w:kern w:val="2"/>
          <w:sz w:val="21"/>
          <w:szCs w:val="21"/>
          <w:lang w:val="en-US" w:eastAsia="zh-CN" w:bidi="ar"/>
        </w:rPr>
        <w:t>②合同附件2：补充条款（如果有）；</w:t>
      </w:r>
    </w:p>
    <w:p w14:paraId="3DF54044">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color w:val="auto"/>
          <w:kern w:val="2"/>
          <w:sz w:val="21"/>
          <w:szCs w:val="21"/>
        </w:rPr>
      </w:pPr>
      <w:r>
        <w:rPr>
          <w:rFonts w:hint="eastAsia" w:ascii="宋体" w:hAnsi="宋体" w:eastAsia="宋体" w:cs="宋体"/>
          <w:color w:val="auto"/>
          <w:kern w:val="2"/>
          <w:sz w:val="21"/>
          <w:szCs w:val="21"/>
          <w:lang w:val="en-US" w:eastAsia="zh-CN" w:bidi="ar"/>
        </w:rPr>
        <w:t>③合同附件3：澄清函及最终报价和承诺（如果有）；</w:t>
      </w:r>
    </w:p>
    <w:p w14:paraId="1C97C4DF">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color w:val="auto"/>
          <w:kern w:val="2"/>
          <w:sz w:val="21"/>
          <w:szCs w:val="21"/>
        </w:rPr>
      </w:pPr>
      <w:r>
        <w:rPr>
          <w:rFonts w:hint="eastAsia" w:ascii="宋体" w:hAnsi="宋体" w:eastAsia="宋体" w:cs="宋体"/>
          <w:color w:val="auto"/>
          <w:kern w:val="2"/>
          <w:sz w:val="21"/>
          <w:szCs w:val="21"/>
          <w:lang w:val="en-US" w:eastAsia="zh-CN" w:bidi="ar"/>
        </w:rPr>
        <w:t>④招标文件；</w:t>
      </w:r>
    </w:p>
    <w:p w14:paraId="2E450E74">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color w:val="auto"/>
          <w:kern w:val="2"/>
          <w:sz w:val="21"/>
          <w:szCs w:val="21"/>
        </w:rPr>
      </w:pPr>
      <w:r>
        <w:rPr>
          <w:rFonts w:hint="eastAsia" w:ascii="宋体" w:hAnsi="宋体" w:eastAsia="宋体" w:cs="宋体"/>
          <w:color w:val="auto"/>
          <w:kern w:val="2"/>
          <w:sz w:val="21"/>
          <w:szCs w:val="21"/>
          <w:lang w:val="en-US" w:eastAsia="zh-CN" w:bidi="ar"/>
        </w:rPr>
        <w:t>⑤投标文件；</w:t>
      </w:r>
    </w:p>
    <w:p w14:paraId="54550D59">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⑥中标通知书。</w:t>
      </w:r>
    </w:p>
    <w:p w14:paraId="76018F8D">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3</w:t>
      </w:r>
      <w:r>
        <w:rPr>
          <w:rFonts w:hint="eastAsia" w:ascii="宋体" w:hAnsi="宋体" w:eastAsia="宋体" w:cs="宋体"/>
          <w:color w:val="auto"/>
          <w:kern w:val="2"/>
          <w:sz w:val="21"/>
          <w:szCs w:val="21"/>
          <w:lang w:val="en-US" w:eastAsia="zh-CN" w:bidi="ar"/>
        </w:rPr>
        <w:t>、在本合同执行过程中，甲、乙双方协商签订的补充合同与原合同具有同等法律效力。</w:t>
      </w:r>
    </w:p>
    <w:p w14:paraId="36F04382">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color w:val="auto"/>
          <w:kern w:val="2"/>
          <w:sz w:val="21"/>
          <w:szCs w:val="21"/>
        </w:rPr>
      </w:pPr>
      <w:r>
        <w:rPr>
          <w:rFonts w:hint="default" w:ascii="Calibri" w:hAnsi="Calibri" w:eastAsia="宋体" w:cs="Times New Roman"/>
          <w:color w:val="auto"/>
          <w:kern w:val="2"/>
          <w:sz w:val="21"/>
          <w:szCs w:val="21"/>
          <w:lang w:val="en-US" w:eastAsia="zh-CN" w:bidi="ar"/>
        </w:rPr>
        <w:t xml:space="preserve">    4</w:t>
      </w:r>
      <w:r>
        <w:rPr>
          <w:rFonts w:hint="eastAsia" w:ascii="宋体" w:hAnsi="宋体" w:eastAsia="宋体" w:cs="宋体"/>
          <w:color w:val="auto"/>
          <w:kern w:val="2"/>
          <w:sz w:val="21"/>
          <w:szCs w:val="21"/>
          <w:lang w:val="en-US" w:eastAsia="zh-CN" w:bidi="ar"/>
        </w:rPr>
        <w:t>、未尽事宜，双方协商解决。</w:t>
      </w:r>
    </w:p>
    <w:p w14:paraId="405AC872">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5</w:t>
      </w:r>
      <w:r>
        <w:rPr>
          <w:rFonts w:hint="eastAsia" w:ascii="宋体" w:hAnsi="宋体" w:eastAsia="宋体" w:cs="宋体"/>
          <w:color w:val="auto"/>
          <w:kern w:val="2"/>
          <w:sz w:val="21"/>
          <w:szCs w:val="21"/>
          <w:lang w:val="en-US" w:eastAsia="zh-CN" w:bidi="ar"/>
        </w:rPr>
        <w:t>、合同签订地点：西安</w:t>
      </w:r>
      <w:r>
        <w:rPr>
          <w:rFonts w:hint="default" w:ascii="Calibri" w:hAnsi="Calibri" w:eastAsia="宋体" w:cs="Times New Roman"/>
          <w:color w:val="auto"/>
          <w:kern w:val="2"/>
          <w:sz w:val="21"/>
          <w:szCs w:val="21"/>
          <w:lang w:val="en-US" w:eastAsia="zh-CN" w:bidi="ar"/>
        </w:rPr>
        <w:t>.</w:t>
      </w:r>
      <w:r>
        <w:rPr>
          <w:rFonts w:hint="eastAsia" w:ascii="宋体" w:hAnsi="宋体" w:eastAsia="宋体" w:cs="宋体"/>
          <w:color w:val="auto"/>
          <w:kern w:val="2"/>
          <w:sz w:val="21"/>
          <w:szCs w:val="21"/>
          <w:lang w:val="en-US" w:eastAsia="zh-CN" w:bidi="ar"/>
        </w:rPr>
        <w:t>西北大学</w:t>
      </w:r>
    </w:p>
    <w:p w14:paraId="1938159A">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color w:val="auto"/>
          <w:kern w:val="2"/>
          <w:sz w:val="21"/>
          <w:szCs w:val="21"/>
        </w:rPr>
      </w:pPr>
      <w:r>
        <w:rPr>
          <w:rFonts w:hint="default" w:ascii="Calibri" w:hAnsi="Calibri" w:eastAsia="宋体" w:cs="Calibri"/>
          <w:color w:val="auto"/>
          <w:kern w:val="2"/>
          <w:sz w:val="21"/>
          <w:szCs w:val="21"/>
          <w:lang w:val="en-US" w:eastAsia="zh-CN" w:bidi="ar"/>
        </w:rPr>
        <w:t>6</w:t>
      </w:r>
      <w:r>
        <w:rPr>
          <w:rFonts w:hint="eastAsia" w:ascii="宋体" w:hAnsi="宋体" w:eastAsia="宋体" w:cs="宋体"/>
          <w:color w:val="auto"/>
          <w:kern w:val="2"/>
          <w:sz w:val="21"/>
          <w:szCs w:val="21"/>
          <w:lang w:val="en-US" w:eastAsia="zh-CN" w:bidi="ar"/>
        </w:rPr>
        <w:t>、合同签订时间：</w:t>
      </w:r>
      <w:r>
        <w:rPr>
          <w:rFonts w:hint="eastAsia" w:ascii="宋体" w:hAnsi="宋体" w:eastAsia="宋体" w:cs="宋体"/>
          <w:color w:val="auto"/>
          <w:kern w:val="2"/>
          <w:sz w:val="21"/>
          <w:szCs w:val="21"/>
          <w:u w:val="single"/>
          <w:lang w:val="en-US" w:eastAsia="zh-CN" w:bidi="ar"/>
        </w:rPr>
        <w:t xml:space="preserve">  </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年</w:t>
      </w:r>
      <w:r>
        <w:rPr>
          <w:rFonts w:hint="eastAsia" w:ascii="宋体" w:hAnsi="宋体" w:eastAsia="宋体" w:cs="宋体"/>
          <w:color w:val="auto"/>
          <w:kern w:val="2"/>
          <w:sz w:val="21"/>
          <w:szCs w:val="21"/>
          <w:u w:val="single"/>
          <w:lang w:val="en-US" w:eastAsia="zh-CN" w:bidi="ar"/>
        </w:rPr>
        <w:t xml:space="preserve"> </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月</w:t>
      </w:r>
      <w:r>
        <w:rPr>
          <w:rFonts w:hint="eastAsia" w:ascii="宋体" w:hAnsi="宋体" w:eastAsia="宋体" w:cs="宋体"/>
          <w:color w:val="auto"/>
          <w:kern w:val="2"/>
          <w:sz w:val="21"/>
          <w:szCs w:val="21"/>
          <w:u w:val="single"/>
          <w:lang w:val="en-US" w:eastAsia="zh-CN" w:bidi="ar"/>
        </w:rPr>
        <w:t xml:space="preserve"> </w:t>
      </w:r>
      <w:r>
        <w:rPr>
          <w:rFonts w:hint="default" w:ascii="Calibri" w:hAnsi="Calibri" w:eastAsia="宋体" w:cs="Times New Roman"/>
          <w:color w:val="auto"/>
          <w:kern w:val="2"/>
          <w:sz w:val="21"/>
          <w:szCs w:val="21"/>
          <w:u w:val="single"/>
          <w:lang w:val="en-US" w:eastAsia="zh-CN" w:bidi="ar"/>
        </w:rPr>
        <w:t xml:space="preserve">  </w:t>
      </w:r>
      <w:r>
        <w:rPr>
          <w:rFonts w:hint="eastAsia" w:ascii="宋体" w:hAnsi="宋体" w:eastAsia="宋体" w:cs="宋体"/>
          <w:color w:val="auto"/>
          <w:kern w:val="2"/>
          <w:sz w:val="21"/>
          <w:szCs w:val="21"/>
          <w:lang w:val="en-US" w:eastAsia="zh-CN" w:bidi="ar"/>
        </w:rPr>
        <w:t>日</w:t>
      </w:r>
    </w:p>
    <w:p w14:paraId="552AF422">
      <w:pPr>
        <w:keepNext w:val="0"/>
        <w:keepLines w:val="0"/>
        <w:widowControl w:val="0"/>
        <w:suppressLineNumbers w:val="0"/>
        <w:spacing w:before="0" w:beforeAutospacing="0" w:after="0" w:afterAutospacing="0" w:line="360" w:lineRule="auto"/>
        <w:ind w:left="0" w:right="0" w:firstLine="555"/>
        <w:jc w:val="both"/>
        <w:rPr>
          <w:rFonts w:hint="eastAsia" w:ascii="Calibri" w:hAnsi="Calibri" w:eastAsia="宋体" w:cs="Times New Roman"/>
          <w:b/>
          <w:bCs w:val="0"/>
          <w:color w:val="auto"/>
          <w:kern w:val="2"/>
          <w:sz w:val="21"/>
          <w:szCs w:val="21"/>
        </w:rPr>
      </w:pPr>
      <w:r>
        <w:rPr>
          <w:rFonts w:hint="eastAsia" w:ascii="Calibri" w:hAnsi="Calibri" w:eastAsia="宋体" w:cs="Times New Roman"/>
          <w:b/>
          <w:bCs w:val="0"/>
          <w:color w:val="auto"/>
          <w:kern w:val="2"/>
          <w:sz w:val="21"/>
          <w:szCs w:val="21"/>
          <w:lang w:val="en-US" w:eastAsia="zh-CN" w:bidi="ar"/>
        </w:rPr>
        <w:t xml:space="preserve"> </w:t>
      </w:r>
    </w:p>
    <w:p w14:paraId="76373EC2">
      <w:pPr>
        <w:keepNext w:val="0"/>
        <w:keepLines w:val="0"/>
        <w:widowControl w:val="0"/>
        <w:suppressLineNumbers w:val="0"/>
        <w:spacing w:before="0" w:beforeAutospacing="0" w:after="0" w:afterAutospacing="0" w:line="360" w:lineRule="auto"/>
        <w:ind w:left="0" w:right="0" w:firstLine="555"/>
        <w:jc w:val="both"/>
        <w:rPr>
          <w:rFonts w:hint="default" w:ascii="Calibri" w:hAnsi="Calibri" w:eastAsia="宋体" w:cs="Times New Roman"/>
          <w:b/>
          <w:bCs w:val="0"/>
          <w:color w:val="auto"/>
          <w:kern w:val="2"/>
          <w:sz w:val="21"/>
          <w:szCs w:val="21"/>
        </w:rPr>
      </w:pPr>
      <w:r>
        <w:rPr>
          <w:rFonts w:hint="eastAsia" w:ascii="宋体" w:hAnsi="宋体" w:eastAsia="宋体" w:cs="宋体"/>
          <w:b/>
          <w:bCs w:val="0"/>
          <w:color w:val="auto"/>
          <w:kern w:val="2"/>
          <w:sz w:val="21"/>
          <w:szCs w:val="21"/>
          <w:lang w:val="en-US" w:eastAsia="zh-CN" w:bidi="ar"/>
        </w:rPr>
        <w:t>甲</w:t>
      </w:r>
      <w:r>
        <w:rPr>
          <w:rFonts w:hint="default" w:ascii="Calibri" w:hAnsi="Calibri" w:eastAsia="宋体" w:cs="Times New Roman"/>
          <w:b/>
          <w:bCs w:val="0"/>
          <w:color w:val="auto"/>
          <w:kern w:val="2"/>
          <w:sz w:val="21"/>
          <w:szCs w:val="21"/>
          <w:lang w:val="en-US" w:eastAsia="zh-CN" w:bidi="ar"/>
        </w:rPr>
        <w:t xml:space="preserve">    </w:t>
      </w:r>
      <w:r>
        <w:rPr>
          <w:rFonts w:hint="eastAsia" w:ascii="宋体" w:hAnsi="宋体" w:eastAsia="宋体" w:cs="宋体"/>
          <w:b/>
          <w:bCs w:val="0"/>
          <w:color w:val="auto"/>
          <w:kern w:val="2"/>
          <w:sz w:val="21"/>
          <w:szCs w:val="21"/>
          <w:lang w:val="en-US" w:eastAsia="zh-CN" w:bidi="ar"/>
        </w:rPr>
        <w:t>方</w:t>
      </w:r>
      <w:r>
        <w:rPr>
          <w:rFonts w:hint="default" w:ascii="Calibri" w:hAnsi="Calibri" w:eastAsia="宋体" w:cs="Times New Roman"/>
          <w:b/>
          <w:bCs w:val="0"/>
          <w:color w:val="auto"/>
          <w:kern w:val="2"/>
          <w:sz w:val="21"/>
          <w:szCs w:val="21"/>
          <w:lang w:val="en-US" w:eastAsia="zh-CN" w:bidi="ar"/>
        </w:rPr>
        <w:t xml:space="preserve">                        </w:t>
      </w:r>
      <w:r>
        <w:rPr>
          <w:rFonts w:hint="eastAsia" w:ascii="Calibri" w:hAnsi="Calibri" w:eastAsia="宋体" w:cs="Times New Roman"/>
          <w:b/>
          <w:bCs w:val="0"/>
          <w:color w:val="auto"/>
          <w:kern w:val="2"/>
          <w:sz w:val="21"/>
          <w:szCs w:val="21"/>
          <w:lang w:val="en-US" w:eastAsia="zh-CN" w:bidi="ar"/>
        </w:rPr>
        <w:t xml:space="preserve">              </w:t>
      </w:r>
      <w:r>
        <w:rPr>
          <w:rFonts w:hint="eastAsia" w:ascii="宋体" w:hAnsi="宋体" w:eastAsia="宋体" w:cs="宋体"/>
          <w:b/>
          <w:bCs w:val="0"/>
          <w:color w:val="auto"/>
          <w:kern w:val="2"/>
          <w:sz w:val="21"/>
          <w:szCs w:val="21"/>
          <w:lang w:val="en-US" w:eastAsia="zh-CN" w:bidi="ar"/>
        </w:rPr>
        <w:t>乙</w:t>
      </w:r>
      <w:r>
        <w:rPr>
          <w:rFonts w:hint="default" w:ascii="Calibri" w:hAnsi="Calibri" w:eastAsia="宋体" w:cs="Times New Roman"/>
          <w:b/>
          <w:bCs w:val="0"/>
          <w:color w:val="auto"/>
          <w:kern w:val="2"/>
          <w:sz w:val="21"/>
          <w:szCs w:val="21"/>
          <w:lang w:val="en-US" w:eastAsia="zh-CN" w:bidi="ar"/>
        </w:rPr>
        <w:t xml:space="preserve">    </w:t>
      </w:r>
      <w:r>
        <w:rPr>
          <w:rFonts w:hint="eastAsia" w:ascii="宋体" w:hAnsi="宋体" w:eastAsia="宋体" w:cs="宋体"/>
          <w:b/>
          <w:bCs w:val="0"/>
          <w:color w:val="auto"/>
          <w:kern w:val="2"/>
          <w:sz w:val="21"/>
          <w:szCs w:val="21"/>
          <w:lang w:val="en-US" w:eastAsia="zh-CN" w:bidi="ar"/>
        </w:rPr>
        <w:t>方（全填）</w:t>
      </w:r>
    </w:p>
    <w:p w14:paraId="20EC8A46">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b/>
          <w:bCs w:val="0"/>
          <w:color w:val="auto"/>
          <w:kern w:val="2"/>
          <w:sz w:val="21"/>
          <w:szCs w:val="21"/>
        </w:rPr>
      </w:pPr>
      <w:r>
        <w:rPr>
          <w:rFonts w:hint="eastAsia" w:ascii="宋体" w:hAnsi="宋体" w:eastAsia="宋体" w:cs="宋体"/>
          <w:color w:val="auto"/>
          <w:kern w:val="2"/>
          <w:sz w:val="21"/>
          <w:szCs w:val="21"/>
          <w:lang w:val="en-US" w:eastAsia="zh-CN" w:bidi="ar"/>
        </w:rPr>
        <w:t>单位名称（盖章）：</w:t>
      </w:r>
      <w:r>
        <w:rPr>
          <w:rFonts w:hint="default" w:ascii="Calibri" w:hAnsi="Calibri" w:eastAsia="宋体" w:cs="Times New Roman"/>
          <w:color w:val="auto"/>
          <w:kern w:val="2"/>
          <w:sz w:val="21"/>
          <w:szCs w:val="21"/>
          <w:lang w:val="en-US" w:eastAsia="zh-CN" w:bidi="ar"/>
        </w:rPr>
        <w:t xml:space="preserve">              </w:t>
      </w:r>
      <w:r>
        <w:rPr>
          <w:rFonts w:hint="eastAsia"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单位名称（盖章）：</w:t>
      </w:r>
    </w:p>
    <w:p w14:paraId="571E6FFD">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地</w:t>
      </w:r>
      <w:r>
        <w:rPr>
          <w:rFonts w:hint="default"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址：</w:t>
      </w:r>
      <w:r>
        <w:rPr>
          <w:rFonts w:hint="default" w:ascii="Calibri" w:hAnsi="Calibri" w:eastAsia="宋体" w:cs="Times New Roman"/>
          <w:color w:val="auto"/>
          <w:kern w:val="2"/>
          <w:sz w:val="21"/>
          <w:szCs w:val="21"/>
          <w:lang w:val="en-US" w:eastAsia="zh-CN" w:bidi="ar"/>
        </w:rPr>
        <w:t xml:space="preserve">                     </w:t>
      </w:r>
      <w:r>
        <w:rPr>
          <w:rFonts w:hint="eastAsia"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地</w:t>
      </w:r>
      <w:r>
        <w:rPr>
          <w:rFonts w:hint="default"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址：</w:t>
      </w:r>
    </w:p>
    <w:p w14:paraId="18DE5389">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法定代表人：</w:t>
      </w:r>
      <w:r>
        <w:rPr>
          <w:rFonts w:hint="eastAsia"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法定代表人：（盖章</w:t>
      </w:r>
      <w:r>
        <w:rPr>
          <w:rFonts w:hint="default" w:ascii="Calibri" w:hAnsi="Calibri" w:eastAsia="宋体" w:cs="Calibri"/>
          <w:color w:val="auto"/>
          <w:kern w:val="2"/>
          <w:sz w:val="21"/>
          <w:szCs w:val="21"/>
          <w:lang w:val="en-US" w:eastAsia="zh-CN" w:bidi="ar"/>
        </w:rPr>
        <w:t>/</w:t>
      </w:r>
      <w:r>
        <w:rPr>
          <w:rFonts w:hint="eastAsia" w:ascii="宋体" w:hAnsi="宋体" w:eastAsia="宋体" w:cs="宋体"/>
          <w:color w:val="auto"/>
          <w:kern w:val="2"/>
          <w:sz w:val="21"/>
          <w:szCs w:val="21"/>
          <w:lang w:val="en-US" w:eastAsia="zh-CN" w:bidi="ar"/>
        </w:rPr>
        <w:t>签字）</w:t>
      </w:r>
    </w:p>
    <w:p w14:paraId="52D64E35">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委托代理人：（签字）</w:t>
      </w:r>
      <w:r>
        <w:rPr>
          <w:rFonts w:hint="eastAsia"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委托代理人：（签字）</w:t>
      </w:r>
    </w:p>
    <w:p w14:paraId="25C69FAF">
      <w:pPr>
        <w:keepNext w:val="0"/>
        <w:keepLines w:val="0"/>
        <w:widowControl w:val="0"/>
        <w:suppressLineNumbers w:val="0"/>
        <w:spacing w:before="0" w:beforeAutospacing="0" w:after="0" w:afterAutospacing="0" w:line="360" w:lineRule="auto"/>
        <w:ind w:left="0" w:right="0" w:firstLine="54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电话：                                        电话：</w:t>
      </w:r>
    </w:p>
    <w:p w14:paraId="0FE39F12">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传真：</w:t>
      </w:r>
      <w:r>
        <w:rPr>
          <w:rFonts w:hint="default" w:ascii="Calibri" w:hAnsi="Calibri" w:eastAsia="宋体" w:cs="Times New Roman"/>
          <w:color w:val="auto"/>
          <w:kern w:val="2"/>
          <w:sz w:val="21"/>
          <w:szCs w:val="21"/>
          <w:lang w:val="en-US" w:eastAsia="zh-CN" w:bidi="ar"/>
        </w:rPr>
        <w:t xml:space="preserve">                     </w:t>
      </w:r>
      <w:r>
        <w:rPr>
          <w:rFonts w:hint="eastAsia" w:ascii="Calibri" w:hAnsi="Calibri" w:eastAsia="宋体" w:cs="Times New Roman"/>
          <w:color w:val="auto"/>
          <w:kern w:val="2"/>
          <w:sz w:val="21"/>
          <w:szCs w:val="21"/>
          <w:lang w:val="en-US" w:eastAsia="zh-CN" w:bidi="ar"/>
        </w:rPr>
        <w:t xml:space="preserve">                 </w:t>
      </w:r>
      <w:r>
        <w:rPr>
          <w:rFonts w:hint="eastAsia" w:ascii="宋体" w:hAnsi="宋体" w:eastAsia="宋体" w:cs="宋体"/>
          <w:color w:val="auto"/>
          <w:kern w:val="2"/>
          <w:sz w:val="21"/>
          <w:szCs w:val="21"/>
          <w:lang w:val="en-US" w:eastAsia="zh-CN" w:bidi="ar"/>
        </w:rPr>
        <w:t xml:space="preserve">  传真：</w:t>
      </w:r>
    </w:p>
    <w:p w14:paraId="3597A0C6">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邮编：                                        邮编：</w:t>
      </w:r>
    </w:p>
    <w:p w14:paraId="02962F74">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 xml:space="preserve">                                              开户银行及账号：</w:t>
      </w:r>
    </w:p>
    <w:p w14:paraId="7474472E">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b/>
          <w:bCs/>
          <w:color w:val="auto"/>
          <w:kern w:val="2"/>
          <w:sz w:val="21"/>
          <w:szCs w:val="21"/>
        </w:rPr>
      </w:pPr>
      <w:r>
        <w:rPr>
          <w:rFonts w:hint="eastAsia" w:ascii="宋体" w:hAnsi="宋体" w:eastAsia="宋体" w:cs="宋体"/>
          <w:b/>
          <w:bCs/>
          <w:color w:val="auto"/>
          <w:kern w:val="2"/>
          <w:sz w:val="21"/>
          <w:szCs w:val="21"/>
          <w:lang w:val="en-US" w:eastAsia="zh-CN" w:bidi="ar"/>
        </w:rPr>
        <w:t>招标代理机构名称：</w:t>
      </w:r>
    </w:p>
    <w:p w14:paraId="62BA0A95">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联系人</w:t>
      </w:r>
      <w:r>
        <w:rPr>
          <w:rFonts w:hint="default" w:ascii="Calibri" w:hAnsi="Calibri" w:eastAsia="宋体" w:cs="Calibri"/>
          <w:color w:val="auto"/>
          <w:kern w:val="2"/>
          <w:sz w:val="21"/>
          <w:szCs w:val="21"/>
          <w:lang w:val="en-US" w:eastAsia="zh-CN" w:bidi="ar"/>
        </w:rPr>
        <w:t>:</w:t>
      </w:r>
    </w:p>
    <w:p w14:paraId="437193CF">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color w:val="auto"/>
          <w:kern w:val="2"/>
          <w:sz w:val="21"/>
          <w:szCs w:val="21"/>
        </w:rPr>
      </w:pPr>
      <w:r>
        <w:rPr>
          <w:rFonts w:hint="eastAsia" w:ascii="宋体" w:hAnsi="宋体" w:eastAsia="宋体" w:cs="宋体"/>
          <w:color w:val="auto"/>
          <w:kern w:val="2"/>
          <w:sz w:val="21"/>
          <w:szCs w:val="21"/>
          <w:lang w:val="en-US" w:eastAsia="zh-CN" w:bidi="ar"/>
        </w:rPr>
        <w:t>联系电话：</w:t>
      </w:r>
    </w:p>
    <w:p w14:paraId="5F647FDF">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color w:val="auto"/>
          <w:kern w:val="2"/>
          <w:sz w:val="21"/>
          <w:szCs w:val="21"/>
        </w:rPr>
      </w:pPr>
      <w:r>
        <w:rPr>
          <w:rFonts w:hint="eastAsia" w:ascii="Calibri" w:hAnsi="Calibri" w:eastAsia="宋体" w:cs="Times New Roman"/>
          <w:color w:val="auto"/>
          <w:kern w:val="2"/>
          <w:sz w:val="21"/>
          <w:szCs w:val="21"/>
          <w:lang w:val="en-US" w:eastAsia="zh-CN" w:bidi="ar"/>
        </w:rPr>
        <w:t xml:space="preserve"> </w:t>
      </w:r>
    </w:p>
    <w:p w14:paraId="4F5A62AA">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color w:val="auto"/>
          <w:kern w:val="2"/>
          <w:sz w:val="21"/>
          <w:szCs w:val="21"/>
        </w:rPr>
      </w:pPr>
    </w:p>
    <w:p w14:paraId="3368D333">
      <w:pPr>
        <w:pStyle w:val="17"/>
        <w:rPr>
          <w:rFonts w:ascii="宋体" w:hAnsi="宋体" w:eastAsia="宋体" w:cs="宋体"/>
          <w:color w:val="auto"/>
        </w:rPr>
      </w:pPr>
    </w:p>
    <w:p w14:paraId="0EC0C9FD">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73D0F">
    <w:pPr>
      <w:pStyle w:val="9"/>
      <w:jc w:val="center"/>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B952C3">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B952C3">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3D46F8"/>
    <w:multiLevelType w:val="multilevel"/>
    <w:tmpl w:val="713D46F8"/>
    <w:lvl w:ilvl="0" w:tentative="0">
      <w:start w:val="1"/>
      <w:numFmt w:val="decimal"/>
      <w:lvlText w:val="%1、"/>
      <w:lvlJc w:val="left"/>
      <w:pPr>
        <w:tabs>
          <w:tab w:val="left" w:pos="780"/>
        </w:tabs>
        <w:ind w:left="780" w:hanging="360"/>
      </w:pPr>
      <w:rPr>
        <w:rFonts w:hint="default" w:ascii="Times New Roman" w:hAnsi="Times New Roman" w:cs="Times New Roman"/>
      </w:rPr>
    </w:lvl>
    <w:lvl w:ilvl="1" w:tentative="0">
      <w:start w:val="1"/>
      <w:numFmt w:val="lowerLetter"/>
      <w:lvlText w:val="%2)"/>
      <w:lvlJc w:val="left"/>
      <w:pPr>
        <w:tabs>
          <w:tab w:val="left" w:pos="1260"/>
        </w:tabs>
        <w:ind w:left="1260" w:hanging="420"/>
      </w:pPr>
      <w:rPr>
        <w:rFonts w:hint="default" w:ascii="Times New Roman" w:hAnsi="Times New Roman" w:cs="Times New Roman"/>
      </w:rPr>
    </w:lvl>
    <w:lvl w:ilvl="2" w:tentative="0">
      <w:start w:val="1"/>
      <w:numFmt w:val="lowerRoman"/>
      <w:lvlText w:val="%3."/>
      <w:lvlJc w:val="right"/>
      <w:pPr>
        <w:tabs>
          <w:tab w:val="left" w:pos="1680"/>
        </w:tabs>
        <w:ind w:left="1680" w:hanging="420"/>
      </w:pPr>
      <w:rPr>
        <w:rFonts w:hint="default" w:ascii="Times New Roman" w:hAnsi="Times New Roman" w:cs="Times New Roman"/>
      </w:rPr>
    </w:lvl>
    <w:lvl w:ilvl="3" w:tentative="0">
      <w:start w:val="1"/>
      <w:numFmt w:val="decimal"/>
      <w:lvlText w:val="%4."/>
      <w:lvlJc w:val="left"/>
      <w:pPr>
        <w:tabs>
          <w:tab w:val="left" w:pos="2100"/>
        </w:tabs>
        <w:ind w:left="2100" w:hanging="420"/>
      </w:pPr>
      <w:rPr>
        <w:rFonts w:hint="default" w:ascii="Times New Roman" w:hAnsi="Times New Roman" w:cs="Times New Roman"/>
      </w:rPr>
    </w:lvl>
    <w:lvl w:ilvl="4" w:tentative="0">
      <w:start w:val="1"/>
      <w:numFmt w:val="lowerLetter"/>
      <w:lvlText w:val="%5)"/>
      <w:lvlJc w:val="left"/>
      <w:pPr>
        <w:tabs>
          <w:tab w:val="left" w:pos="2520"/>
        </w:tabs>
        <w:ind w:left="2520" w:hanging="420"/>
      </w:pPr>
      <w:rPr>
        <w:rFonts w:hint="default" w:ascii="Times New Roman" w:hAnsi="Times New Roman" w:cs="Times New Roman"/>
      </w:rPr>
    </w:lvl>
    <w:lvl w:ilvl="5" w:tentative="0">
      <w:start w:val="1"/>
      <w:numFmt w:val="lowerRoman"/>
      <w:lvlText w:val="%6."/>
      <w:lvlJc w:val="right"/>
      <w:pPr>
        <w:tabs>
          <w:tab w:val="left" w:pos="2940"/>
        </w:tabs>
        <w:ind w:left="2940" w:hanging="420"/>
      </w:pPr>
      <w:rPr>
        <w:rFonts w:hint="default" w:ascii="Times New Roman" w:hAnsi="Times New Roman" w:cs="Times New Roman"/>
      </w:rPr>
    </w:lvl>
    <w:lvl w:ilvl="6" w:tentative="0">
      <w:start w:val="1"/>
      <w:numFmt w:val="decimal"/>
      <w:lvlText w:val="%7."/>
      <w:lvlJc w:val="left"/>
      <w:pPr>
        <w:tabs>
          <w:tab w:val="left" w:pos="3360"/>
        </w:tabs>
        <w:ind w:left="3360" w:hanging="420"/>
      </w:pPr>
      <w:rPr>
        <w:rFonts w:hint="default" w:ascii="Times New Roman" w:hAnsi="Times New Roman" w:cs="Times New Roman"/>
      </w:rPr>
    </w:lvl>
    <w:lvl w:ilvl="7" w:tentative="0">
      <w:start w:val="1"/>
      <w:numFmt w:val="lowerLetter"/>
      <w:lvlText w:val="%8)"/>
      <w:lvlJc w:val="left"/>
      <w:pPr>
        <w:tabs>
          <w:tab w:val="left" w:pos="3780"/>
        </w:tabs>
        <w:ind w:left="3780" w:hanging="420"/>
      </w:pPr>
      <w:rPr>
        <w:rFonts w:hint="default" w:ascii="Times New Roman" w:hAnsi="Times New Roman" w:cs="Times New Roman"/>
      </w:rPr>
    </w:lvl>
    <w:lvl w:ilvl="8" w:tentative="0">
      <w:start w:val="1"/>
      <w:numFmt w:val="lowerRoman"/>
      <w:lvlText w:val="%9."/>
      <w:lvlJc w:val="right"/>
      <w:pPr>
        <w:tabs>
          <w:tab w:val="left" w:pos="4200"/>
        </w:tabs>
        <w:ind w:left="4200" w:hanging="420"/>
      </w:pPr>
      <w:rPr>
        <w:rFonts w:hint="default" w:ascii="Times New Roman" w:hAnsi="Times New Roman"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03FE25FB"/>
    <w:rsid w:val="03C77E99"/>
    <w:rsid w:val="03FE25FB"/>
    <w:rsid w:val="0561174D"/>
    <w:rsid w:val="07943BF3"/>
    <w:rsid w:val="08ED6E6B"/>
    <w:rsid w:val="09931095"/>
    <w:rsid w:val="10CB23BD"/>
    <w:rsid w:val="15035321"/>
    <w:rsid w:val="183B3024"/>
    <w:rsid w:val="1BDB3C3A"/>
    <w:rsid w:val="1D2366AB"/>
    <w:rsid w:val="1FA15E62"/>
    <w:rsid w:val="21C02D6D"/>
    <w:rsid w:val="232C0F8B"/>
    <w:rsid w:val="248C5333"/>
    <w:rsid w:val="2755784B"/>
    <w:rsid w:val="28520495"/>
    <w:rsid w:val="28D467D0"/>
    <w:rsid w:val="29B7714B"/>
    <w:rsid w:val="2A09202A"/>
    <w:rsid w:val="2AB4234D"/>
    <w:rsid w:val="2B57116C"/>
    <w:rsid w:val="2CBA67B5"/>
    <w:rsid w:val="2D012D2F"/>
    <w:rsid w:val="2DC047AC"/>
    <w:rsid w:val="340205FF"/>
    <w:rsid w:val="369A2F9E"/>
    <w:rsid w:val="38116670"/>
    <w:rsid w:val="39D37D75"/>
    <w:rsid w:val="3C356755"/>
    <w:rsid w:val="3CED2111"/>
    <w:rsid w:val="3FA639A6"/>
    <w:rsid w:val="432B57DF"/>
    <w:rsid w:val="44025290"/>
    <w:rsid w:val="469B0D50"/>
    <w:rsid w:val="4C334E7A"/>
    <w:rsid w:val="52854FEC"/>
    <w:rsid w:val="54550CDF"/>
    <w:rsid w:val="54E16725"/>
    <w:rsid w:val="578318F4"/>
    <w:rsid w:val="5A4B3A12"/>
    <w:rsid w:val="5B6C23C2"/>
    <w:rsid w:val="5FB66D94"/>
    <w:rsid w:val="624168C9"/>
    <w:rsid w:val="62F04E50"/>
    <w:rsid w:val="688E376F"/>
    <w:rsid w:val="6D2055BE"/>
    <w:rsid w:val="6E7875C4"/>
    <w:rsid w:val="6FA403B2"/>
    <w:rsid w:val="71461992"/>
    <w:rsid w:val="72440D8F"/>
    <w:rsid w:val="7B165BB8"/>
    <w:rsid w:val="7BB1183B"/>
    <w:rsid w:val="7C134B67"/>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5"/>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6"/>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2">
    <w:name w:val="Default Paragraph Font"/>
    <w:semiHidden/>
    <w:qFormat/>
    <w:uiPriority w:val="0"/>
  </w:style>
  <w:style w:type="table" w:default="1" w:styleId="11">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rPr>
      <w:color w:val="993300"/>
      <w:sz w:val="24"/>
    </w:rPr>
  </w:style>
  <w:style w:type="paragraph" w:styleId="7">
    <w:name w:val="Plain Text"/>
    <w:basedOn w:val="1"/>
    <w:qFormat/>
    <w:uiPriority w:val="99"/>
    <w:rPr>
      <w:rFonts w:ascii="宋体" w:hAnsi="Courier New"/>
      <w:szCs w:val="21"/>
    </w:rPr>
  </w:style>
  <w:style w:type="paragraph" w:styleId="8">
    <w:name w:val="Body Text Indent 2"/>
    <w:basedOn w:val="1"/>
    <w:qFormat/>
    <w:uiPriority w:val="0"/>
    <w:pPr>
      <w:ind w:left="555"/>
    </w:pPr>
    <w:rPr>
      <w:sz w:val="28"/>
      <w:szCs w:val="20"/>
    </w:rPr>
  </w:style>
  <w:style w:type="paragraph" w:styleId="9">
    <w:name w:val="footer"/>
    <w:basedOn w:val="1"/>
    <w:qFormat/>
    <w:uiPriority w:val="99"/>
    <w:pPr>
      <w:tabs>
        <w:tab w:val="center" w:pos="4153"/>
        <w:tab w:val="right" w:pos="8306"/>
      </w:tabs>
      <w:snapToGrid w:val="0"/>
      <w:jc w:val="left"/>
    </w:pPr>
    <w:rPr>
      <w:rFonts w:eastAsia="宋体"/>
      <w:sz w:val="18"/>
      <w:szCs w:val="18"/>
    </w:rPr>
  </w:style>
  <w:style w:type="paragraph" w:styleId="10">
    <w:name w:val="Normal (Web)"/>
    <w:basedOn w:val="1"/>
    <w:uiPriority w:val="0"/>
    <w:rPr>
      <w:sz w:val="24"/>
    </w:rPr>
  </w:style>
  <w:style w:type="character" w:customStyle="1" w:styleId="13">
    <w:name w:val="标题 2 Char"/>
    <w:link w:val="3"/>
    <w:qFormat/>
    <w:uiPriority w:val="9"/>
    <w:rPr>
      <w:rFonts w:ascii="Cambria" w:hAnsi="Cambria" w:eastAsia="宋体" w:cs="Times New Roman"/>
      <w:b/>
      <w:bCs/>
      <w:kern w:val="0"/>
      <w:sz w:val="28"/>
      <w:szCs w:val="32"/>
    </w:rPr>
  </w:style>
  <w:style w:type="paragraph" w:customStyle="1" w:styleId="14">
    <w:name w:val="正文2"/>
    <w:basedOn w:val="1"/>
    <w:qFormat/>
    <w:uiPriority w:val="0"/>
    <w:pPr>
      <w:ind w:firstLine="562" w:firstLineChars="200"/>
      <w:jc w:val="left"/>
    </w:pPr>
    <w:rPr>
      <w:rFonts w:hint="eastAsia"/>
    </w:rPr>
  </w:style>
  <w:style w:type="character" w:customStyle="1" w:styleId="15">
    <w:name w:val="标题 1 Char"/>
    <w:link w:val="2"/>
    <w:qFormat/>
    <w:uiPriority w:val="0"/>
    <w:rPr>
      <w:rFonts w:ascii="Times New Roman" w:hAnsi="Times New Roman" w:eastAsia="宋体" w:cs="Times New Roman"/>
      <w:b/>
      <w:kern w:val="44"/>
      <w:sz w:val="32"/>
      <w:szCs w:val="21"/>
    </w:rPr>
  </w:style>
  <w:style w:type="character" w:customStyle="1" w:styleId="16">
    <w:name w:val="标题 3 字符"/>
    <w:link w:val="4"/>
    <w:qFormat/>
    <w:uiPriority w:val="0"/>
    <w:rPr>
      <w:rFonts w:ascii="Times New Roman" w:hAnsi="Times New Roman" w:eastAsia="宋体" w:cs="Times New Roman"/>
      <w:b/>
      <w:bCs/>
      <w:sz w:val="32"/>
      <w:szCs w:val="32"/>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6239</Words>
  <Characters>6695</Characters>
  <Lines>0</Lines>
  <Paragraphs>0</Paragraphs>
  <TotalTime>2</TotalTime>
  <ScaleCrop>false</ScaleCrop>
  <LinksUpToDate>false</LinksUpToDate>
  <CharactersWithSpaces>6844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2024-11-11T06:31:00Z</dcterms:created>
  <dc:creator>罗永山</dc:creator>
  <cp:lastModifiedBy>H</cp:lastModifiedBy>
  <dcterms:modified xsi:type="dcterms:W3CDTF">2025-10-29T06:12:06Z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BEA9378E6FE44CBB8C2E199A7D2BCFDF_11</vt:lpwstr>
  </property>
  <property fmtid="{D5CDD505-2E9C-101B-9397-08002B2CF9AE}" pid="4" name="KSOTemplateDocerSaveRecord">
    <vt:lpwstr>eyJoZGlkIjoiNzg4NjQzNGZmYzgxOTYwOWJjZTNmNzQ0OTk2MTliNzUiLCJ1c2VySWQiOiI1MjUwOTc0MjQifQ==</vt:lpwstr>
  </property>
</Properties>
</file>