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版本号：ZJZBSX-251003-10992.1B120251027001</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采购深紫外光电与荧光测试系统项目(二次)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ZJZBSX-251003-10992.1B1</w:t>
      </w:r>
      <w:r>
        <w:br/>
      </w:r>
      <w:r>
        <w:br/>
      </w:r>
      <w:r>
        <w:br/>
      </w:r>
    </w:p>
    <w:p>
      <w:pPr>
        <w:pStyle w:val="null3"/>
        <w:jc w:val="center"/>
        <w:outlineLvl w:val="2"/>
      </w:pPr>
      <w:r>
        <w:rPr>
          <w:rFonts w:ascii="仿宋_GB2312" w:hAnsi="仿宋_GB2312" w:cs="仿宋_GB2312" w:eastAsia="仿宋_GB2312"/>
          <w:sz w:val="28"/>
          <w:b/>
        </w:rPr>
        <w:t>西安邮电大学</w:t>
      </w:r>
    </w:p>
    <w:p>
      <w:pPr>
        <w:pStyle w:val="null3"/>
        <w:jc w:val="center"/>
        <w:outlineLvl w:val="2"/>
      </w:pPr>
      <w:r>
        <w:rPr>
          <w:rFonts w:ascii="仿宋_GB2312" w:hAnsi="仿宋_GB2312" w:cs="仿宋_GB2312" w:eastAsia="仿宋_GB2312"/>
          <w:sz w:val="28"/>
          <w:b/>
        </w:rPr>
        <w:t>陕西中经招标有限公司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2025年10月28日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陕西中经招标有限公司</w:t>
      </w:r>
      <w:r>
        <w:rPr>
          <w:rFonts w:ascii="仿宋_GB2312" w:hAnsi="仿宋_GB2312" w:cs="仿宋_GB2312" w:eastAsia="仿宋_GB2312"/>
        </w:rPr>
        <w:t>（以下简称“代理机构”）受</w:t>
      </w:r>
      <w:r>
        <w:rPr>
          <w:rFonts w:ascii="仿宋_GB2312" w:hAnsi="仿宋_GB2312" w:cs="仿宋_GB2312" w:eastAsia="仿宋_GB2312"/>
        </w:rPr>
        <w:t>西安邮电大学</w:t>
      </w:r>
      <w:r>
        <w:rPr>
          <w:rFonts w:ascii="仿宋_GB2312" w:hAnsi="仿宋_GB2312" w:cs="仿宋_GB2312" w:eastAsia="仿宋_GB2312"/>
        </w:rPr>
        <w:t>委托，拟对</w:t>
      </w:r>
      <w:r>
        <w:rPr>
          <w:rFonts w:ascii="仿宋_GB2312" w:hAnsi="仿宋_GB2312" w:cs="仿宋_GB2312" w:eastAsia="仿宋_GB2312"/>
        </w:rPr>
        <w:t>采购深紫外光电与荧光测试系统项目(二次)</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ZJZBSX-251003-10992.1B1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采购深紫外光电与荧光测试系统项目(二次)</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采购深紫外光电与荧光测试系统项目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供应商为响应招标并参加投标的合法注册的企业法人、事业法人或其他组织。企业法人应提供合法有效的标识有统一社会信用代码的营业执照；事业法人应提供事业单位法人证书；其他组织应提供合法登记证明文件。供应商需在项目电子化交易系统中按要求上传相应证明文件并进行电子签章。</w:t>
      </w:r>
    </w:p>
    <w:p>
      <w:pPr>
        <w:pStyle w:val="null3"/>
      </w:pPr>
      <w:r>
        <w:rPr>
          <w:rFonts w:ascii="仿宋_GB2312" w:hAnsi="仿宋_GB2312" w:cs="仿宋_GB2312" w:eastAsia="仿宋_GB2312"/>
        </w:rPr>
        <w:t>2、授权委托：供应商应授权合法的人员参加投标全过程，其中法定代表人/负责人直接投标，须提交法定代表人/负责人身份证明书原件和身份证原件。法定代表人/负责人授权代表参加投标的，须出具法定代表人/负责人授权书原件及授权代表身份证原件。供应商需在项目电子化交易系统中按要求上传相应证明文件并进行电子签章。</w:t>
      </w:r>
    </w:p>
    <w:p>
      <w:pPr>
        <w:pStyle w:val="null3"/>
      </w:pPr>
      <w:r>
        <w:rPr>
          <w:rFonts w:ascii="仿宋_GB2312" w:hAnsi="仿宋_GB2312" w:cs="仿宋_GB2312" w:eastAsia="仿宋_GB2312"/>
        </w:rPr>
        <w:t>3、财务状况报告：提供2024年度经会计师事务所签字盖章的完整财务审计报告(财务审计报告包括资产负债表、利润表、现金流量表及财务报表附注，财务审计报告应盖有会计师事务所单位章和注册会计师的执业专用章，并附会计师事务所的营业执照及执业证书复印件，或其开标前三个月内银行出具的资信证明，或财政部门认可的政府采购专业担保机构出具的投标担保函。供应商需在项目电子化交易系统中按要求上传相应证明文件并进行电子签章。</w:t>
      </w:r>
    </w:p>
    <w:p>
      <w:pPr>
        <w:pStyle w:val="null3"/>
      </w:pPr>
      <w:r>
        <w:rPr>
          <w:rFonts w:ascii="仿宋_GB2312" w:hAnsi="仿宋_GB2312" w:cs="仿宋_GB2312" w:eastAsia="仿宋_GB2312"/>
        </w:rPr>
        <w:t>4、社会保障资金缴纳证明：供应商提供2024年10月至投标文件递交截止日已缴存的任意一个月的社会保障资金缴存单据或社保机构开具的社会保险参保缴费情况证明，依法不需要缴纳社会保障资金的供应商应提供相关文件证明。供应商需在项目电子化交易系统中按要求上传相应证明文件并进行电子签章。</w:t>
      </w:r>
    </w:p>
    <w:p>
      <w:pPr>
        <w:pStyle w:val="null3"/>
      </w:pPr>
      <w:r>
        <w:rPr>
          <w:rFonts w:ascii="仿宋_GB2312" w:hAnsi="仿宋_GB2312" w:cs="仿宋_GB2312" w:eastAsia="仿宋_GB2312"/>
        </w:rPr>
        <w:t>5、税收缴纳证明：供应商提供2024年10月至投标文件递交截止日已缴存的任意一个月的纳税证明或完税证明，纳税证明或完税证明上应有代收机构或税务机关的公章，依法免税的供应商应提供相关文件证明。供应商需在项目电子化交易系统中按要求上传相应证明文件并进行电子签章。</w:t>
      </w:r>
    </w:p>
    <w:p>
      <w:pPr>
        <w:pStyle w:val="null3"/>
      </w:pPr>
      <w:r>
        <w:rPr>
          <w:rFonts w:ascii="仿宋_GB2312" w:hAnsi="仿宋_GB2312" w:cs="仿宋_GB2312" w:eastAsia="仿宋_GB2312"/>
        </w:rPr>
        <w:t>6、书面声明（信用记录）：参加本次政府采购活动前3年内在经营活动中没有重大违纪，以及未被列入失信被执行人、重大税收违法案件当事人名单、政府采购严重违法失信行为记录名单的书面声明原件。供应商需在项目电子化交易系统中按要求上传相应证明文件并进行电子签章。</w:t>
      </w:r>
    </w:p>
    <w:p>
      <w:pPr>
        <w:pStyle w:val="null3"/>
      </w:pPr>
      <w:r>
        <w:rPr>
          <w:rFonts w:ascii="仿宋_GB2312" w:hAnsi="仿宋_GB2312" w:cs="仿宋_GB2312" w:eastAsia="仿宋_GB2312"/>
        </w:rPr>
        <w:t>7、承诺书：提供具有履行合同所必需的设备和专业技术能力的承诺原件。供应商需在项目电子化交易系统中按要求上传相应证明文件并进行电子签章。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西安邮电大学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西安市长安区西长安街618号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710199</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西安邮电大学经办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029-88166850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陕西中经招标有限公司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西安市碑林区长安北路8B陕西高速大厦16层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王佼、祝清江、刘婷</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029-87888601-8014</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采购包1：509,000.00元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开户名称：陕西中经招标有限公司</w:t>
            </w:r>
          </w:p>
          <w:p>
            <w:pPr>
              <w:pStyle w:val="null3"/>
            </w:pPr>
            <w:r>
              <w:rPr>
                <w:rFonts w:ascii="仿宋_GB2312" w:hAnsi="仿宋_GB2312" w:cs="仿宋_GB2312" w:eastAsia="仿宋_GB2312"/>
              </w:rPr>
              <w:t>开户银行：中国工商银行股份有限公司大雁塔支行</w:t>
            </w:r>
          </w:p>
          <w:p>
            <w:pPr>
              <w:pStyle w:val="null3"/>
            </w:pPr>
            <w:r>
              <w:rPr>
                <w:rFonts w:ascii="仿宋_GB2312" w:hAnsi="仿宋_GB2312" w:cs="仿宋_GB2312" w:eastAsia="仿宋_GB2312"/>
              </w:rPr>
              <w:t>银行账号：3700022319200103385</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供应商成交后凭成交通知书向采购人缴纳成交金额的5%作为履约保证金，项目验收合格后及时退还。缴纳形式为银行转账等非现金形式，供应商以银行、保险公司出具保函形式提交履约保证金的，采购单位不得拒收。</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代理服务费收费标准：按计价格[2002]1980号文件及发改办【2003】857号文件规定标准（50万元以下按标准的100%、50万元（含）以上按标准的80%）支付。具体以代理机构出具的发票为准。</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西安邮电大学</w:t>
      </w:r>
      <w:r>
        <w:rPr>
          <w:rFonts w:ascii="仿宋_GB2312" w:hAnsi="仿宋_GB2312" w:cs="仿宋_GB2312" w:eastAsia="仿宋_GB2312"/>
        </w:rPr>
        <w:t>和</w:t>
      </w:r>
      <w:r>
        <w:rPr>
          <w:rFonts w:ascii="仿宋_GB2312" w:hAnsi="仿宋_GB2312" w:cs="仿宋_GB2312" w:eastAsia="仿宋_GB2312"/>
        </w:rPr>
        <w:t>陕西中经招标有限公司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西安邮电大学</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陕西中经招标有限公司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西安邮电大学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陕西中经招标有限公司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按谈判文件、响应文件及合同约定执行</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陕西中经招标有限公司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陕西中经招标有限公司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陕西中经招标有限公司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联系人：王佼</w:t>
      </w:r>
    </w:p>
    <w:p>
      <w:pPr>
        <w:pStyle w:val="null3"/>
      </w:pPr>
      <w:r>
        <w:rPr>
          <w:rFonts w:ascii="仿宋_GB2312" w:hAnsi="仿宋_GB2312" w:cs="仿宋_GB2312" w:eastAsia="仿宋_GB2312"/>
        </w:rPr>
        <w:t>联系电话：029-87888601-8014</w:t>
      </w:r>
    </w:p>
    <w:p>
      <w:pPr>
        <w:pStyle w:val="null3"/>
      </w:pPr>
      <w:r>
        <w:rPr>
          <w:rFonts w:ascii="仿宋_GB2312" w:hAnsi="仿宋_GB2312" w:cs="仿宋_GB2312" w:eastAsia="仿宋_GB2312"/>
        </w:rPr>
        <w:t>地址：西安市碑林区长安北路8B陕西高速大厦16层</w:t>
      </w:r>
    </w:p>
    <w:p>
      <w:pPr>
        <w:pStyle w:val="null3"/>
      </w:pPr>
      <w:r>
        <w:rPr>
          <w:rFonts w:ascii="仿宋_GB2312" w:hAnsi="仿宋_GB2312" w:cs="仿宋_GB2312" w:eastAsia="仿宋_GB2312"/>
        </w:rPr>
        <w:t>邮编：710061</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深紫外光电与荧光测试系统作为研究深紫外光与物质相互作用机理的关键核心设备，能够精确测量半导体在深紫外光照射下的光电响应特性、光发射特性及量子效率等关键参数，对于推动半导体领域的科学研究与进步具有重要意义。该系统核心组成需与高精度、高稳定性要求匹配，包含较高功率、高线性的高质量光源和成熟可拓展的应用测试系统，具体包括:激光器、声光调制器、偏振组件、支撑组件、示波显示组件等（详见配置要求），可用于半导体材能带、缺陷、载流子输运物性的基本测量，覆盖瞬态光响应和偏振态调节功能，具备扩展在半导体探针台联合使用的功能，为宽禁带半导体光电探测提供稳定可靠的光源、光路、控制及其测量系统。该系统应具有易用性和维护性，激光器体积紧凑、冷却水/滤网可更换，教学科研操作便捷，且支持 220V 常规电源，适配实验室现有配电条件，在超净室恒定环境下，除波片、反射镜等易损光学元件外，核心设备成熟耐用，可降低长期维护成本。该系统应实现国产化，且在同类型产品中具有较优指标（详见配置要求）。深紫外光电与荧光测试系统的采购能够为新材料开发、光电器件性能优化及应用提供强有力的技术支持，不仅可极大充实本校师生的科研需求，还可用于本科和研究生的实验教学工作，填补本校当前在半导体光电领域测试系统的空白，明显改善教学和科研条件，为提升学校的学科学术水平提供助力。</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509,000.00</w:t>
      </w:r>
    </w:p>
    <w:p>
      <w:pPr>
        <w:pStyle w:val="null3"/>
      </w:pPr>
      <w:r>
        <w:rPr>
          <w:rFonts w:ascii="仿宋_GB2312" w:hAnsi="仿宋_GB2312" w:cs="仿宋_GB2312" w:eastAsia="仿宋_GB2312"/>
        </w:rPr>
        <w:t>采购包最高限价（元）: 509,000.00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深紫外光电与荧光测试系统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509,000.00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标的名称：深紫外光电与荧光测试系统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b/>
                <w:color w:val="000000"/>
              </w:rPr>
              <w:t>1、整体</w:t>
            </w:r>
            <w:r>
              <w:rPr>
                <w:rFonts w:ascii="仿宋_GB2312" w:hAnsi="仿宋_GB2312" w:cs="仿宋_GB2312" w:eastAsia="仿宋_GB2312"/>
                <w:sz w:val="24"/>
                <w:b/>
                <w:color w:val="000000"/>
              </w:rPr>
              <w:t>技术</w:t>
            </w:r>
            <w:r>
              <w:rPr>
                <w:rFonts w:ascii="仿宋_GB2312" w:hAnsi="仿宋_GB2312" w:cs="仿宋_GB2312" w:eastAsia="仿宋_GB2312"/>
                <w:sz w:val="24"/>
                <w:b/>
                <w:color w:val="000000"/>
              </w:rPr>
              <w:t>要求</w:t>
            </w:r>
          </w:p>
          <w:p>
            <w:pPr>
              <w:pStyle w:val="null3"/>
              <w:ind w:firstLine="480"/>
            </w:pPr>
            <w:r>
              <w:rPr>
                <w:rFonts w:ascii="仿宋_GB2312" w:hAnsi="仿宋_GB2312" w:cs="仿宋_GB2312" w:eastAsia="仿宋_GB2312"/>
                <w:sz w:val="24"/>
              </w:rPr>
              <w:t>整体测试性能应满足：在光电信号测试中，激光功率稳定连续可调(到片功率不低于5 mW/cm2，功率稳定性≤1%)，外光路终点光斑抖动≤15μm，且偏振测试可调的角分辨率≤5°(0-360°)，在瞬态光电响应中，时间轴测试精度≤5 ms，电流识别精度≤20 nA，可识别荧光信号，以确保测试数据精度满足高水平科研需求。搭建的光路系统能够覆盖瞬态光响应和偏振态调节功能，具备扩展在半导体探针台联合使用的功能。（投标时须提供承诺书）</w:t>
            </w:r>
          </w:p>
          <w:p>
            <w:pPr>
              <w:pStyle w:val="null3"/>
              <w:ind w:firstLine="480"/>
            </w:pPr>
            <w:r>
              <w:rPr>
                <w:rFonts w:ascii="仿宋_GB2312" w:hAnsi="仿宋_GB2312" w:cs="仿宋_GB2312" w:eastAsia="仿宋_GB2312"/>
                <w:sz w:val="24"/>
                <w:b/>
              </w:rPr>
              <w:t>★2、高稳定激光器</w:t>
            </w:r>
            <w:r>
              <w:rPr>
                <w:rFonts w:ascii="仿宋_GB2312" w:hAnsi="仿宋_GB2312" w:cs="仿宋_GB2312" w:eastAsia="仿宋_GB2312"/>
                <w:sz w:val="24"/>
                <w:b/>
              </w:rPr>
              <w:t>模块（核心产品）</w:t>
            </w:r>
            <w:r>
              <w:rPr>
                <w:rFonts w:ascii="仿宋_GB2312" w:hAnsi="仿宋_GB2312" w:cs="仿宋_GB2312" w:eastAsia="仿宋_GB2312"/>
                <w:sz w:val="24"/>
              </w:rPr>
              <w:t>：</w:t>
            </w:r>
          </w:p>
          <w:p>
            <w:pPr>
              <w:pStyle w:val="null3"/>
              <w:ind w:firstLine="480"/>
            </w:pPr>
            <w:r>
              <w:rPr>
                <w:rFonts w:ascii="仿宋_GB2312" w:hAnsi="仿宋_GB2312" w:cs="仿宋_GB2312" w:eastAsia="仿宋_GB2312"/>
                <w:sz w:val="24"/>
              </w:rPr>
              <w:t>2.1中心波长≤263nm</w:t>
            </w:r>
          </w:p>
          <w:p>
            <w:pPr>
              <w:pStyle w:val="null3"/>
              <w:ind w:firstLine="480"/>
            </w:pPr>
            <w:r>
              <w:rPr>
                <w:rFonts w:ascii="仿宋_GB2312" w:hAnsi="仿宋_GB2312" w:cs="仿宋_GB2312" w:eastAsia="仿宋_GB2312"/>
                <w:sz w:val="24"/>
              </w:rPr>
              <w:t>2.2输出功率≥60mW</w:t>
            </w:r>
          </w:p>
          <w:p>
            <w:pPr>
              <w:pStyle w:val="null3"/>
              <w:ind w:firstLine="480"/>
            </w:pPr>
            <w:r>
              <w:rPr>
                <w:rFonts w:ascii="仿宋_GB2312" w:hAnsi="仿宋_GB2312" w:cs="仿宋_GB2312" w:eastAsia="仿宋_GB2312"/>
                <w:sz w:val="24"/>
              </w:rPr>
              <w:t>2.3连续工作模式，功率稳定性≤1%（rms, 4hours）</w:t>
            </w:r>
          </w:p>
          <w:p>
            <w:pPr>
              <w:pStyle w:val="null3"/>
              <w:ind w:firstLine="480"/>
            </w:pPr>
            <w:r>
              <w:rPr>
                <w:rFonts w:ascii="仿宋_GB2312" w:hAnsi="仿宋_GB2312" w:cs="仿宋_GB2312" w:eastAsia="仿宋_GB2312"/>
                <w:sz w:val="24"/>
              </w:rPr>
              <w:t>2.4光束直径≤3mm，全角发散角≤3mrad</w:t>
            </w:r>
          </w:p>
          <w:p>
            <w:pPr>
              <w:pStyle w:val="null3"/>
              <w:ind w:firstLine="480"/>
            </w:pPr>
            <w:r>
              <w:rPr>
                <w:rFonts w:ascii="仿宋_GB2312" w:hAnsi="仿宋_GB2312" w:cs="仿宋_GB2312" w:eastAsia="仿宋_GB2312"/>
                <w:sz w:val="24"/>
              </w:rPr>
              <w:t>2.5水冷冷却方式</w:t>
            </w:r>
          </w:p>
          <w:p>
            <w:pPr>
              <w:pStyle w:val="null3"/>
              <w:ind w:firstLine="480"/>
            </w:pPr>
            <w:r>
              <w:rPr>
                <w:rFonts w:ascii="仿宋_GB2312" w:hAnsi="仿宋_GB2312" w:cs="仿宋_GB2312" w:eastAsia="仿宋_GB2312"/>
                <w:sz w:val="24"/>
              </w:rPr>
              <w:t>2.6电源直流供电；</w:t>
            </w:r>
          </w:p>
          <w:p>
            <w:pPr>
              <w:pStyle w:val="null3"/>
              <w:ind w:firstLine="480"/>
              <w:jc w:val="both"/>
            </w:pPr>
            <w:r>
              <w:rPr>
                <w:rFonts w:ascii="仿宋_GB2312" w:hAnsi="仿宋_GB2312" w:cs="仿宋_GB2312" w:eastAsia="仿宋_GB2312"/>
                <w:sz w:val="24"/>
                <w:b/>
              </w:rPr>
              <w:t>3、激光功率计</w:t>
            </w:r>
            <w:r>
              <w:rPr>
                <w:rFonts w:ascii="仿宋_GB2312" w:hAnsi="仿宋_GB2312" w:cs="仿宋_GB2312" w:eastAsia="仿宋_GB2312"/>
                <w:sz w:val="24"/>
                <w:b/>
              </w:rPr>
              <w:t>模块</w:t>
            </w:r>
            <w:r>
              <w:rPr>
                <w:rFonts w:ascii="仿宋_GB2312" w:hAnsi="仿宋_GB2312" w:cs="仿宋_GB2312" w:eastAsia="仿宋_GB2312"/>
                <w:sz w:val="24"/>
                <w:b/>
              </w:rPr>
              <w:t>：</w:t>
            </w:r>
          </w:p>
          <w:p>
            <w:pPr>
              <w:pStyle w:val="null3"/>
              <w:ind w:firstLine="480"/>
              <w:jc w:val="both"/>
            </w:pPr>
            <w:r>
              <w:rPr>
                <w:rFonts w:ascii="仿宋_GB2312" w:hAnsi="仿宋_GB2312" w:cs="仿宋_GB2312" w:eastAsia="仿宋_GB2312"/>
                <w:sz w:val="24"/>
              </w:rPr>
              <w:t>3.1探测波长范围200-1100nm</w:t>
            </w:r>
          </w:p>
          <w:p>
            <w:pPr>
              <w:pStyle w:val="null3"/>
              <w:ind w:firstLine="480"/>
              <w:jc w:val="both"/>
            </w:pPr>
            <w:r>
              <w:rPr>
                <w:rFonts w:ascii="仿宋_GB2312" w:hAnsi="仿宋_GB2312" w:cs="仿宋_GB2312" w:eastAsia="仿宋_GB2312"/>
                <w:sz w:val="24"/>
              </w:rPr>
              <w:t>3.2功率测量范围1nW-1000mW</w:t>
            </w:r>
          </w:p>
          <w:p>
            <w:pPr>
              <w:pStyle w:val="null3"/>
              <w:ind w:firstLine="480"/>
              <w:jc w:val="both"/>
            </w:pPr>
            <w:r>
              <w:rPr>
                <w:rFonts w:ascii="仿宋_GB2312" w:hAnsi="仿宋_GB2312" w:cs="仿宋_GB2312" w:eastAsia="仿宋_GB2312"/>
                <w:sz w:val="24"/>
              </w:rPr>
              <w:t>3.3探测直径≥1cm；</w:t>
            </w:r>
          </w:p>
          <w:p>
            <w:pPr>
              <w:pStyle w:val="null3"/>
              <w:ind w:firstLine="482"/>
            </w:pPr>
            <w:r>
              <w:rPr>
                <w:rFonts w:ascii="仿宋_GB2312" w:hAnsi="仿宋_GB2312" w:cs="仿宋_GB2312" w:eastAsia="仿宋_GB2312"/>
                <w:sz w:val="24"/>
                <w:b/>
              </w:rPr>
              <w:t>4、</w:t>
            </w:r>
            <w:r>
              <w:rPr>
                <w:rFonts w:ascii="仿宋_GB2312" w:hAnsi="仿宋_GB2312" w:cs="仿宋_GB2312" w:eastAsia="仿宋_GB2312"/>
                <w:sz w:val="24"/>
                <w:b/>
              </w:rPr>
              <w:t>紫外显示卡</w:t>
            </w:r>
            <w:r>
              <w:rPr>
                <w:rFonts w:ascii="仿宋_GB2312" w:hAnsi="仿宋_GB2312" w:cs="仿宋_GB2312" w:eastAsia="仿宋_GB2312"/>
                <w:sz w:val="24"/>
              </w:rPr>
              <w:t>：显示波长范围≥200nm；</w:t>
            </w:r>
          </w:p>
          <w:p>
            <w:pPr>
              <w:pStyle w:val="null3"/>
              <w:ind w:firstLine="482"/>
            </w:pPr>
            <w:r>
              <w:rPr>
                <w:rFonts w:ascii="仿宋_GB2312" w:hAnsi="仿宋_GB2312" w:cs="仿宋_GB2312" w:eastAsia="仿宋_GB2312"/>
                <w:sz w:val="24"/>
                <w:b/>
              </w:rPr>
              <w:t>5、紫外波段反射镜模块</w:t>
            </w:r>
            <w:r>
              <w:rPr>
                <w:rFonts w:ascii="仿宋_GB2312" w:hAnsi="仿宋_GB2312" w:cs="仿宋_GB2312" w:eastAsia="仿宋_GB2312"/>
                <w:sz w:val="24"/>
              </w:rPr>
              <w:t>：石英材料*2，含可调节反射镜支架，须匹配学校现有的国产探针台测试；</w:t>
            </w:r>
          </w:p>
          <w:p>
            <w:pPr>
              <w:pStyle w:val="null3"/>
              <w:ind w:firstLine="480"/>
            </w:pPr>
            <w:r>
              <w:rPr>
                <w:rFonts w:ascii="仿宋_GB2312" w:hAnsi="仿宋_GB2312" w:cs="仿宋_GB2312" w:eastAsia="仿宋_GB2312"/>
                <w:sz w:val="24"/>
                <w:b/>
              </w:rPr>
              <w:t>6、</w:t>
            </w:r>
            <w:r>
              <w:rPr>
                <w:rFonts w:ascii="仿宋_GB2312" w:hAnsi="仿宋_GB2312" w:cs="仿宋_GB2312" w:eastAsia="仿宋_GB2312"/>
                <w:sz w:val="24"/>
                <w:b/>
              </w:rPr>
              <w:t>探头组件</w:t>
            </w:r>
            <w:r>
              <w:rPr>
                <w:rFonts w:ascii="仿宋_GB2312" w:hAnsi="仿宋_GB2312" w:cs="仿宋_GB2312" w:eastAsia="仿宋_GB2312"/>
                <w:sz w:val="24"/>
                <w:b/>
              </w:rPr>
              <w:t>模块</w:t>
            </w:r>
            <w:r>
              <w:rPr>
                <w:rFonts w:ascii="仿宋_GB2312" w:hAnsi="仿宋_GB2312" w:cs="仿宋_GB2312" w:eastAsia="仿宋_GB2312"/>
                <w:sz w:val="24"/>
              </w:rPr>
              <w:t>：</w:t>
            </w:r>
          </w:p>
          <w:p>
            <w:pPr>
              <w:pStyle w:val="null3"/>
              <w:ind w:firstLine="480"/>
            </w:pPr>
            <w:r>
              <w:rPr>
                <w:rFonts w:ascii="仿宋_GB2312" w:hAnsi="仿宋_GB2312" w:cs="仿宋_GB2312" w:eastAsia="仿宋_GB2312"/>
                <w:sz w:val="24"/>
              </w:rPr>
              <w:t>6.1荧光探头：紫外可见光波段</w:t>
            </w:r>
          </w:p>
          <w:p>
            <w:pPr>
              <w:pStyle w:val="null3"/>
              <w:ind w:firstLine="480"/>
            </w:pPr>
            <w:r>
              <w:rPr>
                <w:rFonts w:ascii="仿宋_GB2312" w:hAnsi="仿宋_GB2312" w:cs="仿宋_GB2312" w:eastAsia="仿宋_GB2312"/>
                <w:sz w:val="24"/>
              </w:rPr>
              <w:t>6.2光纤长度≥150cm</w:t>
            </w:r>
          </w:p>
          <w:p>
            <w:pPr>
              <w:pStyle w:val="null3"/>
              <w:ind w:firstLine="480"/>
            </w:pPr>
            <w:r>
              <w:rPr>
                <w:rFonts w:ascii="仿宋_GB2312" w:hAnsi="仿宋_GB2312" w:cs="仿宋_GB2312" w:eastAsia="仿宋_GB2312"/>
                <w:sz w:val="24"/>
              </w:rPr>
              <w:t>6.3长通滤光片，截止波长≤263nm，OD＞6@263nm</w:t>
            </w:r>
          </w:p>
          <w:p>
            <w:pPr>
              <w:pStyle w:val="null3"/>
              <w:ind w:firstLine="480"/>
            </w:pPr>
            <w:r>
              <w:rPr>
                <w:rFonts w:ascii="仿宋_GB2312" w:hAnsi="仿宋_GB2312" w:cs="仿宋_GB2312" w:eastAsia="仿宋_GB2312"/>
                <w:sz w:val="24"/>
              </w:rPr>
              <w:t>6.4激光光纤耦合器</w:t>
            </w:r>
          </w:p>
          <w:p>
            <w:pPr>
              <w:pStyle w:val="null3"/>
              <w:ind w:firstLine="480"/>
            </w:pPr>
            <w:r>
              <w:rPr>
                <w:rFonts w:ascii="仿宋_GB2312" w:hAnsi="仿宋_GB2312" w:cs="仿宋_GB2312" w:eastAsia="仿宋_GB2312"/>
                <w:sz w:val="24"/>
              </w:rPr>
              <w:t>6.5探头升降支架：支撑固定探头，并进行多维调节，使激光和探头的聚焦光聚焦到样品上；</w:t>
            </w:r>
          </w:p>
          <w:p>
            <w:pPr>
              <w:pStyle w:val="null3"/>
              <w:ind w:firstLine="480"/>
            </w:pPr>
            <w:r>
              <w:rPr>
                <w:rFonts w:ascii="仿宋_GB2312" w:hAnsi="仿宋_GB2312" w:cs="仿宋_GB2312" w:eastAsia="仿宋_GB2312"/>
                <w:sz w:val="24"/>
                <w:b/>
              </w:rPr>
              <w:t>7、</w:t>
            </w:r>
            <w:r>
              <w:rPr>
                <w:rFonts w:ascii="仿宋_GB2312" w:hAnsi="仿宋_GB2312" w:cs="仿宋_GB2312" w:eastAsia="仿宋_GB2312"/>
                <w:sz w:val="24"/>
                <w:b/>
              </w:rPr>
              <w:t>多功能光学</w:t>
            </w:r>
            <w:r>
              <w:rPr>
                <w:rFonts w:ascii="仿宋_GB2312" w:hAnsi="仿宋_GB2312" w:cs="仿宋_GB2312" w:eastAsia="仿宋_GB2312"/>
                <w:sz w:val="24"/>
                <w:b/>
              </w:rPr>
              <w:t>模块</w:t>
            </w:r>
            <w:r>
              <w:rPr>
                <w:rFonts w:ascii="仿宋_GB2312" w:hAnsi="仿宋_GB2312" w:cs="仿宋_GB2312" w:eastAsia="仿宋_GB2312"/>
                <w:sz w:val="24"/>
              </w:rPr>
              <w:t>：含支撑架，组合所用光路，使光学平台上各元件光轴等高，底座可以在XY方向水平微调，配备光路保护；</w:t>
            </w:r>
          </w:p>
          <w:p>
            <w:pPr>
              <w:pStyle w:val="null3"/>
              <w:ind w:firstLine="480"/>
            </w:pPr>
            <w:r>
              <w:rPr>
                <w:rFonts w:ascii="仿宋_GB2312" w:hAnsi="仿宋_GB2312" w:cs="仿宋_GB2312" w:eastAsia="仿宋_GB2312"/>
                <w:sz w:val="24"/>
                <w:b/>
              </w:rPr>
              <w:t>8、</w:t>
            </w:r>
            <w:r>
              <w:rPr>
                <w:rFonts w:ascii="仿宋_GB2312" w:hAnsi="仿宋_GB2312" w:cs="仿宋_GB2312" w:eastAsia="仿宋_GB2312"/>
                <w:sz w:val="24"/>
                <w:b/>
              </w:rPr>
              <w:t>偏振组件</w:t>
            </w:r>
            <w:r>
              <w:rPr>
                <w:rFonts w:ascii="仿宋_GB2312" w:hAnsi="仿宋_GB2312" w:cs="仿宋_GB2312" w:eastAsia="仿宋_GB2312"/>
                <w:sz w:val="24"/>
                <w:b/>
              </w:rPr>
              <w:t>模块</w:t>
            </w:r>
            <w:r>
              <w:rPr>
                <w:rFonts w:ascii="仿宋_GB2312" w:hAnsi="仿宋_GB2312" w:cs="仿宋_GB2312" w:eastAsia="仿宋_GB2312"/>
                <w:sz w:val="24"/>
              </w:rPr>
              <w:t>：含起偏器、1/2波片、1/4波片，石英材料，旋转调节镜座及支架；</w:t>
            </w:r>
          </w:p>
          <w:p>
            <w:pPr>
              <w:pStyle w:val="null3"/>
              <w:ind w:firstLine="480"/>
            </w:pPr>
            <w:r>
              <w:rPr>
                <w:rFonts w:ascii="仿宋_GB2312" w:hAnsi="仿宋_GB2312" w:cs="仿宋_GB2312" w:eastAsia="仿宋_GB2312"/>
                <w:sz w:val="24"/>
                <w:b/>
              </w:rPr>
              <w:t>9、</w:t>
            </w:r>
            <w:r>
              <w:rPr>
                <w:rFonts w:ascii="仿宋_GB2312" w:hAnsi="仿宋_GB2312" w:cs="仿宋_GB2312" w:eastAsia="仿宋_GB2312"/>
                <w:sz w:val="24"/>
                <w:b/>
              </w:rPr>
              <w:t>光学平台</w:t>
            </w:r>
            <w:r>
              <w:rPr>
                <w:rFonts w:ascii="仿宋_GB2312" w:hAnsi="仿宋_GB2312" w:cs="仿宋_GB2312" w:eastAsia="仿宋_GB2312"/>
                <w:sz w:val="24"/>
                <w:b/>
              </w:rPr>
              <w:t>模块</w:t>
            </w:r>
            <w:r>
              <w:rPr>
                <w:rFonts w:ascii="仿宋_GB2312" w:hAnsi="仿宋_GB2312" w:cs="仿宋_GB2312" w:eastAsia="仿宋_GB2312"/>
                <w:sz w:val="24"/>
              </w:rPr>
              <w:t>：承载激光器和外部光路，配备隔振系统；</w:t>
            </w:r>
          </w:p>
          <w:p>
            <w:pPr>
              <w:pStyle w:val="null3"/>
              <w:ind w:firstLine="480"/>
            </w:pPr>
            <w:r>
              <w:rPr>
                <w:rFonts w:ascii="仿宋_GB2312" w:hAnsi="仿宋_GB2312" w:cs="仿宋_GB2312" w:eastAsia="仿宋_GB2312"/>
                <w:sz w:val="24"/>
                <w:b/>
              </w:rPr>
              <w:t>10、</w:t>
            </w:r>
            <w:r>
              <w:rPr>
                <w:rFonts w:ascii="仿宋_GB2312" w:hAnsi="仿宋_GB2312" w:cs="仿宋_GB2312" w:eastAsia="仿宋_GB2312"/>
                <w:sz w:val="24"/>
                <w:b/>
              </w:rPr>
              <w:t>声光调制器</w:t>
            </w:r>
            <w:r>
              <w:rPr>
                <w:rFonts w:ascii="仿宋_GB2312" w:hAnsi="仿宋_GB2312" w:cs="仿宋_GB2312" w:eastAsia="仿宋_GB2312"/>
                <w:sz w:val="24"/>
                <w:b/>
              </w:rPr>
              <w:t>模块</w:t>
            </w:r>
            <w:r>
              <w:rPr>
                <w:rFonts w:ascii="仿宋_GB2312" w:hAnsi="仿宋_GB2312" w:cs="仿宋_GB2312" w:eastAsia="仿宋_GB2312"/>
                <w:sz w:val="24"/>
              </w:rPr>
              <w:t>：</w:t>
            </w:r>
          </w:p>
          <w:p>
            <w:pPr>
              <w:pStyle w:val="null3"/>
              <w:ind w:firstLine="480"/>
            </w:pPr>
            <w:r>
              <w:rPr>
                <w:rFonts w:ascii="仿宋_GB2312" w:hAnsi="仿宋_GB2312" w:cs="仿宋_GB2312" w:eastAsia="仿宋_GB2312"/>
                <w:sz w:val="24"/>
              </w:rPr>
              <w:t>10.1工作波长≤263nm</w:t>
            </w:r>
          </w:p>
          <w:p>
            <w:pPr>
              <w:pStyle w:val="null3"/>
              <w:ind w:firstLine="480"/>
            </w:pPr>
            <w:r>
              <w:rPr>
                <w:rFonts w:ascii="仿宋_GB2312" w:hAnsi="仿宋_GB2312" w:cs="仿宋_GB2312" w:eastAsia="仿宋_GB2312"/>
                <w:sz w:val="24"/>
              </w:rPr>
              <w:t>10.2衍射效率≥80%</w:t>
            </w:r>
          </w:p>
          <w:p>
            <w:pPr>
              <w:pStyle w:val="null3"/>
              <w:ind w:firstLine="480"/>
            </w:pPr>
            <w:r>
              <w:rPr>
                <w:rFonts w:ascii="仿宋_GB2312" w:hAnsi="仿宋_GB2312" w:cs="仿宋_GB2312" w:eastAsia="仿宋_GB2312"/>
                <w:sz w:val="24"/>
              </w:rPr>
              <w:t>10.3最高调制频率≥100Mhz</w:t>
            </w:r>
          </w:p>
          <w:p>
            <w:pPr>
              <w:pStyle w:val="null3"/>
              <w:ind w:firstLine="480"/>
            </w:pPr>
            <w:r>
              <w:rPr>
                <w:rFonts w:ascii="仿宋_GB2312" w:hAnsi="仿宋_GB2312" w:cs="仿宋_GB2312" w:eastAsia="仿宋_GB2312"/>
                <w:sz w:val="24"/>
                <w:b/>
              </w:rPr>
              <w:t>11、</w:t>
            </w:r>
            <w:r>
              <w:rPr>
                <w:rFonts w:ascii="仿宋_GB2312" w:hAnsi="仿宋_GB2312" w:cs="仿宋_GB2312" w:eastAsia="仿宋_GB2312"/>
                <w:sz w:val="24"/>
                <w:b/>
              </w:rPr>
              <w:t>信号发生器</w:t>
            </w:r>
            <w:r>
              <w:rPr>
                <w:rFonts w:ascii="仿宋_GB2312" w:hAnsi="仿宋_GB2312" w:cs="仿宋_GB2312" w:eastAsia="仿宋_GB2312"/>
                <w:sz w:val="24"/>
                <w:b/>
              </w:rPr>
              <w:t>模块</w:t>
            </w:r>
            <w:r>
              <w:rPr>
                <w:rFonts w:ascii="仿宋_GB2312" w:hAnsi="仿宋_GB2312" w:cs="仿宋_GB2312" w:eastAsia="仿宋_GB2312"/>
                <w:sz w:val="24"/>
              </w:rPr>
              <w:t>：</w:t>
            </w:r>
          </w:p>
          <w:p>
            <w:pPr>
              <w:pStyle w:val="null3"/>
              <w:ind w:firstLine="480"/>
            </w:pPr>
            <w:r>
              <w:rPr>
                <w:rFonts w:ascii="仿宋_GB2312" w:hAnsi="仿宋_GB2312" w:cs="仿宋_GB2312" w:eastAsia="仿宋_GB2312"/>
                <w:sz w:val="24"/>
              </w:rPr>
              <w:t>11.1最高输出频率≥80MHz</w:t>
            </w:r>
          </w:p>
          <w:p>
            <w:pPr>
              <w:pStyle w:val="null3"/>
              <w:ind w:firstLine="480"/>
            </w:pPr>
            <w:r>
              <w:rPr>
                <w:rFonts w:ascii="仿宋_GB2312" w:hAnsi="仿宋_GB2312" w:cs="仿宋_GB2312" w:eastAsia="仿宋_GB2312"/>
                <w:sz w:val="24"/>
              </w:rPr>
              <w:t>11.2最高采样率≥200Msa/s，垂直分辨率≥12bit；</w:t>
            </w:r>
          </w:p>
          <w:p>
            <w:pPr>
              <w:pStyle w:val="null3"/>
              <w:ind w:firstLine="480"/>
            </w:pPr>
            <w:r>
              <w:rPr>
                <w:rFonts w:ascii="仿宋_GB2312" w:hAnsi="仿宋_GB2312" w:cs="仿宋_GB2312" w:eastAsia="仿宋_GB2312"/>
                <w:sz w:val="24"/>
                <w:b/>
              </w:rPr>
              <w:t>12、</w:t>
            </w:r>
            <w:r>
              <w:rPr>
                <w:rFonts w:ascii="仿宋_GB2312" w:hAnsi="仿宋_GB2312" w:cs="仿宋_GB2312" w:eastAsia="仿宋_GB2312"/>
                <w:sz w:val="24"/>
                <w:b/>
              </w:rPr>
              <w:t>示波器</w:t>
            </w:r>
            <w:r>
              <w:rPr>
                <w:rFonts w:ascii="仿宋_GB2312" w:hAnsi="仿宋_GB2312" w:cs="仿宋_GB2312" w:eastAsia="仿宋_GB2312"/>
                <w:sz w:val="24"/>
                <w:b/>
              </w:rPr>
              <w:t>模块</w:t>
            </w:r>
            <w:r>
              <w:rPr>
                <w:rFonts w:ascii="仿宋_GB2312" w:hAnsi="仿宋_GB2312" w:cs="仿宋_GB2312" w:eastAsia="仿宋_GB2312"/>
                <w:sz w:val="24"/>
              </w:rPr>
              <w:t>：</w:t>
            </w:r>
          </w:p>
          <w:p>
            <w:pPr>
              <w:pStyle w:val="null3"/>
              <w:ind w:firstLine="480"/>
            </w:pPr>
            <w:r>
              <w:rPr>
                <w:rFonts w:ascii="仿宋_GB2312" w:hAnsi="仿宋_GB2312" w:cs="仿宋_GB2312" w:eastAsia="仿宋_GB2312"/>
                <w:sz w:val="24"/>
              </w:rPr>
              <w:t>12.1实时采样率≥1Gsa/s（每通道），最大存储深度≥300Mpts，双通道以上</w:t>
            </w:r>
          </w:p>
          <w:p>
            <w:pPr>
              <w:pStyle w:val="null3"/>
              <w:ind w:firstLine="480"/>
            </w:pPr>
            <w:r>
              <w:rPr>
                <w:rFonts w:ascii="仿宋_GB2312" w:hAnsi="仿宋_GB2312" w:cs="仿宋_GB2312" w:eastAsia="仿宋_GB2312"/>
                <w:sz w:val="24"/>
              </w:rPr>
              <w:t>12.2带宽DC≥800MHz，垂直分辨率≥10bit，频率自动选取；</w:t>
            </w:r>
          </w:p>
          <w:p>
            <w:pPr>
              <w:pStyle w:val="null3"/>
              <w:ind w:firstLine="480"/>
            </w:pPr>
            <w:r>
              <w:rPr>
                <w:rFonts w:ascii="仿宋_GB2312" w:hAnsi="仿宋_GB2312" w:cs="仿宋_GB2312" w:eastAsia="仿宋_GB2312"/>
                <w:sz w:val="24"/>
                <w:b/>
              </w:rPr>
              <w:t>13、</w:t>
            </w:r>
            <w:r>
              <w:rPr>
                <w:rFonts w:ascii="仿宋_GB2312" w:hAnsi="仿宋_GB2312" w:cs="仿宋_GB2312" w:eastAsia="仿宋_GB2312"/>
                <w:sz w:val="24"/>
                <w:b/>
              </w:rPr>
              <w:t>光电倍增管</w:t>
            </w:r>
            <w:r>
              <w:rPr>
                <w:rFonts w:ascii="仿宋_GB2312" w:hAnsi="仿宋_GB2312" w:cs="仿宋_GB2312" w:eastAsia="仿宋_GB2312"/>
                <w:sz w:val="24"/>
                <w:b/>
              </w:rPr>
              <w:t>模块</w:t>
            </w:r>
            <w:r>
              <w:rPr>
                <w:rFonts w:ascii="仿宋_GB2312" w:hAnsi="仿宋_GB2312" w:cs="仿宋_GB2312" w:eastAsia="仿宋_GB2312"/>
                <w:sz w:val="24"/>
              </w:rPr>
              <w:t>：</w:t>
            </w:r>
          </w:p>
          <w:p>
            <w:pPr>
              <w:pStyle w:val="null3"/>
              <w:ind w:firstLine="480"/>
            </w:pPr>
            <w:r>
              <w:rPr>
                <w:rFonts w:ascii="仿宋_GB2312" w:hAnsi="仿宋_GB2312" w:cs="仿宋_GB2312" w:eastAsia="仿宋_GB2312"/>
                <w:sz w:val="24"/>
              </w:rPr>
              <w:t>13.1波长范围185-900nm</w:t>
            </w:r>
          </w:p>
          <w:p>
            <w:pPr>
              <w:pStyle w:val="null3"/>
              <w:ind w:firstLine="480"/>
            </w:pPr>
            <w:r>
              <w:rPr>
                <w:rFonts w:ascii="仿宋_GB2312" w:hAnsi="仿宋_GB2312" w:cs="仿宋_GB2312" w:eastAsia="仿宋_GB2312"/>
                <w:sz w:val="24"/>
              </w:rPr>
              <w:t>13.2峰值量子效率≥20%</w:t>
            </w:r>
          </w:p>
          <w:p>
            <w:pPr>
              <w:pStyle w:val="null3"/>
              <w:jc w:val="both"/>
            </w:pPr>
            <w:r>
              <w:rPr>
                <w:rFonts w:ascii="仿宋_GB2312" w:hAnsi="仿宋_GB2312" w:cs="仿宋_GB2312" w:eastAsia="仿宋_GB2312"/>
                <w:sz w:val="24"/>
              </w:rPr>
              <w:t xml:space="preserve">   13.3电流信号输出模式。</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4"/>
                <w:b/>
              </w:rPr>
              <w:t>1、培训</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.1</w:t>
            </w:r>
            <w:r>
              <w:rPr>
                <w:rFonts w:ascii="仿宋_GB2312" w:hAnsi="仿宋_GB2312" w:cs="仿宋_GB2312" w:eastAsia="仿宋_GB2312"/>
                <w:sz w:val="24"/>
              </w:rPr>
              <w:t>供应商</w:t>
            </w:r>
            <w:r>
              <w:rPr>
                <w:rFonts w:ascii="仿宋_GB2312" w:hAnsi="仿宋_GB2312" w:cs="仿宋_GB2312" w:eastAsia="仿宋_GB2312"/>
                <w:sz w:val="24"/>
              </w:rPr>
              <w:t>有义务为用户提供仪器使用培训和应用培训，培训费用由</w:t>
            </w:r>
            <w:r>
              <w:rPr>
                <w:rFonts w:ascii="仿宋_GB2312" w:hAnsi="仿宋_GB2312" w:cs="仿宋_GB2312" w:eastAsia="仿宋_GB2312"/>
                <w:sz w:val="24"/>
              </w:rPr>
              <w:t>供应商</w:t>
            </w:r>
            <w:r>
              <w:rPr>
                <w:rFonts w:ascii="仿宋_GB2312" w:hAnsi="仿宋_GB2312" w:cs="仿宋_GB2312" w:eastAsia="仿宋_GB2312"/>
                <w:sz w:val="24"/>
              </w:rPr>
              <w:t>承担。</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.2仪器使用培训的内容包括：仪器的使用操作、日常的维护保养及简单的故障维修，使用户能够独立使用和获取正确的数据。培训完成后，</w:t>
            </w:r>
            <w:r>
              <w:rPr>
                <w:rFonts w:ascii="仿宋_GB2312" w:hAnsi="仿宋_GB2312" w:cs="仿宋_GB2312" w:eastAsia="仿宋_GB2312"/>
                <w:sz w:val="24"/>
              </w:rPr>
              <w:t>供应商</w:t>
            </w:r>
            <w:r>
              <w:rPr>
                <w:rFonts w:ascii="仿宋_GB2312" w:hAnsi="仿宋_GB2312" w:cs="仿宋_GB2312" w:eastAsia="仿宋_GB2312"/>
                <w:sz w:val="24"/>
              </w:rPr>
              <w:t>需提供仪器的使用手册和常规故障排除说明。</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.3应用培训的内容需根据用户具体情况安排有针对性的应用培训。</w:t>
            </w:r>
          </w:p>
          <w:p>
            <w:pPr>
              <w:pStyle w:val="null3"/>
              <w:jc w:val="both"/>
            </w:pPr>
            <w:r>
              <w:rPr>
                <w:rFonts w:ascii="仿宋_GB2312" w:hAnsi="仿宋_GB2312" w:cs="仿宋_GB2312" w:eastAsia="仿宋_GB2312"/>
                <w:sz w:val="24"/>
                <w:b/>
              </w:rPr>
              <w:t>2、其他要求：供应商为用户提供至少一次免费设备移机服务</w:t>
            </w:r>
          </w:p>
          <w:p>
            <w:pPr>
              <w:pStyle w:val="null3"/>
              <w:jc w:val="both"/>
            </w:pP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4"/>
              </w:rPr>
              <w:t>注:带“★”的参数需求为实质性要求，供应商必须响应并满足的参数需求，并提供佐证材料（包含但不限于第三方检测报告或官网截图或使用说明书或产品彩页等）</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合同签订后45日历天内</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西安邮电大学指定地点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货到安装调试完成后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待验收合格后，凭成交供应商开具全额增值税专用发票</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到货验收由采购方组织实施。（2）采购方根据合同要求对货物进行验收，确认货物的产地、规格、型号和数量。如果有必要可通采购代理机构并邀请有关专家验收。（3）现场安装调试，培训时应指导实验室至少5人掌握基本测试方法，2人完全掌握安装拆卸、维护和光路调节方法，测试合格培训完成后验收。（4）验收依据：①招标文件、投标文件、澄清表（函）；②本合同及附件文本；③国家相应的标准、规范。</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照国家质量保修相关条例执行，测试合格培训完成并验收后起算，整机质保3年。在保修期内，任何由供应商选材和制造不当引起的质量问题，供应商负责免费维修。设备出现故障时，供应商必须在收到用户正式通知后的24小时内响应；如需现场服务，供应商需在3日内派出维修人员到达用户现场进行维修服务。保修期满后，供应商需提供终身维修服务，并保证零配件的供应。（2）免费送货上门，免费按采购人要求安装调试，免费技术培训，直至操作人员熟练操作产品的各项功能。</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按谈判文件、响应文件及合同约定执行</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为顺利推进政府采购电子化交易平台应用工作，供应商需要在线提交所有通过电子化交易平台实施的政府采购项目的响应文件，同时线下提交响应文件叁份。纸质响应文件建议A4纸双面打印、装订成册、编制页码及目录、密封并加盖公章，邮寄或现场提交均可。</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供应商为响应招标并参加投标的合法注册的企业法人、事业法人或其他组织。企业法人应提供合法有效的标识有统一社会信用代码的营业执照；事业法人应提供事业单位法人证书；其他组织应提供合法登记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授权委托</w:t>
            </w:r>
          </w:p>
        </w:tc>
        <w:tc>
          <w:tcPr>
            <w:tcW w:type="dxa" w:w="3322"/>
          </w:tcPr>
          <w:p>
            <w:pPr>
              <w:pStyle w:val="null3"/>
            </w:pPr>
            <w:r>
              <w:rPr>
                <w:rFonts w:ascii="仿宋_GB2312" w:hAnsi="仿宋_GB2312" w:cs="仿宋_GB2312" w:eastAsia="仿宋_GB2312"/>
              </w:rPr>
              <w:t>供应商应授权合法的人员参加投标全过程，其中法定代表人/负责人直接投标，须提交法定代表人/负责人身份证明书原件和身份证原件。法定代表人/负责人授权代表参加投标的，须出具法定代表人/负责人授权书原件及授权代表身份证原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附件（授权、书面声明、承诺）.docx 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会计师事务所签字盖章的完整财务审计报告(财务审计报告包括资产负债表、利润表、现金流量表及财务报表附注，财务审计报告应盖有会计师事务所单位章和注册会计师的执业专用章，并附会计师事务所的营业执照及执业证书复印件，或其开标前三个月内银行出具的资信证明，或财政部门认可的政府采购专业担保机构出具的投标担保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供应商提供2024年10月至投标文件递交截止日已缴存的任意一个月的社会保障资金缴存单据或社保机构开具的社会保险参保缴费情况证明，依法不需要缴纳社会保障资金的供应商应提供相关文件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供应商提供2024年10月至投标文件递交截止日已缴存的任意一个月的纳税证明或完税证明，纳税证明或完税证明上应有代收机构或税务机关的公章，依法免税的供应商应提供相关文件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书面声明（信用记录）</w:t>
            </w:r>
          </w:p>
        </w:tc>
        <w:tc>
          <w:tcPr>
            <w:tcW w:type="dxa" w:w="3322"/>
          </w:tcPr>
          <w:p>
            <w:pPr>
              <w:pStyle w:val="null3"/>
            </w:pPr>
            <w:r>
              <w:rPr>
                <w:rFonts w:ascii="仿宋_GB2312" w:hAnsi="仿宋_GB2312" w:cs="仿宋_GB2312" w:eastAsia="仿宋_GB2312"/>
              </w:rPr>
              <w:t>参加本次政府采购活动前3年内在经营活动中没有重大违纪，以及未被列入失信被执行人、重大税收违法案件当事人名单、政府采购严重违法失信行为记录名单的书面声明原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附件（授权、书面声明、承诺）.docx 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承诺书</w:t>
            </w:r>
          </w:p>
        </w:tc>
        <w:tc>
          <w:tcPr>
            <w:tcW w:type="dxa" w:w="3322"/>
          </w:tcPr>
          <w:p>
            <w:pPr>
              <w:pStyle w:val="null3"/>
            </w:pPr>
            <w:r>
              <w:rPr>
                <w:rFonts w:ascii="仿宋_GB2312" w:hAnsi="仿宋_GB2312" w:cs="仿宋_GB2312" w:eastAsia="仿宋_GB2312"/>
              </w:rPr>
              <w:t>提供具有履行合同所必需的设备和专业技术能力的承诺原件。供应商需在项目电子化交易系统中按要求上传相应证明文件并进行电子签章。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附件（授权、书面声明、承诺）.docx 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供应商名称字章</w:t>
            </w:r>
          </w:p>
        </w:tc>
        <w:tc>
          <w:tcPr>
            <w:tcW w:type="dxa" w:w="3322"/>
          </w:tcPr>
          <w:p>
            <w:pPr>
              <w:pStyle w:val="null3"/>
            </w:pPr>
            <w:r>
              <w:rPr>
                <w:rFonts w:ascii="仿宋_GB2312" w:hAnsi="仿宋_GB2312" w:cs="仿宋_GB2312" w:eastAsia="仿宋_GB2312"/>
              </w:rPr>
              <w:t>供应商名称字章是否一致</w:t>
            </w:r>
          </w:p>
        </w:tc>
        <w:tc>
          <w:tcPr>
            <w:tcW w:type="dxa" w:w="1661"/>
          </w:tcPr>
          <w:p>
            <w:pPr>
              <w:pStyle w:val="null3"/>
            </w:pPr>
            <w:r>
              <w:rPr>
                <w:rFonts w:ascii="仿宋_GB2312" w:hAnsi="仿宋_GB2312" w:cs="仿宋_GB2312" w:eastAsia="仿宋_GB2312"/>
              </w:rPr>
              <w:t>响应文件封面 产品技术参数表 相关方案.docx 附件（授权、书面声明、承诺）.docx 中小企业声明函 残疾人福利性单位声明函 商务应答表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响应文件的签字盖章</w:t>
            </w:r>
          </w:p>
        </w:tc>
        <w:tc>
          <w:tcPr>
            <w:tcW w:type="dxa" w:w="3322"/>
          </w:tcPr>
          <w:p>
            <w:pPr>
              <w:pStyle w:val="null3"/>
            </w:pPr>
            <w:r>
              <w:rPr>
                <w:rFonts w:ascii="仿宋_GB2312" w:hAnsi="仿宋_GB2312" w:cs="仿宋_GB2312" w:eastAsia="仿宋_GB2312"/>
              </w:rPr>
              <w:t>响应文件的签字盖章是否按照谈判文件要求进行的</w:t>
            </w:r>
          </w:p>
        </w:tc>
        <w:tc>
          <w:tcPr>
            <w:tcW w:type="dxa" w:w="1661"/>
          </w:tcPr>
          <w:p>
            <w:pPr>
              <w:pStyle w:val="null3"/>
            </w:pPr>
            <w:r>
              <w:rPr>
                <w:rFonts w:ascii="仿宋_GB2312" w:hAnsi="仿宋_GB2312" w:cs="仿宋_GB2312" w:eastAsia="仿宋_GB2312"/>
              </w:rPr>
              <w:t>响应文件封面 产品技术参数表 相关方案.docx 附件（授权、书面声明、承诺）.docx 中小企业声明函 残疾人福利性单位声明函 商务应答表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投标有效期是否满足谈判最低要求</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投标报价有效性</w:t>
            </w:r>
          </w:p>
        </w:tc>
        <w:tc>
          <w:tcPr>
            <w:tcW w:type="dxa" w:w="3322"/>
          </w:tcPr>
          <w:p>
            <w:pPr>
              <w:pStyle w:val="null3"/>
            </w:pPr>
            <w:r>
              <w:rPr>
                <w:rFonts w:ascii="仿宋_GB2312" w:hAnsi="仿宋_GB2312" w:cs="仿宋_GB2312" w:eastAsia="仿宋_GB2312"/>
              </w:rPr>
              <w:t>投标报价是否唯一有效或投标报价是否未超过采购预算</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实质性要求</w:t>
            </w:r>
          </w:p>
        </w:tc>
        <w:tc>
          <w:tcPr>
            <w:tcW w:type="dxa" w:w="3322"/>
          </w:tcPr>
          <w:p>
            <w:pPr>
              <w:pStyle w:val="null3"/>
            </w:pPr>
            <w:r>
              <w:rPr>
                <w:rFonts w:ascii="仿宋_GB2312" w:hAnsi="仿宋_GB2312" w:cs="仿宋_GB2312" w:eastAsia="仿宋_GB2312"/>
              </w:rPr>
              <w:t>商务、技术要求不满足实质性要求的</w:t>
            </w:r>
          </w:p>
        </w:tc>
        <w:tc>
          <w:tcPr>
            <w:tcW w:type="dxa" w:w="1661"/>
          </w:tcPr>
          <w:p>
            <w:pPr>
              <w:pStyle w:val="null3"/>
            </w:pPr>
            <w:r>
              <w:rPr>
                <w:rFonts w:ascii="仿宋_GB2312" w:hAnsi="仿宋_GB2312" w:cs="仿宋_GB2312" w:eastAsia="仿宋_GB2312"/>
              </w:rPr>
              <w:t>产品技术参数表 相关方案.docx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其他不符合法律、规章、规范性文件和规定的</w:t>
            </w:r>
          </w:p>
        </w:tc>
        <w:tc>
          <w:tcPr>
            <w:tcW w:type="dxa" w:w="1661"/>
          </w:tcPr>
          <w:p>
            <w:pPr>
              <w:pStyle w:val="null3"/>
            </w:pPr>
            <w:r>
              <w:rPr>
                <w:rFonts w:ascii="仿宋_GB2312" w:hAnsi="仿宋_GB2312" w:cs="仿宋_GB2312" w:eastAsia="仿宋_GB2312"/>
              </w:rPr>
              <w:t>响应文件封面 产品技术参数表 相关方案.docx 附件（授权、书面声明、承诺）.docx 中小企业声明函 残疾人福利性单位声明函 商务应答表 供应商应提交的相关资格证明材料 标的清单 报价表 响应函 监狱企业的证明文件</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标的清单 报价表</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当出现响应报价相同时由采购人或者采购人委托谈判小组采取再次进行报价。 响应文件满足谈判文件全部实质性要求且最终报价最低的供应商为排名第一的成交候选供应商。 经评审的最终报价是指对供应商最后报价完成价格修正和落实政府采购政策进行的价格扣除后的报价。</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详见附件：相关方案.docx</w:t>
      </w:r>
    </w:p>
    <w:p>
      <w:pPr>
        <w:pStyle w:val="null3"/>
        <w:ind w:firstLine="960"/>
      </w:pPr>
      <w:r>
        <w:rPr>
          <w:rFonts w:ascii="仿宋_GB2312" w:hAnsi="仿宋_GB2312" w:cs="仿宋_GB2312" w:eastAsia="仿宋_GB2312"/>
        </w:rPr>
        <w:t>详见附件：附件（授权、书面声明、承诺）.docx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