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版本号：RTZB-2025-2084（R）20251028001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三维激光地基SAR扫描系统采购项目(二次)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RTZB-2025-2084（R）</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三维激光地基SAR扫描系统采购项目(二次)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RTZB-2025-2084（R）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三维激光地基SAR扫描系统采购项目(二次)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西北大学拟采购三维激光地基SAR扫描系统1套，采购预算1600000.00元。详见第三章采购需求。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p>
      <w:pPr>
        <w:pStyle w:val="null3"/>
      </w:pPr>
      <w:r>
        <w:rPr>
          <w:rFonts w:ascii="仿宋_GB2312" w:hAnsi="仿宋_GB2312" w:cs="仿宋_GB2312" w:eastAsia="仿宋_GB2312"/>
        </w:rPr>
        <w:t>3、供应商代表授权：提供法定代表人证明书和代表人授权委托书。</w:t>
      </w:r>
    </w:p>
    <w:p>
      <w:pPr>
        <w:pStyle w:val="null3"/>
      </w:pPr>
      <w:r>
        <w:rPr>
          <w:rFonts w:ascii="仿宋_GB2312" w:hAnsi="仿宋_GB2312" w:cs="仿宋_GB2312" w:eastAsia="仿宋_GB2312"/>
        </w:rPr>
        <w:t>4、财务状况证明：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5、纳税证明：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6、社会保障资金缴纳证明：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7、履约能力证明：提供具有履行本合同所必需的专业技术能力的声明。</w:t>
      </w:r>
    </w:p>
    <w:p>
      <w:pPr>
        <w:pStyle w:val="null3"/>
      </w:pPr>
      <w:r>
        <w:rPr>
          <w:rFonts w:ascii="仿宋_GB2312" w:hAnsi="仿宋_GB2312" w:cs="仿宋_GB2312" w:eastAsia="仿宋_GB2312"/>
        </w:rPr>
        <w:t>8、联合体投标：不接受联合体，提供非联合体声明。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采购包1保证金金额：32,000.00元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说明：中标供应商在与采购人签订合同前，须缴纳履约保证金。 转账银行：交通银行太白路支行 转账账号：西北大学611301015018001145006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照国家计委颁布的《招标代理服务收费管理暂行办法》（计价格[2002]1980号）及发改办价格[2003]857号文件的规定各包以中标价为基础按货物类标准下浮20%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陕西瑞通工程造价咨询有限公司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西北大学拟采购三维激光地基SAR扫描系统1套，采购预算1600000.00元。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三维激光地基SAR扫描系统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标的名称：三维激光地基SAR扫描系统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0"/>
              <w:gridCol w:w="406"/>
              <w:gridCol w:w="1354"/>
              <w:gridCol w:w="251"/>
              <w:gridCol w:w="232"/>
            </w:tblGrid>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货物名称</w:t>
                  </w:r>
                </w:p>
              </w:tc>
              <w:tc>
                <w:tcPr>
                  <w:tcW w:type="dxa" w:w="1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三维激光地基SAR扫描系统</w:t>
                  </w:r>
                </w:p>
                <w:p>
                  <w:pPr>
                    <w:pStyle w:val="null3"/>
                    <w:jc w:val="left"/>
                  </w:pPr>
                </w:p>
              </w:tc>
              <w:tc>
                <w:tcPr>
                  <w:tcW w:type="dxa" w:w="1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outlineLvl w:val="3"/>
                  </w:pPr>
                  <w:r>
                    <w:rPr>
                      <w:rFonts w:ascii="仿宋_GB2312" w:hAnsi="仿宋_GB2312" w:cs="仿宋_GB2312" w:eastAsia="仿宋_GB2312"/>
                      <w:sz w:val="21"/>
                      <w:b/>
                      <w:color w:val="000000"/>
                    </w:rPr>
                    <w:t>一、系统硬件参数：</w:t>
                  </w:r>
                </w:p>
                <w:p>
                  <w:pPr>
                    <w:pStyle w:val="null3"/>
                    <w:jc w:val="left"/>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监测对象种类：不少于5类监测对象</w:t>
                  </w:r>
                </w:p>
                <w:p>
                  <w:pPr>
                    <w:pStyle w:val="null3"/>
                    <w:jc w:val="left"/>
                  </w:pPr>
                  <w:r>
                    <w:rPr>
                      <w:rFonts w:ascii="仿宋_GB2312" w:hAnsi="仿宋_GB2312" w:cs="仿宋_GB2312" w:eastAsia="仿宋_GB2312"/>
                      <w:sz w:val="21"/>
                      <w:color w:val="000000"/>
                    </w:rPr>
                    <w:t>2. 监测指标：表面位移</w:t>
                  </w:r>
                </w:p>
                <w:p>
                  <w:pPr>
                    <w:pStyle w:val="null3"/>
                    <w:jc w:val="left"/>
                  </w:pPr>
                  <w:r>
                    <w:rPr>
                      <w:rFonts w:ascii="仿宋_GB2312" w:hAnsi="仿宋_GB2312" w:cs="仿宋_GB2312" w:eastAsia="仿宋_GB2312"/>
                      <w:sz w:val="21"/>
                      <w:color w:val="000000"/>
                    </w:rPr>
                    <w:t>3. 预警信息：位移/速度</w:t>
                  </w:r>
                </w:p>
                <w:p>
                  <w:pPr>
                    <w:pStyle w:val="null3"/>
                    <w:jc w:val="left"/>
                  </w:pPr>
                  <w:r>
                    <w:rPr>
                      <w:rFonts w:ascii="仿宋_GB2312" w:hAnsi="仿宋_GB2312" w:cs="仿宋_GB2312" w:eastAsia="仿宋_GB2312"/>
                      <w:sz w:val="21"/>
                      <w:color w:val="000000"/>
                    </w:rPr>
                    <w:t>4. 监测精度：≤0.1mm，提供相关证明材料（第三方检测报告）</w:t>
                  </w:r>
                </w:p>
                <w:p>
                  <w:pPr>
                    <w:pStyle w:val="null3"/>
                    <w:jc w:val="left"/>
                  </w:pPr>
                  <w:r>
                    <w:rPr>
                      <w:rFonts w:ascii="仿宋_GB2312" w:hAnsi="仿宋_GB2312" w:cs="仿宋_GB2312" w:eastAsia="仿宋_GB2312"/>
                      <w:sz w:val="21"/>
                      <w:color w:val="000000"/>
                    </w:rPr>
                    <w:t xml:space="preserve">5. </w:t>
                  </w:r>
                  <w:r>
                    <w:rPr>
                      <w:rFonts w:ascii="仿宋_GB2312" w:hAnsi="仿宋_GB2312" w:cs="仿宋_GB2312" w:eastAsia="仿宋_GB2312"/>
                      <w:sz w:val="21"/>
                      <w:color w:val="000000"/>
                    </w:rPr>
                    <w:t>最大扫描距离不小于 6000m;</w:t>
                  </w:r>
                  <w:r>
                    <w:rPr>
                      <w:rFonts w:ascii="仿宋_GB2312" w:hAnsi="仿宋_GB2312" w:cs="仿宋_GB2312" w:eastAsia="仿宋_GB2312"/>
                      <w:sz w:val="21"/>
                      <w:color w:val="000000"/>
                    </w:rPr>
                    <w:t>作用距离：优于5000m，提供相关证明材料（第三方检测报告）</w:t>
                  </w:r>
                </w:p>
                <w:p>
                  <w:pPr>
                    <w:pStyle w:val="null3"/>
                    <w:jc w:val="left"/>
                  </w:pPr>
                  <w:r>
                    <w:rPr>
                      <w:rFonts w:ascii="仿宋_GB2312" w:hAnsi="仿宋_GB2312" w:cs="仿宋_GB2312" w:eastAsia="仿宋_GB2312"/>
                      <w:sz w:val="21"/>
                      <w:color w:val="000000"/>
                    </w:rPr>
                    <w:t>6. 工作波段：Ku波段（12GHz-18GHz），提供相关证明材料（第三方检测报告）</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单次最大扫描方位覆盖角度360°，</w:t>
                  </w:r>
                  <w:r>
                    <w:rPr>
                      <w:rFonts w:ascii="仿宋_GB2312" w:hAnsi="仿宋_GB2312" w:cs="仿宋_GB2312" w:eastAsia="仿宋_GB2312"/>
                      <w:sz w:val="21"/>
                      <w:color w:val="000000"/>
                    </w:rPr>
                    <w:t>监测范围：水平360°，垂直60°，提供相关证明材料（第三方检测报告）</w:t>
                  </w:r>
                </w:p>
                <w:p>
                  <w:pPr>
                    <w:pStyle w:val="null3"/>
                    <w:jc w:val="left"/>
                  </w:pPr>
                  <w:r>
                    <w:rPr>
                      <w:rFonts w:ascii="仿宋_GB2312" w:hAnsi="仿宋_GB2312" w:cs="仿宋_GB2312" w:eastAsia="仿宋_GB2312"/>
                      <w:sz w:val="21"/>
                      <w:color w:val="000000"/>
                    </w:rPr>
                    <w:t>8.最高形变数据更新率(监测周期)不小于1次/分钟(180°场景方位角，含形变数据处理时间)</w:t>
                  </w:r>
                </w:p>
                <w:p>
                  <w:pPr>
                    <w:pStyle w:val="null3"/>
                    <w:jc w:val="left"/>
                  </w:pPr>
                  <w:r>
                    <w:rPr>
                      <w:rFonts w:ascii="仿宋_GB2312" w:hAnsi="仿宋_GB2312" w:cs="仿宋_GB2312" w:eastAsia="仿宋_GB2312"/>
                      <w:sz w:val="21"/>
                      <w:color w:val="000000"/>
                    </w:rPr>
                    <w:t>9.形变测量精度小于0.1mm(所有方位角上，1公里处，RMS)</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距离分辨率小于0.2m(所有方位角上);方位角分辨率小于5mrad(所有方位角上)，提供相关证明材料（第三方检测报告）</w:t>
                  </w:r>
                </w:p>
                <w:p>
                  <w:pPr>
                    <w:pStyle w:val="null3"/>
                    <w:jc w:val="left"/>
                  </w:pPr>
                  <w:r>
                    <w:rPr>
                      <w:rFonts w:ascii="仿宋_GB2312" w:hAnsi="仿宋_GB2312" w:cs="仿宋_GB2312" w:eastAsia="仿宋_GB2312"/>
                      <w:sz w:val="21"/>
                      <w:color w:val="000000"/>
                    </w:rPr>
                    <w:t>11. 天线模式：收发分置双天线，隔离度≥50dB</w:t>
                  </w:r>
                </w:p>
                <w:p>
                  <w:pPr>
                    <w:pStyle w:val="null3"/>
                    <w:jc w:val="left"/>
                  </w:pPr>
                  <w:r>
                    <w:rPr>
                      <w:rFonts w:ascii="仿宋_GB2312" w:hAnsi="仿宋_GB2312" w:cs="仿宋_GB2312" w:eastAsia="仿宋_GB2312"/>
                      <w:sz w:val="21"/>
                      <w:color w:val="000000"/>
                    </w:rPr>
                    <w:t>12.最大俯仰覆盖角度范围不小于60°，(支持远程电控俯仰调节，调节角度不小于±30°）</w:t>
                  </w:r>
                </w:p>
                <w:p>
                  <w:pPr>
                    <w:pStyle w:val="null3"/>
                    <w:jc w:val="left"/>
                  </w:pPr>
                  <w:r>
                    <w:rPr>
                      <w:rFonts w:ascii="仿宋_GB2312" w:hAnsi="仿宋_GB2312" w:cs="仿宋_GB2312" w:eastAsia="仿宋_GB2312"/>
                      <w:sz w:val="21"/>
                      <w:color w:val="000000"/>
                    </w:rPr>
                    <w:t>13. 支持人工目标振动状态实时监测，监测重复频率≥500Hz</w:t>
                  </w:r>
                </w:p>
                <w:p>
                  <w:pPr>
                    <w:pStyle w:val="null3"/>
                    <w:jc w:val="left"/>
                  </w:pPr>
                  <w:r>
                    <w:rPr>
                      <w:rFonts w:ascii="仿宋_GB2312" w:hAnsi="仿宋_GB2312" w:cs="仿宋_GB2312" w:eastAsia="仿宋_GB2312"/>
                      <w:sz w:val="21"/>
                      <w:color w:val="000000"/>
                    </w:rPr>
                    <w:t>14. 雷达主机合成孔径有效旋转半径不小于720mm（转台旋转中心到波导口天线阵的距离(L)），满足足够合成孔径长度</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设备总功耗小于等于35W(包括雷达主机、扫描转台、信号数据处理设备)</w:t>
                  </w:r>
                </w:p>
                <w:p>
                  <w:pPr>
                    <w:pStyle w:val="null3"/>
                    <w:jc w:val="left"/>
                  </w:pPr>
                  <w:r>
                    <w:rPr>
                      <w:rFonts w:ascii="仿宋_GB2312" w:hAnsi="仿宋_GB2312" w:cs="仿宋_GB2312" w:eastAsia="仿宋_GB2312"/>
                      <w:sz w:val="21"/>
                      <w:color w:val="000000"/>
                    </w:rPr>
                    <w:t>16.外壳防护等级:不低于IP66</w:t>
                  </w:r>
                </w:p>
                <w:p>
                  <w:pPr>
                    <w:pStyle w:val="null3"/>
                    <w:jc w:val="left"/>
                  </w:pPr>
                  <w:r>
                    <w:rPr>
                      <w:rFonts w:ascii="仿宋_GB2312" w:hAnsi="仿宋_GB2312" w:cs="仿宋_GB2312" w:eastAsia="仿宋_GB2312"/>
                      <w:sz w:val="21"/>
                      <w:color w:val="000000"/>
                    </w:rPr>
                    <w:t>17.</w:t>
                  </w:r>
                  <w:r>
                    <w:rPr>
                      <w:rFonts w:ascii="仿宋_GB2312" w:hAnsi="仿宋_GB2312" w:cs="仿宋_GB2312" w:eastAsia="仿宋_GB2312"/>
                      <w:sz w:val="21"/>
                      <w:color w:val="000000"/>
                    </w:rPr>
                    <w:t>地基SAR扫描系统采用轻量化设计，地基SAR(包括雷达主机、扫描转台、信号数据处理设备(可输出形变数据))收纳进单一包装箱.</w:t>
                  </w:r>
                  <w:r>
                    <w:rPr>
                      <w:rFonts w:ascii="仿宋_GB2312" w:hAnsi="仿宋_GB2312" w:cs="仿宋_GB2312" w:eastAsia="仿宋_GB2312"/>
                      <w:sz w:val="21"/>
                      <w:color w:val="000000"/>
                    </w:rPr>
                    <w:t>雷达主机支持折叠，折叠后设备整机最大尺寸≤0.55m；方便携带</w:t>
                  </w:r>
                </w:p>
                <w:p>
                  <w:pPr>
                    <w:pStyle w:val="null3"/>
                    <w:jc w:val="left"/>
                  </w:pPr>
                  <w:r>
                    <w:rPr>
                      <w:rFonts w:ascii="仿宋_GB2312" w:hAnsi="仿宋_GB2312" w:cs="仿宋_GB2312" w:eastAsia="仿宋_GB2312"/>
                      <w:sz w:val="21"/>
                      <w:color w:val="000000"/>
                    </w:rPr>
                    <w:t>18.具备大气漂移校准功能。校准后形变漂移优于±2mm(1000m距离,24h)</w:t>
                  </w:r>
                </w:p>
                <w:p>
                  <w:pPr>
                    <w:pStyle w:val="null3"/>
                    <w:jc w:val="left"/>
                  </w:pPr>
                  <w:r>
                    <w:rPr>
                      <w:rFonts w:ascii="仿宋_GB2312" w:hAnsi="仿宋_GB2312" w:cs="仿宋_GB2312" w:eastAsia="仿宋_GB2312"/>
                      <w:sz w:val="21"/>
                      <w:color w:val="000000"/>
                    </w:rPr>
                    <w:t>19. 雷达主机具备雷视一体功能,主机内置光学图像和雷达图像水平及俯仰采集角度实时同步，相机光学图像像素不小于6000 万，提供相关证明材料（不限于产品彩页、官网截图、第三方检测报告等）</w:t>
                  </w:r>
                </w:p>
                <w:p>
                  <w:pPr>
                    <w:pStyle w:val="null3"/>
                    <w:jc w:val="left"/>
                  </w:pP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主机具备运行状态显示屏或</w:t>
                  </w:r>
                  <w:r>
                    <w:rPr>
                      <w:rFonts w:ascii="仿宋_GB2312" w:hAnsi="仿宋_GB2312" w:cs="仿宋_GB2312" w:eastAsia="仿宋_GB2312"/>
                      <w:sz w:val="21"/>
                      <w:color w:val="000000"/>
                    </w:rPr>
                    <w:t>控制分系统</w:t>
                  </w:r>
                  <w:r>
                    <w:rPr>
                      <w:rFonts w:ascii="仿宋_GB2312" w:hAnsi="仿宋_GB2312" w:cs="仿宋_GB2312" w:eastAsia="仿宋_GB2312"/>
                      <w:sz w:val="21"/>
                      <w:color w:val="000000"/>
                    </w:rPr>
                    <w:t>，可实时显示地基SAR 工作状态、实时电压电流、内部处理器实时温度、电机实时温度等状态信息</w:t>
                  </w:r>
                </w:p>
                <w:p>
                  <w:pPr>
                    <w:pStyle w:val="null3"/>
                    <w:jc w:val="left"/>
                  </w:pPr>
                  <w:r>
                    <w:rPr>
                      <w:rFonts w:ascii="仿宋_GB2312" w:hAnsi="仿宋_GB2312" w:cs="仿宋_GB2312" w:eastAsia="仿宋_GB2312"/>
                      <w:sz w:val="21"/>
                      <w:color w:val="000000"/>
                    </w:rPr>
                    <w:t xml:space="preserve">21. </w:t>
                  </w:r>
                  <w:r>
                    <w:rPr>
                      <w:rFonts w:ascii="仿宋_GB2312" w:hAnsi="仿宋_GB2312" w:cs="仿宋_GB2312" w:eastAsia="仿宋_GB2312"/>
                      <w:sz w:val="21"/>
                      <w:color w:val="000000"/>
                    </w:rPr>
                    <w:t>地基SAR总重量小于等于15kg(包括雷达主机、扫描转台或轨道、数据处理设备)，提供相关证明材料（不限于产品彩页、官网截图、第三方检测报告等）</w:t>
                  </w:r>
                </w:p>
                <w:p>
                  <w:pPr>
                    <w:pStyle w:val="null3"/>
                    <w:jc w:val="both"/>
                  </w:pPr>
                  <w:r>
                    <w:rPr>
                      <w:rFonts w:ascii="仿宋_GB2312" w:hAnsi="仿宋_GB2312" w:cs="仿宋_GB2312" w:eastAsia="仿宋_GB2312"/>
                      <w:sz w:val="21"/>
                      <w:color w:val="000000"/>
                    </w:rPr>
                    <w:t>22.地基SAR内置或外带定位定向功能,可在上位机平台或其他设备实时查询获取定位定向信息</w:t>
                  </w:r>
                </w:p>
                <w:p>
                  <w:pPr>
                    <w:pStyle w:val="null3"/>
                    <w:jc w:val="left"/>
                  </w:pPr>
                  <w:r>
                    <w:rPr>
                      <w:rFonts w:ascii="仿宋_GB2312" w:hAnsi="仿宋_GB2312" w:cs="仿宋_GB2312" w:eastAsia="仿宋_GB2312"/>
                      <w:sz w:val="21"/>
                      <w:color w:val="000000"/>
                    </w:rPr>
                    <w:t>23 .雷达主机具备扩展硬件模块接口,具备外接双目可见光相机三维建模系统接口，提供相关证明材料（不限于产品彩页、官网截图、第三方检测报告等）</w:t>
                  </w:r>
                </w:p>
                <w:p>
                  <w:pPr>
                    <w:pStyle w:val="null3"/>
                    <w:jc w:val="left"/>
                  </w:pPr>
                  <w:r>
                    <w:rPr>
                      <w:rFonts w:ascii="仿宋_GB2312" w:hAnsi="仿宋_GB2312" w:cs="仿宋_GB2312" w:eastAsia="仿宋_GB2312"/>
                      <w:sz w:val="21"/>
                      <w:color w:val="000000"/>
                    </w:rPr>
                    <w:t>24. 主机具有远程通断电、复位、初始化功能，提供相关证明材料（不限于产品彩页、官网截图、第三方检测报告等）</w:t>
                  </w:r>
                </w:p>
                <w:p>
                  <w:pPr>
                    <w:pStyle w:val="null3"/>
                    <w:jc w:val="left"/>
                  </w:pPr>
                  <w:r>
                    <w:rPr>
                      <w:rFonts w:ascii="仿宋_GB2312" w:hAnsi="仿宋_GB2312" w:cs="仿宋_GB2312" w:eastAsia="仿宋_GB2312"/>
                      <w:sz w:val="21"/>
                      <w:color w:val="000000"/>
                    </w:rPr>
                    <w:t>25. 工作温度：-45℃～65℃</w:t>
                  </w:r>
                </w:p>
                <w:p>
                  <w:pPr>
                    <w:pStyle w:val="null3"/>
                    <w:jc w:val="left"/>
                  </w:pPr>
                  <w:r>
                    <w:rPr>
                      <w:rFonts w:ascii="仿宋_GB2312" w:hAnsi="仿宋_GB2312" w:cs="仿宋_GB2312" w:eastAsia="仿宋_GB2312"/>
                      <w:sz w:val="21"/>
                      <w:b/>
                      <w:color w:val="000000"/>
                    </w:rPr>
                    <w:t>二、显控与预警软件平台参数</w:t>
                  </w:r>
                </w:p>
                <w:p>
                  <w:pPr>
                    <w:pStyle w:val="null3"/>
                    <w:jc w:val="left"/>
                  </w:pPr>
                  <w:r>
                    <w:rPr>
                      <w:rFonts w:ascii="仿宋_GB2312" w:hAnsi="仿宋_GB2312" w:cs="仿宋_GB2312" w:eastAsia="仿宋_GB2312"/>
                      <w:sz w:val="21"/>
                      <w:color w:val="000000"/>
                    </w:rPr>
                    <w:t>1.软件采用B/S架构，支持多用户同时通过浏览器访问</w:t>
                  </w:r>
                </w:p>
                <w:p>
                  <w:pPr>
                    <w:pStyle w:val="null3"/>
                    <w:jc w:val="left"/>
                  </w:pPr>
                  <w:r>
                    <w:rPr>
                      <w:rFonts w:ascii="仿宋_GB2312" w:hAnsi="仿宋_GB2312" w:cs="仿宋_GB2312" w:eastAsia="仿宋_GB2312"/>
                      <w:sz w:val="21"/>
                      <w:color w:val="000000"/>
                    </w:rPr>
                    <w:t>2.支持按设定抽取比例上传回波强度图像到云服务器的功能，实现传输流量的控制;具备网络状态、运行状态显示功能;支持特征点、特征区域等专题图层选择与定量分析，生成位移、速度数据曲线及报表</w:t>
                  </w:r>
                </w:p>
                <w:p>
                  <w:pPr>
                    <w:pStyle w:val="null3"/>
                    <w:jc w:val="left"/>
                  </w:pPr>
                  <w:r>
                    <w:rPr>
                      <w:rFonts w:ascii="仿宋_GB2312" w:hAnsi="仿宋_GB2312" w:cs="仿宋_GB2312" w:eastAsia="仿宋_GB2312"/>
                      <w:sz w:val="21"/>
                      <w:color w:val="000000"/>
                    </w:rPr>
                    <w:t>3.可实现形变场成像，与导入的三维地形图配准实现融合三维显示;可实现单次扫描“距离&gt;6km,方位覆盖角度 360°”的成像显示</w:t>
                  </w:r>
                </w:p>
                <w:p>
                  <w:pPr>
                    <w:pStyle w:val="null3"/>
                    <w:jc w:val="left"/>
                  </w:pPr>
                  <w:r>
                    <w:rPr>
                      <w:rFonts w:ascii="仿宋_GB2312" w:hAnsi="仿宋_GB2312" w:cs="仿宋_GB2312" w:eastAsia="仿宋_GB2312"/>
                      <w:sz w:val="21"/>
                      <w:color w:val="000000"/>
                    </w:rPr>
                    <w:t>4三维数据显示引擎，能够导入DXF、OSGB、DOM+DSM、LAS、XYZ、TXT等格式模型将雷达数据以三维方式显示</w:t>
                  </w:r>
                </w:p>
                <w:p>
                  <w:pPr>
                    <w:pStyle w:val="null3"/>
                    <w:jc w:val="left"/>
                  </w:pPr>
                  <w:r>
                    <w:rPr>
                      <w:rFonts w:ascii="仿宋_GB2312" w:hAnsi="仿宋_GB2312" w:cs="仿宋_GB2312" w:eastAsia="仿宋_GB2312"/>
                      <w:sz w:val="21"/>
                      <w:color w:val="000000"/>
                    </w:rPr>
                    <w:t>5.支持 DEM 数据导入，二维/三维切换显示，具备灰度图/地貌图切换显示功能;支持不同监测点或区域的形变曲线(形变量、速率、加速度)在同一张曲线图上显示;具备监测点、监测区、复散射强度图、形变数据图、滤波形变图、形变速率图、形变加速度图与三维地形图融合显示功能</w:t>
                  </w:r>
                </w:p>
                <w:p>
                  <w:pPr>
                    <w:pStyle w:val="null3"/>
                    <w:jc w:val="left"/>
                  </w:pPr>
                  <w:r>
                    <w:rPr>
                      <w:rFonts w:ascii="仿宋_GB2312" w:hAnsi="仿宋_GB2312" w:cs="仿宋_GB2312" w:eastAsia="仿宋_GB2312"/>
                      <w:sz w:val="21"/>
                      <w:color w:val="000000"/>
                    </w:rPr>
                    <w:t>6.报告生成：支持报告模板输入，自动报告生成与发送</w:t>
                  </w:r>
                </w:p>
                <w:p>
                  <w:pPr>
                    <w:pStyle w:val="null3"/>
                    <w:jc w:val="left"/>
                  </w:pPr>
                  <w:r>
                    <w:rPr>
                      <w:rFonts w:ascii="仿宋_GB2312" w:hAnsi="仿宋_GB2312" w:cs="仿宋_GB2312" w:eastAsia="仿宋_GB2312"/>
                      <w:sz w:val="21"/>
                      <w:color w:val="000000"/>
                    </w:rPr>
                    <w:t>7.软件具备断电提醒功能，具备数据异常提醒功能，可以发短信提醒、发邮件提醒</w:t>
                  </w:r>
                </w:p>
                <w:p>
                  <w:pPr>
                    <w:pStyle w:val="null3"/>
                    <w:jc w:val="left"/>
                  </w:pPr>
                  <w:r>
                    <w:rPr>
                      <w:rFonts w:ascii="仿宋_GB2312" w:hAnsi="仿宋_GB2312" w:cs="仿宋_GB2312" w:eastAsia="仿宋_GB2312"/>
                      <w:sz w:val="21"/>
                      <w:color w:val="000000"/>
                    </w:rPr>
                    <w:t>8.支持断点续接功能。雷达异常断电重启、网络异常断开重连及显控软件意外关闭重启，均能在监测中断之前的基础上继续接续形变曲线</w:t>
                  </w:r>
                </w:p>
                <w:p>
                  <w:pPr>
                    <w:pStyle w:val="null3"/>
                    <w:jc w:val="left"/>
                  </w:pPr>
                  <w:r>
                    <w:rPr>
                      <w:rFonts w:ascii="仿宋_GB2312" w:hAnsi="仿宋_GB2312" w:cs="仿宋_GB2312" w:eastAsia="仿宋_GB2312"/>
                      <w:sz w:val="21"/>
                      <w:color w:val="000000"/>
                    </w:rPr>
                    <w:t>9.软件界面采用中文语言</w:t>
                  </w:r>
                </w:p>
                <w:p>
                  <w:pPr>
                    <w:pStyle w:val="null3"/>
                    <w:jc w:val="left"/>
                  </w:pPr>
                  <w:r>
                    <w:rPr>
                      <w:rFonts w:ascii="仿宋_GB2312" w:hAnsi="仿宋_GB2312" w:cs="仿宋_GB2312" w:eastAsia="仿宋_GB2312"/>
                      <w:sz w:val="21"/>
                      <w:color w:val="000000"/>
                    </w:rPr>
                    <w:t>10.软件具备空变大气相位分布式校正功能、多级边坡干涉相位解缠功能</w:t>
                  </w:r>
                </w:p>
                <w:p>
                  <w:pPr>
                    <w:pStyle w:val="null3"/>
                    <w:jc w:val="left"/>
                  </w:pPr>
                  <w:r>
                    <w:rPr>
                      <w:rFonts w:ascii="仿宋_GB2312" w:hAnsi="仿宋_GB2312" w:cs="仿宋_GB2312" w:eastAsia="仿宋_GB2312"/>
                      <w:sz w:val="21"/>
                      <w:color w:val="000000"/>
                    </w:rPr>
                    <w:t>11.数据接入:数据可上传至MIS监测综合管理平台，数据二次开发:支持用户自行上传代码，通过内置上传，拓展监测功能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提供相关证明材料（不限于产品彩页、官网截图、第三方检测报告等）</w:t>
                  </w:r>
                </w:p>
                <w:p>
                  <w:pPr>
                    <w:pStyle w:val="null3"/>
                    <w:jc w:val="left"/>
                  </w:pPr>
                  <w:r>
                    <w:rPr>
                      <w:rFonts w:ascii="仿宋_GB2312" w:hAnsi="仿宋_GB2312" w:cs="仿宋_GB2312" w:eastAsia="仿宋_GB2312"/>
                      <w:sz w:val="21"/>
                      <w:color w:val="000000"/>
                    </w:rPr>
                    <w:t>12.软件具备内置光学立体影像三维数据采集功能，建模总时间不大于10min</w:t>
                  </w:r>
                </w:p>
                <w:p>
                  <w:pPr>
                    <w:pStyle w:val="null3"/>
                    <w:jc w:val="left"/>
                  </w:pPr>
                  <w:r>
                    <w:rPr>
                      <w:rFonts w:ascii="仿宋_GB2312" w:hAnsi="仿宋_GB2312" w:cs="仿宋_GB2312" w:eastAsia="仿宋_GB2312"/>
                      <w:sz w:val="21"/>
                      <w:color w:val="000000"/>
                    </w:rPr>
                    <w:t>13.具备导入CAD等多种格式模型将雷达数据以三维方式显示</w:t>
                  </w:r>
                </w:p>
                <w:p>
                  <w:pPr>
                    <w:pStyle w:val="null3"/>
                    <w:jc w:val="left"/>
                  </w:pPr>
                  <w:r>
                    <w:rPr>
                      <w:rFonts w:ascii="仿宋_GB2312" w:hAnsi="仿宋_GB2312" w:cs="仿宋_GB2312" w:eastAsia="仿宋_GB2312"/>
                      <w:sz w:val="21"/>
                      <w:color w:val="000000"/>
                    </w:rPr>
                    <w:t>14.软件支持危岩体、滑坡体等结构面解译，标记，快速识别</w:t>
                  </w:r>
                </w:p>
                <w:p>
                  <w:pPr>
                    <w:pStyle w:val="null3"/>
                    <w:jc w:val="both"/>
                  </w:pPr>
                  <w:r>
                    <w:rPr>
                      <w:rFonts w:ascii="仿宋_GB2312" w:hAnsi="仿宋_GB2312" w:cs="仿宋_GB2312" w:eastAsia="仿宋_GB2312"/>
                      <w:sz w:val="21"/>
                      <w:color w:val="000000"/>
                    </w:rPr>
                    <w:t>15.软件支持结构面产状平均值统计、密度图生成、玫瑰花图显示功能</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r>
          </w:tbl>
          <w:p>
            <w:pPr>
              <w:pStyle w:val="null3"/>
              <w:jc w:val="both"/>
            </w:pPr>
            <w:r>
              <w:rPr>
                <w:rFonts w:ascii="仿宋_GB2312" w:hAnsi="仿宋_GB2312" w:cs="仿宋_GB2312" w:eastAsia="仿宋_GB2312"/>
                <w:sz w:val="21"/>
                <w:b/>
                <w:color w:val="000000"/>
              </w:rPr>
              <w:t>注：以上所有要求不允许负偏离，有一项负偏离为无效响应。</w:t>
            </w:r>
            <w:r>
              <w:rPr>
                <w:rFonts w:ascii="仿宋_GB2312" w:hAnsi="仿宋_GB2312" w:cs="仿宋_GB2312" w:eastAsia="仿宋_GB2312"/>
                <w:sz w:val="21"/>
                <w:b/>
                <w:color w:val="000000"/>
              </w:rPr>
              <w:t>采购需求中要求提供证明材料的按采购需求中的要求提供证明材料，未提供证明材料按无效响应处理，其他以《投标产品技术指标偏离表》响应为准。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自合同签订之日起30天内到货，10天内安装调试并交付使用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合同生效后，乙方开具合同金额等额银行保函，甲方收到银行保函正本后预付合同货款，待货物到达指定地点、安装调试验收合格后，甲方退还银行保函正本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 3年，软件终身免费升级。 2.售后服务标准要求： （1）保修内若仪器出现问题，需要在24小时内提供同型号备用机供用户使用。 （2）为支持用户的教学实验工作，供货商需3年内能够免费提供同等型号备用机用于用户的教学实验活动。使用频次:每年2次，使用时间:每次不少于2个月 （3）产品交货时需要提供原厂的售后服务承诺申明，保证原厂售后服务，否则用户有权不予接收货物。 （4）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5）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3.售后服务效率要求：即时响应（包括电话响应）；电话响应无法解决时，24小时内到达现场。修复时间12小时内；如12小时内无法修复，应提供相应解决方案。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在线提交所有通过电子化交易平台实施的政府采购项目的响应文件，另外，在谈判截止时间前向代理机构递交密封、系统生成的纸质版响应文件壹份（胶装，封袋标注供应商名称及项目名称）。代理机构对递交的文件签收，由监标人查验密封情况并记录，开标后交谈判小组，作为评审的辅助资料。递交方式：现场递交，或快递邮寄。 2.本项目谈判在采购系统线上进行，供应商需自行了解系统谈判的要求和操作流程。未按流程操作或无法联系以及供应商自身原因错过谈判的视为自动放弃谈判，其投标无效。 3.付款条件说明：合同生效后，中标供应商开具合同金额等额银行保函，采购人收到银行保函正本后预付合同货款，待货物到达指定地点、安装调试验收合格后，采购人退还银行保函正本。付款方式第三章支付约定不一致，以此处为准。 4.本项目采用两次报价，响应文件中的报价为首次报价，评审以第二次（最终报价）为准。5.中小企业：①是否属于中小企业，供应商按《统计上大中小微型企业划分办法（2017）》（国统字﹝2017﹞213号）工业划型标准判定，并承担责任。如判定原则与第六章及附件格式不一致的，以此为准。 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单位提供带有统一社会信用代码营业执照，未提供的接受采购人通过国家企业信用信息公示系统（http://www.gsxt.gov.cn/index.html）进行相关信息的核实，并承担核实不到的后果；事业单位提供事业单位法人登记证；其他组织提供有效合法的登记证明文件；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提供法定代表人证明书和代表人授权委托书。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第三方会计事务所审计过的财务报告，或谈判截止时间前90天内基本账户银行出具的资信证明。注：①提供财务报告的，内容应完整。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2025年1月1日至今至少一次依法纳税的凭证（任意税种）；依法免税或不需交税的应提供链条完整的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证明；依法不需要缴纳社会保障资金的应提供链条完整的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履约能力证明</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首次响应报价</w:t>
            </w:r>
          </w:p>
        </w:tc>
        <w:tc>
          <w:tcPr>
            <w:tcW w:type="dxa" w:w="3322"/>
          </w:tcPr>
          <w:p>
            <w:pPr>
              <w:pStyle w:val="null3"/>
            </w:pPr>
            <w:r>
              <w:rPr>
                <w:rFonts w:ascii="仿宋_GB2312" w:hAnsi="仿宋_GB2312" w:cs="仿宋_GB2312" w:eastAsia="仿宋_GB2312"/>
              </w:rPr>
              <w:t>首次报价未超过采购预算。</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自合同签订之日起30天内到货，10天内安装调试并交付使用</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1.质保期：自学校验收合格之日起 3年，软件终身免费升级。 2.售后服务标准要求： （1）保修内若仪器出现问题，需要在24小时内提供同型号备用机供用户使用。 （2）为支持用户的教学实验工作，供货商需3年内能够免费提供同等型号备用机用于用户的教学实验活动。使用频次:每年2次，使用时间:每次不少于2个月 （3）产品交货时需要提供原厂的售后服务承诺申明，保证原厂售后服务，否则用户有权不予接收货物。 （4）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5）设备到货后，供应商负责安装和调试。设备安装调试期间，由供应商工程师在现场为采购人操作人员进行培训，受培训人数不限，培训内容包括但不限于：设备原理、结构、操作、日常维护及保养等，保证采购人操作人员熟悉掌握设备相关知识。设备使用一段时间后，供应商按采购人要求组织工程师，提供不少于3天的高阶应用培训。不定期提供设备使用方面的技术咨询与支持。以上要求所产生的费用由供应商承担。 3.售后服务效率要求：即时响应（包括电话响应）；电话响应无法解决时，24小时内到达现场。修复时间12小时内；如12小时内无法修复，应提供相应解决方案。 4.支付方式：合同生效后，中标供应商开具合同金额等额银行保函，采购人收到银行保函正本后预付合同货款，待货物到达指定地点、安装调试验收合格后，采购人退还银行保函正本。</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投标产品品目、数量、技术参数符合谈判文件要求。 注：①采购需求中要求提供证明材料的需提供证明材料，其他以《投标产品技术指标偏离表》响应为准。</w:t>
            </w:r>
          </w:p>
        </w:tc>
        <w:tc>
          <w:tcPr>
            <w:tcW w:type="dxa" w:w="1661"/>
          </w:tcPr>
          <w:p>
            <w:pPr>
              <w:pStyle w:val="null3"/>
            </w:pPr>
            <w:r>
              <w:rPr>
                <w:rFonts w:ascii="仿宋_GB2312" w:hAnsi="仿宋_GB2312" w:cs="仿宋_GB2312" w:eastAsia="仿宋_GB2312"/>
              </w:rPr>
              <w:t>投标产品技术指标偏离表.docx 投标产品技术参数明细表.docx 标的清单</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详见附件：投标产品技术参数明细表.docx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