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1AE7D6">
      <w:pPr>
        <w:pStyle w:val="5"/>
        <w:jc w:val="center"/>
        <w:outlineLvl w:val="1"/>
        <w:rPr>
          <w:sz w:val="32"/>
          <w:szCs w:val="32"/>
        </w:rPr>
      </w:pPr>
      <w:r>
        <w:rPr>
          <w:rFonts w:ascii="仿宋_GB2312" w:hAnsi="仿宋_GB2312" w:eastAsia="仿宋_GB2312" w:cs="仿宋_GB2312"/>
          <w:b/>
          <w:sz w:val="32"/>
          <w:szCs w:val="32"/>
        </w:rPr>
        <w:t>拟签订合同文本</w:t>
      </w:r>
    </w:p>
    <w:p w14:paraId="7556447F">
      <w:pPr>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textAlignment w:val="auto"/>
        <w:rPr>
          <w:rFonts w:hint="eastAsia" w:ascii="仿宋_GB2312" w:hAnsi="仿宋_GB2312" w:eastAsia="仿宋_GB2312" w:cs="仿宋_GB2312"/>
          <w:sz w:val="20"/>
          <w:szCs w:val="20"/>
          <w:highlight w:val="none"/>
          <w:lang w:val="zh-CN" w:eastAsia="zh-CN"/>
        </w:rPr>
      </w:pPr>
      <w:r>
        <w:rPr>
          <w:rFonts w:hint="eastAsia" w:ascii="仿宋_GB2312" w:hAnsi="仿宋_GB2312" w:eastAsia="仿宋_GB2312" w:cs="仿宋_GB2312"/>
          <w:sz w:val="20"/>
          <w:szCs w:val="20"/>
          <w:highlight w:val="none"/>
          <w:lang w:val="zh-CN"/>
        </w:rPr>
        <w:t>甲方：</w:t>
      </w:r>
    </w:p>
    <w:p w14:paraId="6E8303F9">
      <w:pPr>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textAlignment w:val="auto"/>
        <w:rPr>
          <w:rFonts w:hint="eastAsia" w:ascii="仿宋_GB2312" w:hAnsi="仿宋_GB2312" w:eastAsia="仿宋_GB2312" w:cs="仿宋_GB2312"/>
          <w:sz w:val="20"/>
          <w:szCs w:val="20"/>
          <w:highlight w:val="none"/>
          <w:lang w:val="zh-CN"/>
        </w:rPr>
      </w:pPr>
      <w:r>
        <w:rPr>
          <w:rFonts w:hint="eastAsia" w:ascii="仿宋_GB2312" w:hAnsi="仿宋_GB2312" w:eastAsia="仿宋_GB2312" w:cs="仿宋_GB2312"/>
          <w:sz w:val="20"/>
          <w:szCs w:val="20"/>
          <w:highlight w:val="none"/>
          <w:lang w:val="zh-CN"/>
        </w:rPr>
        <w:t>乙方：</w:t>
      </w:r>
    </w:p>
    <w:p w14:paraId="6D7E6E67">
      <w:pPr>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textAlignment w:val="auto"/>
        <w:rPr>
          <w:rFonts w:hint="eastAsia" w:ascii="仿宋_GB2312" w:hAnsi="仿宋_GB2312" w:eastAsia="仿宋_GB2312" w:cs="仿宋_GB2312"/>
          <w:sz w:val="20"/>
          <w:szCs w:val="20"/>
          <w:highlight w:val="none"/>
          <w:lang w:val="zh-CN"/>
        </w:rPr>
      </w:pPr>
    </w:p>
    <w:p w14:paraId="333AFD95">
      <w:pPr>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lang w:val="zh-CN"/>
        </w:rPr>
        <w:t>根据《中华人民共和国</w:t>
      </w:r>
      <w:r>
        <w:rPr>
          <w:rFonts w:hint="eastAsia" w:ascii="仿宋_GB2312" w:hAnsi="仿宋_GB2312" w:eastAsia="仿宋_GB2312" w:cs="仿宋_GB2312"/>
          <w:sz w:val="20"/>
          <w:szCs w:val="20"/>
          <w:highlight w:val="none"/>
          <w:lang w:val="en-US" w:eastAsia="zh-CN"/>
        </w:rPr>
        <w:t>民法典</w:t>
      </w:r>
      <w:r>
        <w:rPr>
          <w:rFonts w:hint="eastAsia" w:ascii="仿宋_GB2312" w:hAnsi="仿宋_GB2312" w:eastAsia="仿宋_GB2312" w:cs="仿宋_GB2312"/>
          <w:sz w:val="20"/>
          <w:szCs w:val="20"/>
          <w:highlight w:val="none"/>
          <w:lang w:val="zh-CN"/>
        </w:rPr>
        <w:t>》、《中华人民共和国政府采购法》等相关法律法规之规定，按照平等、自愿、公平和诚实信用的原则，经甲方和乙方协商一致，约定以下合同</w:t>
      </w:r>
      <w:r>
        <w:rPr>
          <w:rFonts w:hint="eastAsia" w:ascii="仿宋_GB2312" w:hAnsi="仿宋_GB2312" w:eastAsia="仿宋_GB2312" w:cs="仿宋_GB2312"/>
          <w:sz w:val="20"/>
          <w:szCs w:val="20"/>
          <w:highlight w:val="none"/>
        </w:rPr>
        <w:t>条款，以兹共同遵守、全面履行。</w:t>
      </w:r>
    </w:p>
    <w:p w14:paraId="0D9AE76B">
      <w:pPr>
        <w:keepNext w:val="0"/>
        <w:keepLines w:val="0"/>
        <w:pageBreakBefore w:val="0"/>
        <w:widowControl w:val="0"/>
        <w:kinsoku/>
        <w:wordWrap/>
        <w:overflowPunct/>
        <w:topLinePunct w:val="0"/>
        <w:autoSpaceDE/>
        <w:autoSpaceDN/>
        <w:bidi w:val="0"/>
        <w:adjustRightInd/>
        <w:snapToGrid/>
        <w:spacing w:line="360" w:lineRule="auto"/>
        <w:ind w:right="38" w:rightChars="18" w:firstLine="402" w:firstLineChars="200"/>
        <w:textAlignment w:val="auto"/>
        <w:rPr>
          <w:rFonts w:hint="eastAsia" w:ascii="仿宋_GB2312" w:hAnsi="仿宋_GB2312" w:eastAsia="仿宋_GB2312" w:cs="仿宋_GB2312"/>
          <w:b/>
          <w:bCs/>
          <w:sz w:val="20"/>
          <w:szCs w:val="20"/>
          <w:highlight w:val="none"/>
        </w:rPr>
      </w:pPr>
      <w:bookmarkStart w:id="0" w:name="_Toc2232"/>
      <w:bookmarkStart w:id="1" w:name="_Toc27743"/>
      <w:bookmarkStart w:id="2" w:name="_Toc3029"/>
      <w:bookmarkStart w:id="3" w:name="_Toc17016"/>
      <w:bookmarkStart w:id="4" w:name="_Toc24059"/>
      <w:r>
        <w:rPr>
          <w:rFonts w:hint="eastAsia" w:ascii="仿宋_GB2312" w:hAnsi="仿宋_GB2312" w:eastAsia="仿宋_GB2312" w:cs="仿宋_GB2312"/>
          <w:b/>
          <w:bCs/>
          <w:sz w:val="20"/>
          <w:szCs w:val="20"/>
          <w:highlight w:val="none"/>
        </w:rPr>
        <w:t>1.1合同组成部分</w:t>
      </w:r>
      <w:bookmarkEnd w:id="0"/>
      <w:bookmarkEnd w:id="1"/>
      <w:bookmarkEnd w:id="2"/>
      <w:bookmarkEnd w:id="3"/>
      <w:bookmarkEnd w:id="4"/>
    </w:p>
    <w:p w14:paraId="5CACEBCD">
      <w:pPr>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textAlignment w:val="auto"/>
        <w:rPr>
          <w:rFonts w:hint="eastAsia" w:ascii="仿宋_GB2312" w:hAnsi="仿宋_GB2312" w:eastAsia="仿宋_GB2312" w:cs="仿宋_GB2312"/>
          <w:sz w:val="20"/>
          <w:szCs w:val="20"/>
          <w:highlight w:val="none"/>
          <w:lang w:val="zh-CN"/>
        </w:rPr>
      </w:pPr>
      <w:r>
        <w:rPr>
          <w:rFonts w:hint="eastAsia" w:ascii="仿宋_GB2312" w:hAnsi="仿宋_GB2312" w:eastAsia="仿宋_GB2312" w:cs="仿宋_GB2312"/>
          <w:sz w:val="20"/>
          <w:szCs w:val="20"/>
          <w:highlight w:val="none"/>
        </w:rPr>
        <w:t>下列文件为本合同的组成部分，并构成一个整体，需综合解释、相互补充。</w:t>
      </w:r>
      <w:r>
        <w:rPr>
          <w:rFonts w:hint="eastAsia" w:ascii="仿宋_GB2312" w:hAnsi="仿宋_GB2312" w:eastAsia="仿宋_GB2312" w:cs="仿宋_GB2312"/>
          <w:sz w:val="20"/>
          <w:szCs w:val="20"/>
          <w:highlight w:val="none"/>
          <w:lang w:val="zh-CN"/>
        </w:rPr>
        <w:t>如果下列文件内容出现不一致的情形，那么在保证按照采购文件确定的事项的前提下，组成本合同的多个文件的优先适用顺序如下：</w:t>
      </w:r>
    </w:p>
    <w:p w14:paraId="50754AC5">
      <w:pPr>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textAlignment w:val="auto"/>
        <w:rPr>
          <w:rFonts w:hint="eastAsia" w:ascii="仿宋_GB2312" w:hAnsi="仿宋_GB2312" w:eastAsia="仿宋_GB2312" w:cs="仿宋_GB2312"/>
          <w:sz w:val="20"/>
          <w:szCs w:val="20"/>
          <w:highlight w:val="none"/>
          <w:lang w:val="zh-CN"/>
        </w:rPr>
      </w:pPr>
      <w:r>
        <w:rPr>
          <w:rFonts w:hint="eastAsia" w:ascii="仿宋_GB2312" w:hAnsi="仿宋_GB2312" w:eastAsia="仿宋_GB2312" w:cs="仿宋_GB2312"/>
          <w:sz w:val="20"/>
          <w:szCs w:val="20"/>
          <w:highlight w:val="none"/>
          <w:lang w:val="zh-CN"/>
        </w:rPr>
        <w:t>1.1.1本合同及其补充合同、变更协议；</w:t>
      </w:r>
    </w:p>
    <w:p w14:paraId="7A2C2F61">
      <w:pPr>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textAlignment w:val="auto"/>
        <w:rPr>
          <w:rFonts w:hint="eastAsia" w:ascii="仿宋_GB2312" w:hAnsi="仿宋_GB2312" w:eastAsia="仿宋_GB2312" w:cs="仿宋_GB2312"/>
          <w:sz w:val="20"/>
          <w:szCs w:val="20"/>
          <w:highlight w:val="none"/>
          <w:lang w:val="zh-CN"/>
        </w:rPr>
      </w:pPr>
      <w:r>
        <w:rPr>
          <w:rFonts w:hint="eastAsia" w:ascii="仿宋_GB2312" w:hAnsi="仿宋_GB2312" w:eastAsia="仿宋_GB2312" w:cs="仿宋_GB2312"/>
          <w:sz w:val="20"/>
          <w:szCs w:val="20"/>
          <w:highlight w:val="none"/>
          <w:lang w:val="zh-CN"/>
        </w:rPr>
        <w:t>1.1.2</w:t>
      </w:r>
      <w:r>
        <w:rPr>
          <w:rFonts w:hint="eastAsia" w:ascii="仿宋_GB2312" w:hAnsi="仿宋_GB2312" w:eastAsia="仿宋_GB2312" w:cs="仿宋_GB2312"/>
          <w:sz w:val="20"/>
          <w:szCs w:val="20"/>
          <w:highlight w:val="none"/>
        </w:rPr>
        <w:t>中标</w:t>
      </w:r>
      <w:r>
        <w:rPr>
          <w:rFonts w:hint="eastAsia" w:ascii="仿宋_GB2312" w:hAnsi="仿宋_GB2312" w:eastAsia="仿宋_GB2312" w:cs="仿宋_GB2312"/>
          <w:sz w:val="20"/>
          <w:szCs w:val="20"/>
          <w:highlight w:val="none"/>
          <w:lang w:val="zh-CN"/>
        </w:rPr>
        <w:t>通知书；</w:t>
      </w:r>
    </w:p>
    <w:p w14:paraId="720918D7">
      <w:pPr>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textAlignment w:val="auto"/>
        <w:rPr>
          <w:rFonts w:hint="eastAsia" w:ascii="仿宋_GB2312" w:hAnsi="仿宋_GB2312" w:eastAsia="仿宋_GB2312" w:cs="仿宋_GB2312"/>
          <w:sz w:val="20"/>
          <w:szCs w:val="20"/>
          <w:highlight w:val="none"/>
          <w:lang w:val="zh-CN"/>
        </w:rPr>
      </w:pPr>
      <w:r>
        <w:rPr>
          <w:rFonts w:hint="eastAsia" w:ascii="仿宋_GB2312" w:hAnsi="仿宋_GB2312" w:eastAsia="仿宋_GB2312" w:cs="仿宋_GB2312"/>
          <w:sz w:val="20"/>
          <w:szCs w:val="20"/>
          <w:highlight w:val="none"/>
          <w:lang w:val="zh-CN"/>
        </w:rPr>
        <w:t>1.1.3</w:t>
      </w:r>
      <w:r>
        <w:rPr>
          <w:rFonts w:hint="eastAsia" w:ascii="仿宋_GB2312" w:hAnsi="仿宋_GB2312" w:eastAsia="仿宋_GB2312" w:cs="仿宋_GB2312"/>
          <w:sz w:val="20"/>
          <w:szCs w:val="20"/>
          <w:highlight w:val="none"/>
        </w:rPr>
        <w:t>投标</w:t>
      </w:r>
      <w:r>
        <w:rPr>
          <w:rFonts w:hint="eastAsia" w:ascii="仿宋_GB2312" w:hAnsi="仿宋_GB2312" w:eastAsia="仿宋_GB2312" w:cs="仿宋_GB2312"/>
          <w:sz w:val="20"/>
          <w:szCs w:val="20"/>
          <w:highlight w:val="none"/>
          <w:lang w:val="zh-CN"/>
        </w:rPr>
        <w:t>文件（含澄清或者说明文件）；</w:t>
      </w:r>
    </w:p>
    <w:p w14:paraId="247C54EB">
      <w:pPr>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textAlignment w:val="auto"/>
        <w:rPr>
          <w:rFonts w:hint="eastAsia" w:ascii="仿宋_GB2312" w:hAnsi="仿宋_GB2312" w:eastAsia="仿宋_GB2312" w:cs="仿宋_GB2312"/>
          <w:sz w:val="20"/>
          <w:szCs w:val="20"/>
          <w:highlight w:val="none"/>
          <w:lang w:val="zh-CN"/>
        </w:rPr>
      </w:pPr>
      <w:r>
        <w:rPr>
          <w:rFonts w:hint="eastAsia" w:ascii="仿宋_GB2312" w:hAnsi="仿宋_GB2312" w:eastAsia="仿宋_GB2312" w:cs="仿宋_GB2312"/>
          <w:sz w:val="20"/>
          <w:szCs w:val="20"/>
          <w:highlight w:val="none"/>
          <w:lang w:val="zh-CN"/>
        </w:rPr>
        <w:t>1.1.4</w:t>
      </w:r>
      <w:r>
        <w:rPr>
          <w:rFonts w:hint="eastAsia" w:ascii="仿宋_GB2312" w:hAnsi="仿宋_GB2312" w:eastAsia="仿宋_GB2312" w:cs="仿宋_GB2312"/>
          <w:sz w:val="20"/>
          <w:szCs w:val="20"/>
          <w:highlight w:val="none"/>
        </w:rPr>
        <w:t>招标</w:t>
      </w:r>
      <w:r>
        <w:rPr>
          <w:rFonts w:hint="eastAsia" w:ascii="仿宋_GB2312" w:hAnsi="仿宋_GB2312" w:eastAsia="仿宋_GB2312" w:cs="仿宋_GB2312"/>
          <w:sz w:val="20"/>
          <w:szCs w:val="20"/>
          <w:highlight w:val="none"/>
          <w:lang w:val="zh-CN"/>
        </w:rPr>
        <w:t>文件（含澄清或者修改文件）；</w:t>
      </w:r>
    </w:p>
    <w:p w14:paraId="595B7232">
      <w:pPr>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textAlignment w:val="auto"/>
        <w:rPr>
          <w:rFonts w:hint="eastAsia" w:ascii="仿宋_GB2312" w:hAnsi="仿宋_GB2312" w:eastAsia="仿宋_GB2312" w:cs="仿宋_GB2312"/>
          <w:sz w:val="20"/>
          <w:szCs w:val="20"/>
          <w:highlight w:val="none"/>
          <w:lang w:val="zh-CN"/>
        </w:rPr>
      </w:pPr>
      <w:r>
        <w:rPr>
          <w:rFonts w:hint="eastAsia" w:ascii="仿宋_GB2312" w:hAnsi="仿宋_GB2312" w:eastAsia="仿宋_GB2312" w:cs="仿宋_GB2312"/>
          <w:sz w:val="20"/>
          <w:szCs w:val="20"/>
          <w:highlight w:val="none"/>
          <w:lang w:val="zh-CN"/>
        </w:rPr>
        <w:t>1.1.5其他相关采购文件。</w:t>
      </w:r>
    </w:p>
    <w:p w14:paraId="353BF03B">
      <w:pPr>
        <w:keepNext w:val="0"/>
        <w:keepLines w:val="0"/>
        <w:pageBreakBefore w:val="0"/>
        <w:widowControl w:val="0"/>
        <w:kinsoku/>
        <w:wordWrap/>
        <w:overflowPunct/>
        <w:topLinePunct w:val="0"/>
        <w:autoSpaceDE/>
        <w:autoSpaceDN/>
        <w:bidi w:val="0"/>
        <w:adjustRightInd/>
        <w:snapToGrid/>
        <w:spacing w:line="360" w:lineRule="auto"/>
        <w:ind w:right="38" w:rightChars="18" w:firstLine="402" w:firstLineChars="200"/>
        <w:textAlignment w:val="auto"/>
        <w:rPr>
          <w:rFonts w:hint="eastAsia" w:ascii="仿宋_GB2312" w:hAnsi="仿宋_GB2312" w:eastAsia="仿宋_GB2312" w:cs="仿宋_GB2312"/>
          <w:b/>
          <w:bCs/>
          <w:sz w:val="20"/>
          <w:szCs w:val="20"/>
          <w:highlight w:val="none"/>
        </w:rPr>
      </w:pPr>
      <w:bookmarkStart w:id="5" w:name="_Toc24300"/>
      <w:bookmarkStart w:id="6" w:name="_Toc12433"/>
      <w:bookmarkStart w:id="7" w:name="_Toc21295"/>
      <w:bookmarkStart w:id="8" w:name="_Toc22261"/>
      <w:bookmarkStart w:id="9" w:name="_Toc27126"/>
      <w:r>
        <w:rPr>
          <w:rFonts w:hint="eastAsia" w:ascii="仿宋_GB2312" w:hAnsi="仿宋_GB2312" w:eastAsia="仿宋_GB2312" w:cs="仿宋_GB2312"/>
          <w:b/>
          <w:bCs/>
          <w:sz w:val="20"/>
          <w:szCs w:val="20"/>
          <w:highlight w:val="none"/>
        </w:rPr>
        <w:t>1.2货物</w:t>
      </w:r>
      <w:bookmarkEnd w:id="5"/>
      <w:bookmarkEnd w:id="6"/>
      <w:bookmarkEnd w:id="7"/>
      <w:bookmarkEnd w:id="8"/>
      <w:bookmarkEnd w:id="9"/>
    </w:p>
    <w:p w14:paraId="50D9EFB9">
      <w:pPr>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textAlignment w:val="auto"/>
        <w:rPr>
          <w:rFonts w:hint="eastAsia" w:ascii="仿宋_GB2312" w:hAnsi="仿宋_GB2312" w:eastAsia="仿宋_GB2312" w:cs="仿宋_GB2312"/>
          <w:sz w:val="20"/>
          <w:szCs w:val="20"/>
          <w:highlight w:val="none"/>
          <w:lang w:val="zh-CN"/>
        </w:rPr>
      </w:pPr>
      <w:r>
        <w:rPr>
          <w:rFonts w:hint="eastAsia" w:ascii="仿宋_GB2312" w:hAnsi="仿宋_GB2312" w:eastAsia="仿宋_GB2312" w:cs="仿宋_GB2312"/>
          <w:sz w:val="20"/>
          <w:szCs w:val="20"/>
          <w:highlight w:val="none"/>
          <w:lang w:val="zh-CN"/>
        </w:rPr>
        <w:t>1.2.1货物名称：</w:t>
      </w:r>
      <w:r>
        <w:rPr>
          <w:rFonts w:hint="eastAsia" w:ascii="仿宋_GB2312" w:hAnsi="仿宋_GB2312" w:eastAsia="仿宋_GB2312" w:cs="仿宋_GB2312"/>
          <w:sz w:val="20"/>
          <w:szCs w:val="20"/>
          <w:highlight w:val="none"/>
          <w:u w:val="single"/>
          <w:lang w:val="zh-CN"/>
        </w:rPr>
        <w:t>　　　　　　　　　　</w:t>
      </w:r>
      <w:r>
        <w:rPr>
          <w:rFonts w:hint="eastAsia" w:ascii="仿宋_GB2312" w:hAnsi="仿宋_GB2312" w:eastAsia="仿宋_GB2312" w:cs="仿宋_GB2312"/>
          <w:sz w:val="20"/>
          <w:szCs w:val="20"/>
          <w:highlight w:val="none"/>
          <w:lang w:val="zh-CN"/>
        </w:rPr>
        <w:t>；</w:t>
      </w:r>
    </w:p>
    <w:p w14:paraId="26A56B01">
      <w:pPr>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textAlignment w:val="auto"/>
        <w:rPr>
          <w:rFonts w:hint="eastAsia" w:ascii="仿宋_GB2312" w:hAnsi="仿宋_GB2312" w:eastAsia="仿宋_GB2312" w:cs="仿宋_GB2312"/>
          <w:sz w:val="20"/>
          <w:szCs w:val="20"/>
          <w:highlight w:val="none"/>
          <w:lang w:val="zh-CN"/>
        </w:rPr>
      </w:pPr>
      <w:r>
        <w:rPr>
          <w:rFonts w:hint="eastAsia" w:ascii="仿宋_GB2312" w:hAnsi="仿宋_GB2312" w:eastAsia="仿宋_GB2312" w:cs="仿宋_GB2312"/>
          <w:sz w:val="20"/>
          <w:szCs w:val="20"/>
          <w:highlight w:val="none"/>
          <w:lang w:val="zh-CN"/>
        </w:rPr>
        <w:t>1.2.2货物数量：</w:t>
      </w:r>
      <w:r>
        <w:rPr>
          <w:rFonts w:hint="eastAsia" w:ascii="仿宋_GB2312" w:hAnsi="仿宋_GB2312" w:eastAsia="仿宋_GB2312" w:cs="仿宋_GB2312"/>
          <w:sz w:val="20"/>
          <w:szCs w:val="20"/>
          <w:highlight w:val="none"/>
          <w:u w:val="single"/>
          <w:lang w:val="zh-CN"/>
        </w:rPr>
        <w:t>　　　　　　　　　　</w:t>
      </w:r>
      <w:r>
        <w:rPr>
          <w:rFonts w:hint="eastAsia" w:ascii="仿宋_GB2312" w:hAnsi="仿宋_GB2312" w:eastAsia="仿宋_GB2312" w:cs="仿宋_GB2312"/>
          <w:sz w:val="20"/>
          <w:szCs w:val="20"/>
          <w:highlight w:val="none"/>
          <w:lang w:val="zh-CN"/>
        </w:rPr>
        <w:t>；</w:t>
      </w:r>
    </w:p>
    <w:p w14:paraId="17EA90FA">
      <w:pPr>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textAlignment w:val="auto"/>
        <w:rPr>
          <w:rFonts w:hint="eastAsia" w:ascii="仿宋_GB2312" w:hAnsi="仿宋_GB2312" w:eastAsia="仿宋_GB2312" w:cs="仿宋_GB2312"/>
          <w:sz w:val="20"/>
          <w:szCs w:val="20"/>
          <w:highlight w:val="none"/>
          <w:lang w:val="zh-CN"/>
        </w:rPr>
      </w:pPr>
      <w:r>
        <w:rPr>
          <w:rFonts w:hint="eastAsia" w:ascii="仿宋_GB2312" w:hAnsi="仿宋_GB2312" w:eastAsia="仿宋_GB2312" w:cs="仿宋_GB2312"/>
          <w:sz w:val="20"/>
          <w:szCs w:val="20"/>
          <w:highlight w:val="none"/>
          <w:lang w:val="zh-CN"/>
        </w:rPr>
        <w:t>1.2.3货物质量：</w:t>
      </w:r>
      <w:r>
        <w:rPr>
          <w:rFonts w:hint="eastAsia" w:ascii="仿宋_GB2312" w:hAnsi="仿宋_GB2312" w:eastAsia="仿宋_GB2312" w:cs="仿宋_GB2312"/>
          <w:sz w:val="20"/>
          <w:szCs w:val="20"/>
          <w:highlight w:val="none"/>
          <w:u w:val="single"/>
          <w:lang w:val="zh-CN"/>
        </w:rPr>
        <w:t>　　　　　　　　　　</w:t>
      </w:r>
      <w:r>
        <w:rPr>
          <w:rFonts w:hint="eastAsia" w:ascii="仿宋_GB2312" w:hAnsi="仿宋_GB2312" w:eastAsia="仿宋_GB2312" w:cs="仿宋_GB2312"/>
          <w:sz w:val="20"/>
          <w:szCs w:val="20"/>
          <w:highlight w:val="none"/>
          <w:lang w:val="zh-CN"/>
        </w:rPr>
        <w:t>。</w:t>
      </w:r>
    </w:p>
    <w:p w14:paraId="650D0AD5">
      <w:pPr>
        <w:keepNext w:val="0"/>
        <w:keepLines w:val="0"/>
        <w:pageBreakBefore w:val="0"/>
        <w:widowControl w:val="0"/>
        <w:kinsoku/>
        <w:wordWrap/>
        <w:overflowPunct/>
        <w:topLinePunct w:val="0"/>
        <w:autoSpaceDE/>
        <w:autoSpaceDN/>
        <w:bidi w:val="0"/>
        <w:adjustRightInd/>
        <w:snapToGrid/>
        <w:spacing w:line="360" w:lineRule="auto"/>
        <w:ind w:right="38" w:rightChars="18" w:firstLine="402" w:firstLineChars="200"/>
        <w:textAlignment w:val="auto"/>
        <w:rPr>
          <w:rFonts w:hint="eastAsia" w:ascii="仿宋_GB2312" w:hAnsi="仿宋_GB2312" w:eastAsia="仿宋_GB2312" w:cs="仿宋_GB2312"/>
          <w:b/>
          <w:bCs/>
          <w:sz w:val="20"/>
          <w:szCs w:val="20"/>
          <w:highlight w:val="none"/>
        </w:rPr>
      </w:pPr>
      <w:bookmarkStart w:id="10" w:name="_Toc21631"/>
      <w:bookmarkStart w:id="11" w:name="_Toc21551"/>
      <w:bookmarkStart w:id="12" w:name="_Toc23292"/>
      <w:bookmarkStart w:id="13" w:name="_Toc20892"/>
      <w:bookmarkStart w:id="14" w:name="_Toc2609"/>
      <w:r>
        <w:rPr>
          <w:rFonts w:hint="eastAsia" w:ascii="仿宋_GB2312" w:hAnsi="仿宋_GB2312" w:eastAsia="仿宋_GB2312" w:cs="仿宋_GB2312"/>
          <w:b/>
          <w:bCs/>
          <w:sz w:val="20"/>
          <w:szCs w:val="20"/>
          <w:highlight w:val="none"/>
        </w:rPr>
        <w:t>1.3价款</w:t>
      </w:r>
      <w:bookmarkEnd w:id="10"/>
      <w:bookmarkEnd w:id="11"/>
      <w:bookmarkEnd w:id="12"/>
      <w:bookmarkEnd w:id="13"/>
      <w:bookmarkEnd w:id="14"/>
    </w:p>
    <w:p w14:paraId="6F2BA453">
      <w:pPr>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textAlignment w:val="auto"/>
        <w:rPr>
          <w:rFonts w:hint="eastAsia" w:ascii="仿宋_GB2312" w:hAnsi="仿宋_GB2312" w:eastAsia="仿宋_GB2312" w:cs="仿宋_GB2312"/>
          <w:sz w:val="20"/>
          <w:szCs w:val="20"/>
          <w:highlight w:val="none"/>
          <w:lang w:val="zh-CN"/>
        </w:rPr>
      </w:pPr>
      <w:r>
        <w:rPr>
          <w:rFonts w:hint="eastAsia" w:ascii="仿宋_GB2312" w:hAnsi="仿宋_GB2312" w:eastAsia="仿宋_GB2312" w:cs="仿宋_GB2312"/>
          <w:sz w:val="20"/>
          <w:szCs w:val="20"/>
          <w:highlight w:val="none"/>
          <w:lang w:val="zh-CN"/>
        </w:rPr>
        <w:t>本合同总价为：</w:t>
      </w:r>
      <w:r>
        <w:rPr>
          <w:rFonts w:hint="eastAsia" w:ascii="仿宋_GB2312" w:hAnsi="仿宋_GB2312" w:eastAsia="仿宋_GB2312" w:cs="仿宋_GB2312"/>
          <w:sz w:val="20"/>
          <w:szCs w:val="20"/>
          <w:highlight w:val="none"/>
          <w:u w:val="single"/>
          <w:lang w:val="zh-CN"/>
        </w:rPr>
        <w:t>　　　　　　　</w:t>
      </w:r>
      <w:r>
        <w:rPr>
          <w:rFonts w:hint="eastAsia" w:ascii="仿宋_GB2312" w:hAnsi="仿宋_GB2312" w:eastAsia="仿宋_GB2312" w:cs="仿宋_GB2312"/>
          <w:sz w:val="20"/>
          <w:szCs w:val="20"/>
          <w:highlight w:val="none"/>
          <w:lang w:val="zh-CN"/>
        </w:rPr>
        <w:t>￥元（大写：</w:t>
      </w:r>
      <w:r>
        <w:rPr>
          <w:rFonts w:hint="eastAsia" w:ascii="仿宋_GB2312" w:hAnsi="仿宋_GB2312" w:eastAsia="仿宋_GB2312" w:cs="仿宋_GB2312"/>
          <w:sz w:val="20"/>
          <w:szCs w:val="20"/>
          <w:highlight w:val="none"/>
          <w:u w:val="single"/>
          <w:lang w:val="zh-CN"/>
        </w:rPr>
        <w:t>　　　　　　　</w:t>
      </w:r>
      <w:r>
        <w:rPr>
          <w:rFonts w:hint="eastAsia" w:ascii="仿宋_GB2312" w:hAnsi="仿宋_GB2312" w:eastAsia="仿宋_GB2312" w:cs="仿宋_GB2312"/>
          <w:sz w:val="20"/>
          <w:szCs w:val="20"/>
          <w:highlight w:val="none"/>
          <w:lang w:val="zh-CN"/>
        </w:rPr>
        <w:t>元人民币）。</w:t>
      </w:r>
    </w:p>
    <w:p w14:paraId="18313570">
      <w:pPr>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textAlignment w:val="auto"/>
        <w:rPr>
          <w:rFonts w:hint="eastAsia" w:ascii="仿宋_GB2312" w:hAnsi="仿宋_GB2312" w:eastAsia="仿宋_GB2312" w:cs="仿宋_GB2312"/>
          <w:sz w:val="20"/>
          <w:szCs w:val="20"/>
          <w:highlight w:val="none"/>
          <w:lang w:val="zh-CN"/>
        </w:rPr>
      </w:pPr>
      <w:r>
        <w:rPr>
          <w:rFonts w:hint="eastAsia" w:ascii="仿宋_GB2312" w:hAnsi="仿宋_GB2312" w:eastAsia="仿宋_GB2312" w:cs="仿宋_GB2312"/>
          <w:sz w:val="20"/>
          <w:szCs w:val="20"/>
          <w:highlight w:val="none"/>
          <w:lang w:val="zh-CN"/>
        </w:rPr>
        <w:t>分项价格：</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1"/>
        <w:gridCol w:w="3402"/>
        <w:gridCol w:w="2552"/>
      </w:tblGrid>
      <w:tr w14:paraId="6E464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66B28EE1">
            <w:pPr>
              <w:pStyle w:val="6"/>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序号</w:t>
            </w:r>
          </w:p>
        </w:tc>
        <w:tc>
          <w:tcPr>
            <w:tcW w:w="3402" w:type="dxa"/>
            <w:noWrap w:val="0"/>
            <w:vAlign w:val="center"/>
          </w:tcPr>
          <w:p w14:paraId="4F9794D9">
            <w:pPr>
              <w:pStyle w:val="6"/>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分项名称</w:t>
            </w:r>
          </w:p>
        </w:tc>
        <w:tc>
          <w:tcPr>
            <w:tcW w:w="2552" w:type="dxa"/>
            <w:noWrap w:val="0"/>
            <w:vAlign w:val="center"/>
          </w:tcPr>
          <w:p w14:paraId="0FBBDE44">
            <w:pPr>
              <w:pStyle w:val="6"/>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分项价格</w:t>
            </w:r>
          </w:p>
        </w:tc>
      </w:tr>
      <w:tr w14:paraId="1CFD6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329B1B21">
            <w:pPr>
              <w:pStyle w:val="6"/>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jc w:val="center"/>
              <w:textAlignment w:val="auto"/>
              <w:rPr>
                <w:rFonts w:hint="eastAsia" w:ascii="仿宋_GB2312" w:hAnsi="仿宋_GB2312" w:eastAsia="仿宋_GB2312" w:cs="仿宋_GB2312"/>
                <w:sz w:val="20"/>
                <w:szCs w:val="20"/>
                <w:highlight w:val="none"/>
              </w:rPr>
            </w:pPr>
          </w:p>
        </w:tc>
        <w:tc>
          <w:tcPr>
            <w:tcW w:w="3402" w:type="dxa"/>
            <w:noWrap w:val="0"/>
            <w:vAlign w:val="center"/>
          </w:tcPr>
          <w:p w14:paraId="36CD7A0D">
            <w:pPr>
              <w:pStyle w:val="6"/>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jc w:val="center"/>
              <w:textAlignment w:val="auto"/>
              <w:rPr>
                <w:rFonts w:hint="eastAsia" w:ascii="仿宋_GB2312" w:hAnsi="仿宋_GB2312" w:eastAsia="仿宋_GB2312" w:cs="仿宋_GB2312"/>
                <w:sz w:val="20"/>
                <w:szCs w:val="20"/>
                <w:highlight w:val="none"/>
              </w:rPr>
            </w:pPr>
          </w:p>
        </w:tc>
        <w:tc>
          <w:tcPr>
            <w:tcW w:w="2552" w:type="dxa"/>
            <w:noWrap w:val="0"/>
            <w:vAlign w:val="center"/>
          </w:tcPr>
          <w:p w14:paraId="031BBC55">
            <w:pPr>
              <w:pStyle w:val="6"/>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jc w:val="center"/>
              <w:textAlignment w:val="auto"/>
              <w:rPr>
                <w:rFonts w:hint="eastAsia" w:ascii="仿宋_GB2312" w:hAnsi="仿宋_GB2312" w:eastAsia="仿宋_GB2312" w:cs="仿宋_GB2312"/>
                <w:sz w:val="20"/>
                <w:szCs w:val="20"/>
                <w:highlight w:val="none"/>
              </w:rPr>
            </w:pPr>
          </w:p>
        </w:tc>
      </w:tr>
      <w:tr w14:paraId="32D54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63FDAE3E">
            <w:pPr>
              <w:pStyle w:val="6"/>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jc w:val="center"/>
              <w:textAlignment w:val="auto"/>
              <w:rPr>
                <w:rFonts w:hint="eastAsia" w:ascii="仿宋_GB2312" w:hAnsi="仿宋_GB2312" w:eastAsia="仿宋_GB2312" w:cs="仿宋_GB2312"/>
                <w:sz w:val="20"/>
                <w:szCs w:val="20"/>
                <w:highlight w:val="none"/>
              </w:rPr>
            </w:pPr>
          </w:p>
        </w:tc>
        <w:tc>
          <w:tcPr>
            <w:tcW w:w="3402" w:type="dxa"/>
            <w:noWrap w:val="0"/>
            <w:vAlign w:val="center"/>
          </w:tcPr>
          <w:p w14:paraId="072745EF">
            <w:pPr>
              <w:pStyle w:val="6"/>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jc w:val="center"/>
              <w:textAlignment w:val="auto"/>
              <w:rPr>
                <w:rFonts w:hint="eastAsia" w:ascii="仿宋_GB2312" w:hAnsi="仿宋_GB2312" w:eastAsia="仿宋_GB2312" w:cs="仿宋_GB2312"/>
                <w:sz w:val="20"/>
                <w:szCs w:val="20"/>
                <w:highlight w:val="none"/>
              </w:rPr>
            </w:pPr>
          </w:p>
        </w:tc>
        <w:tc>
          <w:tcPr>
            <w:tcW w:w="2552" w:type="dxa"/>
            <w:noWrap w:val="0"/>
            <w:vAlign w:val="center"/>
          </w:tcPr>
          <w:p w14:paraId="29771C06">
            <w:pPr>
              <w:pStyle w:val="6"/>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jc w:val="center"/>
              <w:textAlignment w:val="auto"/>
              <w:rPr>
                <w:rFonts w:hint="eastAsia" w:ascii="仿宋_GB2312" w:hAnsi="仿宋_GB2312" w:eastAsia="仿宋_GB2312" w:cs="仿宋_GB2312"/>
                <w:sz w:val="20"/>
                <w:szCs w:val="20"/>
                <w:highlight w:val="none"/>
              </w:rPr>
            </w:pPr>
          </w:p>
        </w:tc>
      </w:tr>
      <w:tr w14:paraId="40B61F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1BC0574C">
            <w:pPr>
              <w:pStyle w:val="6"/>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jc w:val="center"/>
              <w:textAlignment w:val="auto"/>
              <w:rPr>
                <w:rFonts w:hint="eastAsia" w:ascii="仿宋_GB2312" w:hAnsi="仿宋_GB2312" w:eastAsia="仿宋_GB2312" w:cs="仿宋_GB2312"/>
                <w:sz w:val="20"/>
                <w:szCs w:val="20"/>
                <w:highlight w:val="none"/>
              </w:rPr>
            </w:pPr>
          </w:p>
        </w:tc>
        <w:tc>
          <w:tcPr>
            <w:tcW w:w="3402" w:type="dxa"/>
            <w:noWrap w:val="0"/>
            <w:vAlign w:val="center"/>
          </w:tcPr>
          <w:p w14:paraId="094D2FC6">
            <w:pPr>
              <w:pStyle w:val="6"/>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jc w:val="center"/>
              <w:textAlignment w:val="auto"/>
              <w:rPr>
                <w:rFonts w:hint="eastAsia" w:ascii="仿宋_GB2312" w:hAnsi="仿宋_GB2312" w:eastAsia="仿宋_GB2312" w:cs="仿宋_GB2312"/>
                <w:sz w:val="20"/>
                <w:szCs w:val="20"/>
                <w:highlight w:val="none"/>
              </w:rPr>
            </w:pPr>
          </w:p>
        </w:tc>
        <w:tc>
          <w:tcPr>
            <w:tcW w:w="2552" w:type="dxa"/>
            <w:noWrap w:val="0"/>
            <w:vAlign w:val="center"/>
          </w:tcPr>
          <w:p w14:paraId="1A3F205B">
            <w:pPr>
              <w:pStyle w:val="6"/>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jc w:val="center"/>
              <w:textAlignment w:val="auto"/>
              <w:rPr>
                <w:rFonts w:hint="eastAsia" w:ascii="仿宋_GB2312" w:hAnsi="仿宋_GB2312" w:eastAsia="仿宋_GB2312" w:cs="仿宋_GB2312"/>
                <w:sz w:val="20"/>
                <w:szCs w:val="20"/>
                <w:highlight w:val="none"/>
              </w:rPr>
            </w:pPr>
          </w:p>
        </w:tc>
      </w:tr>
      <w:tr w14:paraId="7BFCD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1201" w:type="dxa"/>
            <w:noWrap w:val="0"/>
            <w:vAlign w:val="center"/>
          </w:tcPr>
          <w:p w14:paraId="115811B5">
            <w:pPr>
              <w:pStyle w:val="6"/>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jc w:val="center"/>
              <w:textAlignment w:val="auto"/>
              <w:rPr>
                <w:rFonts w:hint="eastAsia" w:ascii="仿宋_GB2312" w:hAnsi="仿宋_GB2312" w:eastAsia="仿宋_GB2312" w:cs="仿宋_GB2312"/>
                <w:sz w:val="20"/>
                <w:szCs w:val="20"/>
                <w:highlight w:val="none"/>
              </w:rPr>
            </w:pPr>
          </w:p>
        </w:tc>
        <w:tc>
          <w:tcPr>
            <w:tcW w:w="3402" w:type="dxa"/>
            <w:noWrap w:val="0"/>
            <w:vAlign w:val="center"/>
          </w:tcPr>
          <w:p w14:paraId="3967EE6E">
            <w:pPr>
              <w:pStyle w:val="6"/>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jc w:val="center"/>
              <w:textAlignment w:val="auto"/>
              <w:rPr>
                <w:rFonts w:hint="eastAsia" w:ascii="仿宋_GB2312" w:hAnsi="仿宋_GB2312" w:eastAsia="仿宋_GB2312" w:cs="仿宋_GB2312"/>
                <w:sz w:val="20"/>
                <w:szCs w:val="20"/>
                <w:highlight w:val="none"/>
              </w:rPr>
            </w:pPr>
          </w:p>
        </w:tc>
        <w:tc>
          <w:tcPr>
            <w:tcW w:w="2552" w:type="dxa"/>
            <w:noWrap w:val="0"/>
            <w:vAlign w:val="center"/>
          </w:tcPr>
          <w:p w14:paraId="7A1E2E82">
            <w:pPr>
              <w:pStyle w:val="6"/>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jc w:val="center"/>
              <w:textAlignment w:val="auto"/>
              <w:rPr>
                <w:rFonts w:hint="eastAsia" w:ascii="仿宋_GB2312" w:hAnsi="仿宋_GB2312" w:eastAsia="仿宋_GB2312" w:cs="仿宋_GB2312"/>
                <w:sz w:val="20"/>
                <w:szCs w:val="20"/>
                <w:highlight w:val="none"/>
              </w:rPr>
            </w:pPr>
          </w:p>
        </w:tc>
      </w:tr>
      <w:tr w14:paraId="70623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9" w:hRule="atLeast"/>
          <w:jc w:val="center"/>
        </w:trPr>
        <w:tc>
          <w:tcPr>
            <w:tcW w:w="4603" w:type="dxa"/>
            <w:gridSpan w:val="2"/>
            <w:noWrap w:val="0"/>
            <w:vAlign w:val="center"/>
          </w:tcPr>
          <w:p w14:paraId="05C7777B">
            <w:pPr>
              <w:pStyle w:val="6"/>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jc w:val="center"/>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总价</w:t>
            </w:r>
          </w:p>
        </w:tc>
        <w:tc>
          <w:tcPr>
            <w:tcW w:w="2552" w:type="dxa"/>
            <w:noWrap w:val="0"/>
            <w:vAlign w:val="center"/>
          </w:tcPr>
          <w:p w14:paraId="6C25B1B5">
            <w:pPr>
              <w:pStyle w:val="6"/>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jc w:val="center"/>
              <w:textAlignment w:val="auto"/>
              <w:rPr>
                <w:rFonts w:hint="eastAsia" w:ascii="仿宋_GB2312" w:hAnsi="仿宋_GB2312" w:eastAsia="仿宋_GB2312" w:cs="仿宋_GB2312"/>
                <w:sz w:val="20"/>
                <w:szCs w:val="20"/>
                <w:highlight w:val="none"/>
              </w:rPr>
            </w:pPr>
          </w:p>
        </w:tc>
      </w:tr>
    </w:tbl>
    <w:p w14:paraId="48867A3D">
      <w:pPr>
        <w:keepNext w:val="0"/>
        <w:keepLines w:val="0"/>
        <w:pageBreakBefore w:val="0"/>
        <w:widowControl w:val="0"/>
        <w:kinsoku/>
        <w:wordWrap/>
        <w:overflowPunct/>
        <w:topLinePunct w:val="0"/>
        <w:autoSpaceDE/>
        <w:autoSpaceDN/>
        <w:bidi w:val="0"/>
        <w:adjustRightInd/>
        <w:snapToGrid/>
        <w:spacing w:line="360" w:lineRule="auto"/>
        <w:ind w:right="38" w:rightChars="18" w:firstLine="402" w:firstLineChars="200"/>
        <w:textAlignment w:val="auto"/>
        <w:rPr>
          <w:rFonts w:hint="eastAsia" w:ascii="仿宋_GB2312" w:hAnsi="仿宋_GB2312" w:eastAsia="仿宋_GB2312" w:cs="仿宋_GB2312"/>
          <w:b/>
          <w:bCs/>
          <w:sz w:val="20"/>
          <w:szCs w:val="20"/>
          <w:highlight w:val="none"/>
        </w:rPr>
      </w:pPr>
      <w:bookmarkStart w:id="15" w:name="_Toc10340"/>
      <w:bookmarkStart w:id="16" w:name="_Toc23571"/>
      <w:bookmarkStart w:id="17" w:name="_Toc14984"/>
      <w:bookmarkStart w:id="18" w:name="_Toc1814"/>
      <w:bookmarkStart w:id="19" w:name="_Toc22618"/>
      <w:r>
        <w:rPr>
          <w:rFonts w:hint="eastAsia" w:ascii="仿宋_GB2312" w:hAnsi="仿宋_GB2312" w:eastAsia="仿宋_GB2312" w:cs="仿宋_GB2312"/>
          <w:b/>
          <w:bCs/>
          <w:sz w:val="20"/>
          <w:szCs w:val="20"/>
          <w:highlight w:val="none"/>
        </w:rPr>
        <w:t>1.4付款方式和发票开具方式</w:t>
      </w:r>
      <w:bookmarkEnd w:id="15"/>
      <w:bookmarkEnd w:id="16"/>
      <w:bookmarkEnd w:id="17"/>
      <w:bookmarkEnd w:id="18"/>
      <w:bookmarkEnd w:id="19"/>
    </w:p>
    <w:p w14:paraId="01A1E575">
      <w:pPr>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textAlignment w:val="auto"/>
        <w:rPr>
          <w:rFonts w:hint="eastAsia" w:ascii="仿宋_GB2312" w:hAnsi="仿宋_GB2312" w:eastAsia="仿宋_GB2312" w:cs="仿宋_GB2312"/>
          <w:sz w:val="20"/>
          <w:szCs w:val="20"/>
          <w:highlight w:val="none"/>
          <w:lang w:val="en-US" w:eastAsia="zh-CN"/>
        </w:rPr>
      </w:pPr>
      <w:bookmarkStart w:id="20" w:name="_Toc32071"/>
      <w:bookmarkStart w:id="21" w:name="_Toc7370"/>
      <w:bookmarkStart w:id="22" w:name="_Toc19304"/>
      <w:bookmarkStart w:id="23" w:name="_Toc10909"/>
      <w:bookmarkStart w:id="24" w:name="_Toc2846"/>
      <w:r>
        <w:rPr>
          <w:rFonts w:hint="eastAsia" w:ascii="仿宋_GB2312" w:hAnsi="仿宋_GB2312" w:eastAsia="仿宋_GB2312" w:cs="仿宋_GB2312"/>
          <w:sz w:val="20"/>
          <w:szCs w:val="20"/>
          <w:highlight w:val="none"/>
          <w:lang w:val="en-US" w:eastAsia="zh-CN"/>
        </w:rPr>
        <w:t>1.4.1合同签订完成，且完成量体后，供货商提供正规发票，达到付款条件起20日内，支付合同总金额的60%。</w:t>
      </w:r>
    </w:p>
    <w:p w14:paraId="02FCE8B3">
      <w:pPr>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1.4.2货物全部到货验收合格后，供货商提供正规发票，达到付款条件起20日内，支付合同总金额的40%。</w:t>
      </w:r>
    </w:p>
    <w:p w14:paraId="17692D83">
      <w:pPr>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1.4.3供应商承诺在采购人办理以上各期付款的支付手续前，为采购人出具等额的符合国家规定的发票；</w:t>
      </w:r>
    </w:p>
    <w:p w14:paraId="42EE07F7">
      <w:pPr>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textAlignment w:val="auto"/>
        <w:rPr>
          <w:rFonts w:hint="eastAsia" w:ascii="仿宋_GB2312" w:hAnsi="仿宋_GB2312" w:eastAsia="仿宋_GB2312" w:cs="仿宋_GB2312"/>
          <w:sz w:val="20"/>
          <w:szCs w:val="20"/>
          <w:highlight w:val="none"/>
          <w:lang w:val="en-US" w:eastAsia="zh-CN"/>
        </w:rPr>
      </w:pPr>
      <w:r>
        <w:rPr>
          <w:rFonts w:hint="eastAsia" w:ascii="仿宋_GB2312" w:hAnsi="仿宋_GB2312" w:eastAsia="仿宋_GB2312" w:cs="仿宋_GB2312"/>
          <w:sz w:val="20"/>
          <w:szCs w:val="20"/>
          <w:highlight w:val="none"/>
          <w:lang w:val="en-US" w:eastAsia="zh-CN"/>
        </w:rPr>
        <w:t>1.4.4上述时间不包括采购人正常办理支付报批手续的时间。</w:t>
      </w:r>
    </w:p>
    <w:p w14:paraId="5D77804C">
      <w:pPr>
        <w:keepNext w:val="0"/>
        <w:keepLines w:val="0"/>
        <w:pageBreakBefore w:val="0"/>
        <w:widowControl w:val="0"/>
        <w:kinsoku/>
        <w:wordWrap/>
        <w:overflowPunct/>
        <w:topLinePunct w:val="0"/>
        <w:autoSpaceDE/>
        <w:autoSpaceDN/>
        <w:bidi w:val="0"/>
        <w:adjustRightInd/>
        <w:snapToGrid/>
        <w:spacing w:line="360" w:lineRule="auto"/>
        <w:ind w:right="38" w:rightChars="18" w:firstLine="402" w:firstLineChars="200"/>
        <w:textAlignment w:val="auto"/>
        <w:rPr>
          <w:rFonts w:hint="eastAsia" w:ascii="仿宋_GB2312" w:hAnsi="仿宋_GB2312" w:eastAsia="仿宋_GB2312" w:cs="仿宋_GB2312"/>
          <w:b/>
          <w:bCs/>
          <w:sz w:val="20"/>
          <w:szCs w:val="20"/>
          <w:highlight w:val="none"/>
        </w:rPr>
      </w:pPr>
      <w:r>
        <w:rPr>
          <w:rFonts w:hint="eastAsia" w:ascii="仿宋_GB2312" w:hAnsi="仿宋_GB2312" w:eastAsia="仿宋_GB2312" w:cs="仿宋_GB2312"/>
          <w:b/>
          <w:bCs/>
          <w:sz w:val="20"/>
          <w:szCs w:val="20"/>
          <w:highlight w:val="none"/>
        </w:rPr>
        <w:t>1.5货物交付期限、地点和方式</w:t>
      </w:r>
      <w:bookmarkEnd w:id="20"/>
      <w:bookmarkEnd w:id="21"/>
      <w:bookmarkEnd w:id="22"/>
      <w:bookmarkEnd w:id="23"/>
      <w:bookmarkEnd w:id="24"/>
    </w:p>
    <w:p w14:paraId="44C0CE3D">
      <w:pPr>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textAlignment w:val="auto"/>
        <w:rPr>
          <w:rFonts w:hint="eastAsia" w:ascii="仿宋_GB2312" w:hAnsi="仿宋_GB2312" w:eastAsia="仿宋_GB2312" w:cs="仿宋_GB2312"/>
          <w:sz w:val="20"/>
          <w:szCs w:val="20"/>
          <w:highlight w:val="none"/>
          <w:u w:val="single"/>
        </w:rPr>
      </w:pPr>
      <w:r>
        <w:rPr>
          <w:rFonts w:hint="eastAsia" w:ascii="仿宋_GB2312" w:hAnsi="仿宋_GB2312" w:eastAsia="仿宋_GB2312" w:cs="仿宋_GB2312"/>
          <w:sz w:val="20"/>
          <w:szCs w:val="20"/>
          <w:highlight w:val="none"/>
        </w:rPr>
        <w:t>1.5.1</w:t>
      </w:r>
      <w:r>
        <w:rPr>
          <w:rFonts w:hint="eastAsia" w:ascii="仿宋_GB2312" w:hAnsi="仿宋_GB2312" w:eastAsia="仿宋_GB2312" w:cs="仿宋_GB2312"/>
          <w:sz w:val="20"/>
          <w:szCs w:val="20"/>
          <w:highlight w:val="none"/>
          <w:lang w:eastAsia="zh-CN"/>
        </w:rPr>
        <w:t>交货期</w:t>
      </w:r>
      <w:r>
        <w:rPr>
          <w:rFonts w:hint="eastAsia" w:ascii="仿宋_GB2312" w:hAnsi="仿宋_GB2312" w:eastAsia="仿宋_GB2312" w:cs="仿宋_GB2312"/>
          <w:sz w:val="20"/>
          <w:szCs w:val="20"/>
          <w:highlight w:val="none"/>
        </w:rPr>
        <w:t>：</w:t>
      </w:r>
      <w:r>
        <w:rPr>
          <w:rFonts w:hint="eastAsia" w:ascii="仿宋_GB2312" w:hAnsi="仿宋_GB2312" w:eastAsia="仿宋_GB2312" w:cs="仿宋_GB2312"/>
          <w:sz w:val="20"/>
          <w:szCs w:val="20"/>
          <w:highlight w:val="none"/>
          <w:lang w:val="en-US" w:eastAsia="zh-CN"/>
        </w:rPr>
        <w:t>合同签订后3个月内</w:t>
      </w:r>
      <w:r>
        <w:rPr>
          <w:rFonts w:hint="eastAsia" w:ascii="仿宋_GB2312" w:hAnsi="仿宋_GB2312" w:eastAsia="仿宋_GB2312" w:cs="仿宋_GB2312"/>
          <w:sz w:val="20"/>
          <w:szCs w:val="20"/>
          <w:highlight w:val="none"/>
        </w:rPr>
        <w:t>；</w:t>
      </w:r>
    </w:p>
    <w:p w14:paraId="559216D9">
      <w:pPr>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1.5.2交付地点：采购人指定地点。</w:t>
      </w:r>
    </w:p>
    <w:p w14:paraId="68A41107">
      <w:pPr>
        <w:keepNext w:val="0"/>
        <w:keepLines w:val="0"/>
        <w:pageBreakBefore w:val="0"/>
        <w:widowControl w:val="0"/>
        <w:kinsoku/>
        <w:wordWrap/>
        <w:overflowPunct/>
        <w:topLinePunct w:val="0"/>
        <w:autoSpaceDE/>
        <w:autoSpaceDN/>
        <w:bidi w:val="0"/>
        <w:adjustRightInd/>
        <w:snapToGrid/>
        <w:spacing w:line="360" w:lineRule="auto"/>
        <w:ind w:right="38" w:rightChars="18" w:firstLine="402" w:firstLineChars="200"/>
        <w:textAlignment w:val="auto"/>
        <w:rPr>
          <w:rFonts w:hint="eastAsia" w:ascii="仿宋_GB2312" w:hAnsi="仿宋_GB2312" w:eastAsia="仿宋_GB2312" w:cs="仿宋_GB2312"/>
          <w:b/>
          <w:bCs/>
          <w:sz w:val="20"/>
          <w:szCs w:val="20"/>
          <w:highlight w:val="none"/>
        </w:rPr>
      </w:pPr>
      <w:bookmarkStart w:id="25" w:name="_Toc19554"/>
      <w:bookmarkStart w:id="26" w:name="_Toc23398"/>
      <w:bookmarkStart w:id="27" w:name="_Toc7580"/>
      <w:bookmarkStart w:id="28" w:name="_Toc27250"/>
      <w:bookmarkStart w:id="29" w:name="_Toc21423"/>
      <w:r>
        <w:rPr>
          <w:rFonts w:hint="eastAsia" w:ascii="仿宋_GB2312" w:hAnsi="仿宋_GB2312" w:eastAsia="仿宋_GB2312" w:cs="仿宋_GB2312"/>
          <w:b/>
          <w:bCs/>
          <w:sz w:val="20"/>
          <w:szCs w:val="20"/>
          <w:highlight w:val="none"/>
        </w:rPr>
        <w:t>1.6违约责任</w:t>
      </w:r>
      <w:bookmarkEnd w:id="25"/>
      <w:bookmarkEnd w:id="26"/>
      <w:bookmarkEnd w:id="27"/>
      <w:bookmarkEnd w:id="28"/>
      <w:bookmarkEnd w:id="29"/>
    </w:p>
    <w:p w14:paraId="27EB267A">
      <w:pPr>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1.6.1除不可抗力外，如果乙方没有按照本合同约定的期限、地点和方式交付货物，那么甲方可要求乙方支付违约金，违约金按每迟延交付货物一日的应交付而未交付货物价格的</w:t>
      </w:r>
      <w:r>
        <w:rPr>
          <w:rFonts w:hint="eastAsia" w:ascii="仿宋_GB2312" w:hAnsi="仿宋_GB2312" w:eastAsia="仿宋_GB2312" w:cs="仿宋_GB2312"/>
          <w:sz w:val="20"/>
          <w:szCs w:val="20"/>
          <w:highlight w:val="none"/>
          <w:u w:val="single"/>
        </w:rPr>
        <w:t>0.5%</w:t>
      </w:r>
      <w:r>
        <w:rPr>
          <w:rFonts w:hint="eastAsia" w:ascii="仿宋_GB2312" w:hAnsi="仿宋_GB2312" w:eastAsia="仿宋_GB2312" w:cs="仿宋_GB2312"/>
          <w:sz w:val="20"/>
          <w:szCs w:val="20"/>
          <w:highlight w:val="none"/>
        </w:rPr>
        <w:t>计算，最高限额为本合同总价的</w:t>
      </w:r>
      <w:r>
        <w:rPr>
          <w:rFonts w:hint="eastAsia" w:ascii="仿宋_GB2312" w:hAnsi="仿宋_GB2312" w:eastAsia="仿宋_GB2312" w:cs="仿宋_GB2312"/>
          <w:sz w:val="20"/>
          <w:szCs w:val="20"/>
          <w:highlight w:val="none"/>
          <w:u w:val="single"/>
        </w:rPr>
        <w:t>5%</w:t>
      </w:r>
      <w:r>
        <w:rPr>
          <w:rFonts w:hint="eastAsia" w:ascii="仿宋_GB2312" w:hAnsi="仿宋_GB2312" w:eastAsia="仿宋_GB2312" w:cs="仿宋_GB2312"/>
          <w:sz w:val="20"/>
          <w:szCs w:val="20"/>
          <w:highlight w:val="none"/>
        </w:rPr>
        <w:t>；迟延交付货物的违约金计算数额达到前述最高限额之日起，甲方有权在要求乙方支付违约金的同时，书面通知乙方解除本合同；</w:t>
      </w:r>
    </w:p>
    <w:p w14:paraId="356E6E21">
      <w:pPr>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1.6.2除不可抗力外，如果甲方没有按照本合同约定的付款方式付款，那么乙方可要求甲方支付违约金，违约金按每迟延付款一日的应付而未付款的</w:t>
      </w:r>
      <w:r>
        <w:rPr>
          <w:rFonts w:hint="eastAsia" w:ascii="仿宋_GB2312" w:hAnsi="仿宋_GB2312" w:eastAsia="仿宋_GB2312" w:cs="仿宋_GB2312"/>
          <w:sz w:val="20"/>
          <w:szCs w:val="20"/>
          <w:highlight w:val="none"/>
          <w:u w:val="single"/>
        </w:rPr>
        <w:t>0.5%</w:t>
      </w:r>
      <w:r>
        <w:rPr>
          <w:rFonts w:hint="eastAsia" w:ascii="仿宋_GB2312" w:hAnsi="仿宋_GB2312" w:eastAsia="仿宋_GB2312" w:cs="仿宋_GB2312"/>
          <w:sz w:val="20"/>
          <w:szCs w:val="20"/>
          <w:highlight w:val="none"/>
        </w:rPr>
        <w:t>计算，最高限额为本合同总价的</w:t>
      </w:r>
      <w:r>
        <w:rPr>
          <w:rFonts w:hint="eastAsia" w:ascii="仿宋_GB2312" w:hAnsi="仿宋_GB2312" w:eastAsia="仿宋_GB2312" w:cs="仿宋_GB2312"/>
          <w:sz w:val="20"/>
          <w:szCs w:val="20"/>
          <w:highlight w:val="none"/>
          <w:u w:val="single"/>
        </w:rPr>
        <w:t>5%</w:t>
      </w:r>
      <w:r>
        <w:rPr>
          <w:rFonts w:hint="eastAsia" w:ascii="仿宋_GB2312" w:hAnsi="仿宋_GB2312" w:eastAsia="仿宋_GB2312" w:cs="仿宋_GB2312"/>
          <w:sz w:val="20"/>
          <w:szCs w:val="20"/>
          <w:highlight w:val="none"/>
        </w:rPr>
        <w:t>；迟延付款的违约金计算数额达到前述最高限额之日起，迟延付款的违约金计算数额达到前述最高限额之日起，乙方有权在要求甲方支付违约金的同时，书面通知甲方解除本合同；</w:t>
      </w:r>
    </w:p>
    <w:p w14:paraId="7C699809">
      <w:pPr>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14:paraId="04EEF6DB">
      <w:pPr>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77E2118D">
      <w:pPr>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33D86A4A">
      <w:pPr>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1.6.6如果出现政府采购监督管理部门在处理投诉事项期间，书面通知甲方暂停采购活动的情形，或者询问或质疑事项可能影响中标结果的，导致甲方中止履行合同的情形，均不视为甲方违约。</w:t>
      </w:r>
    </w:p>
    <w:p w14:paraId="402283F3">
      <w:pPr>
        <w:keepNext w:val="0"/>
        <w:keepLines w:val="0"/>
        <w:pageBreakBefore w:val="0"/>
        <w:widowControl w:val="0"/>
        <w:kinsoku/>
        <w:wordWrap/>
        <w:overflowPunct/>
        <w:topLinePunct w:val="0"/>
        <w:autoSpaceDE/>
        <w:autoSpaceDN/>
        <w:bidi w:val="0"/>
        <w:adjustRightInd/>
        <w:snapToGrid/>
        <w:spacing w:line="360" w:lineRule="auto"/>
        <w:ind w:right="38" w:rightChars="18" w:firstLine="402" w:firstLineChars="200"/>
        <w:textAlignment w:val="auto"/>
        <w:rPr>
          <w:rFonts w:hint="eastAsia" w:ascii="仿宋_GB2312" w:hAnsi="仿宋_GB2312" w:eastAsia="仿宋_GB2312" w:cs="仿宋_GB2312"/>
          <w:b/>
          <w:bCs/>
          <w:sz w:val="20"/>
          <w:szCs w:val="20"/>
          <w:highlight w:val="none"/>
        </w:rPr>
      </w:pPr>
      <w:bookmarkStart w:id="30" w:name="_Toc15583"/>
      <w:bookmarkStart w:id="31" w:name="_Toc16021"/>
      <w:bookmarkStart w:id="32" w:name="_Toc31257"/>
      <w:bookmarkStart w:id="33" w:name="_Toc28375"/>
      <w:bookmarkStart w:id="34" w:name="_Toc26424"/>
      <w:r>
        <w:rPr>
          <w:rFonts w:hint="eastAsia" w:ascii="仿宋_GB2312" w:hAnsi="仿宋_GB2312" w:eastAsia="仿宋_GB2312" w:cs="仿宋_GB2312"/>
          <w:b/>
          <w:bCs/>
          <w:sz w:val="20"/>
          <w:szCs w:val="20"/>
          <w:highlight w:val="none"/>
        </w:rPr>
        <w:t>1.7合同争议的解决</w:t>
      </w:r>
      <w:bookmarkEnd w:id="30"/>
      <w:bookmarkEnd w:id="31"/>
      <w:bookmarkEnd w:id="32"/>
      <w:bookmarkEnd w:id="33"/>
      <w:bookmarkEnd w:id="34"/>
    </w:p>
    <w:p w14:paraId="32ACBD31">
      <w:pPr>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本合同履行过程中发生的任何争议，双方当事人均可通过和解或者调解解决；不愿和解、调解或者和解、调解不成的，可以选择下列第1.7.2种方式解决：</w:t>
      </w:r>
    </w:p>
    <w:p w14:paraId="08E1A395">
      <w:pPr>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1.7.1将争议提交</w:t>
      </w:r>
      <w:r>
        <w:rPr>
          <w:rFonts w:hint="eastAsia" w:ascii="仿宋_GB2312" w:hAnsi="仿宋_GB2312" w:eastAsia="仿宋_GB2312" w:cs="仿宋_GB2312"/>
          <w:sz w:val="20"/>
          <w:szCs w:val="20"/>
          <w:highlight w:val="none"/>
          <w:u w:val="single"/>
        </w:rPr>
        <w:t>合同签订地</w:t>
      </w:r>
      <w:r>
        <w:rPr>
          <w:rFonts w:hint="eastAsia" w:ascii="仿宋_GB2312" w:hAnsi="仿宋_GB2312" w:eastAsia="仿宋_GB2312" w:cs="仿宋_GB2312"/>
          <w:sz w:val="20"/>
          <w:szCs w:val="20"/>
          <w:highlight w:val="none"/>
        </w:rPr>
        <w:t>仲裁委员会依申请仲裁时其现行有效的仲裁规则裁决；</w:t>
      </w:r>
    </w:p>
    <w:p w14:paraId="6B2EFB9A">
      <w:pPr>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1.7.2向</w:t>
      </w:r>
      <w:r>
        <w:rPr>
          <w:rFonts w:hint="eastAsia" w:ascii="仿宋_GB2312" w:hAnsi="仿宋_GB2312" w:eastAsia="仿宋_GB2312" w:cs="仿宋_GB2312"/>
          <w:sz w:val="20"/>
          <w:szCs w:val="20"/>
          <w:highlight w:val="none"/>
          <w:u w:val="single"/>
        </w:rPr>
        <w:t>合同签订地</w:t>
      </w:r>
      <w:r>
        <w:rPr>
          <w:rFonts w:hint="eastAsia" w:ascii="仿宋_GB2312" w:hAnsi="仿宋_GB2312" w:eastAsia="仿宋_GB2312" w:cs="仿宋_GB2312"/>
          <w:sz w:val="20"/>
          <w:szCs w:val="20"/>
          <w:highlight w:val="none"/>
        </w:rPr>
        <w:t>人民法院起诉。</w:t>
      </w:r>
    </w:p>
    <w:p w14:paraId="614D5384">
      <w:pPr>
        <w:keepNext w:val="0"/>
        <w:keepLines w:val="0"/>
        <w:pageBreakBefore w:val="0"/>
        <w:widowControl w:val="0"/>
        <w:kinsoku/>
        <w:wordWrap/>
        <w:overflowPunct/>
        <w:topLinePunct w:val="0"/>
        <w:autoSpaceDE/>
        <w:autoSpaceDN/>
        <w:bidi w:val="0"/>
        <w:adjustRightInd/>
        <w:snapToGrid/>
        <w:spacing w:line="360" w:lineRule="auto"/>
        <w:ind w:right="38" w:rightChars="18" w:firstLine="402" w:firstLineChars="200"/>
        <w:textAlignment w:val="auto"/>
        <w:rPr>
          <w:rFonts w:hint="eastAsia" w:ascii="仿宋_GB2312" w:hAnsi="仿宋_GB2312" w:eastAsia="仿宋_GB2312" w:cs="仿宋_GB2312"/>
          <w:b/>
          <w:bCs/>
          <w:sz w:val="20"/>
          <w:szCs w:val="20"/>
          <w:highlight w:val="none"/>
        </w:rPr>
      </w:pPr>
      <w:bookmarkStart w:id="35" w:name="_Toc11173"/>
      <w:bookmarkStart w:id="36" w:name="_Toc11867"/>
      <w:bookmarkStart w:id="37" w:name="_Toc7245"/>
      <w:bookmarkStart w:id="38" w:name="_Toc10056"/>
      <w:bookmarkStart w:id="39" w:name="_Toc15322"/>
      <w:r>
        <w:rPr>
          <w:rFonts w:hint="eastAsia" w:ascii="仿宋_GB2312" w:hAnsi="仿宋_GB2312" w:eastAsia="仿宋_GB2312" w:cs="仿宋_GB2312"/>
          <w:b/>
          <w:bCs/>
          <w:sz w:val="20"/>
          <w:szCs w:val="20"/>
          <w:highlight w:val="none"/>
        </w:rPr>
        <w:t>1.8合同生效</w:t>
      </w:r>
      <w:bookmarkEnd w:id="35"/>
      <w:bookmarkEnd w:id="36"/>
      <w:bookmarkEnd w:id="37"/>
      <w:bookmarkEnd w:id="38"/>
      <w:bookmarkEnd w:id="39"/>
    </w:p>
    <w:p w14:paraId="23F3AB03">
      <w:pPr>
        <w:keepNext w:val="0"/>
        <w:keepLines w:val="0"/>
        <w:pageBreakBefore w:val="0"/>
        <w:widowControl w:val="0"/>
        <w:kinsoku/>
        <w:wordWrap/>
        <w:overflowPunct/>
        <w:topLinePunct w:val="0"/>
        <w:autoSpaceDE/>
        <w:autoSpaceDN/>
        <w:bidi w:val="0"/>
        <w:adjustRightInd/>
        <w:snapToGrid/>
        <w:spacing w:line="360" w:lineRule="auto"/>
        <w:ind w:right="38" w:rightChars="18" w:firstLine="400" w:firstLineChars="200"/>
        <w:textAlignment w:val="auto"/>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本合同自双方当事人盖章或者签字时生效。</w:t>
      </w:r>
    </w:p>
    <w:p w14:paraId="109AF495">
      <w:pPr>
        <w:keepNext w:val="0"/>
        <w:keepLines w:val="0"/>
        <w:pageBreakBefore w:val="0"/>
        <w:widowControl w:val="0"/>
        <w:kinsoku/>
        <w:wordWrap/>
        <w:overflowPunct/>
        <w:topLinePunct w:val="0"/>
        <w:autoSpaceDE/>
        <w:autoSpaceDN/>
        <w:bidi w:val="0"/>
        <w:adjustRightInd/>
        <w:snapToGrid/>
        <w:spacing w:line="240" w:lineRule="auto"/>
        <w:ind w:firstLine="400" w:firstLineChars="200"/>
        <w:textAlignment w:val="auto"/>
        <w:rPr>
          <w:rFonts w:hint="eastAsia" w:ascii="仿宋_GB2312" w:hAnsi="仿宋_GB2312" w:eastAsia="仿宋_GB2312" w:cs="仿宋_GB2312"/>
          <w:sz w:val="20"/>
          <w:szCs w:val="20"/>
          <w:highlight w:val="none"/>
          <w:lang w:val="zh-CN"/>
        </w:rPr>
      </w:pPr>
    </w:p>
    <w:p w14:paraId="15A17AC1">
      <w:pPr>
        <w:spacing w:line="360" w:lineRule="auto"/>
        <w:ind w:firstLine="400" w:firstLineChars="200"/>
        <w:rPr>
          <w:rFonts w:hint="eastAsia" w:ascii="仿宋_GB2312" w:hAnsi="仿宋_GB2312" w:eastAsia="仿宋_GB2312" w:cs="仿宋_GB2312"/>
          <w:sz w:val="20"/>
          <w:szCs w:val="20"/>
          <w:highlight w:val="none"/>
        </w:rPr>
      </w:pPr>
    </w:p>
    <w:p w14:paraId="76BFEA13">
      <w:pPr>
        <w:spacing w:line="360" w:lineRule="auto"/>
        <w:ind w:firstLine="400" w:firstLineChars="200"/>
        <w:rPr>
          <w:rFonts w:hint="eastAsia" w:ascii="仿宋_GB2312" w:hAnsi="仿宋_GB2312" w:eastAsia="仿宋_GB2312" w:cs="仿宋_GB2312"/>
          <w:sz w:val="20"/>
          <w:szCs w:val="20"/>
          <w:highlight w:val="none"/>
        </w:rPr>
      </w:pPr>
    </w:p>
    <w:p w14:paraId="3547DDA6">
      <w:pPr>
        <w:spacing w:line="360" w:lineRule="auto"/>
        <w:ind w:firstLine="400" w:firstLineChars="200"/>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甲方：   （盖章）   </w:t>
      </w:r>
      <w:r>
        <w:rPr>
          <w:rFonts w:hint="eastAsia" w:ascii="仿宋_GB2312" w:hAnsi="仿宋_GB2312" w:eastAsia="仿宋_GB2312" w:cs="仿宋_GB2312"/>
          <w:sz w:val="20"/>
          <w:szCs w:val="20"/>
          <w:highlight w:val="none"/>
        </w:rPr>
        <w:tab/>
      </w:r>
      <w:r>
        <w:rPr>
          <w:rFonts w:hint="eastAsia" w:ascii="仿宋_GB2312" w:hAnsi="仿宋_GB2312" w:eastAsia="仿宋_GB2312" w:cs="仿宋_GB2312"/>
          <w:sz w:val="20"/>
          <w:szCs w:val="20"/>
          <w:highlight w:val="none"/>
        </w:rPr>
        <w:tab/>
      </w:r>
      <w:r>
        <w:rPr>
          <w:rFonts w:hint="eastAsia" w:ascii="仿宋_GB2312" w:hAnsi="仿宋_GB2312" w:eastAsia="仿宋_GB2312" w:cs="仿宋_GB2312"/>
          <w:sz w:val="20"/>
          <w:szCs w:val="20"/>
          <w:highlight w:val="none"/>
        </w:rPr>
        <w:tab/>
      </w:r>
      <w:r>
        <w:rPr>
          <w:rFonts w:hint="eastAsia" w:ascii="仿宋_GB2312" w:hAnsi="仿宋_GB2312" w:eastAsia="仿宋_GB2312" w:cs="仿宋_GB2312"/>
          <w:sz w:val="20"/>
          <w:szCs w:val="20"/>
          <w:highlight w:val="none"/>
        </w:rPr>
        <w:t xml:space="preserve">       </w:t>
      </w:r>
      <w:r>
        <w:rPr>
          <w:rFonts w:hint="eastAsia" w:ascii="仿宋_GB2312" w:hAnsi="仿宋_GB2312" w:eastAsia="仿宋_GB2312" w:cs="仿宋_GB2312"/>
          <w:sz w:val="20"/>
          <w:szCs w:val="20"/>
          <w:highlight w:val="none"/>
          <w:lang w:val="en-US" w:eastAsia="zh-CN"/>
        </w:rPr>
        <w:t xml:space="preserve">  </w:t>
      </w:r>
      <w:r>
        <w:rPr>
          <w:rFonts w:hint="eastAsia" w:ascii="仿宋_GB2312" w:hAnsi="仿宋_GB2312" w:eastAsia="仿宋_GB2312" w:cs="仿宋_GB2312"/>
          <w:sz w:val="20"/>
          <w:szCs w:val="20"/>
          <w:highlight w:val="none"/>
        </w:rPr>
        <w:t>乙方：   （盖章）</w:t>
      </w:r>
    </w:p>
    <w:p w14:paraId="02714276">
      <w:pPr>
        <w:spacing w:line="360" w:lineRule="auto"/>
        <w:ind w:firstLine="400" w:firstLineChars="200"/>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法定代表人（委托代理人）：              法定代表人（委托代理人）：</w:t>
      </w:r>
    </w:p>
    <w:p w14:paraId="77C7A71B">
      <w:pPr>
        <w:spacing w:line="360" w:lineRule="auto"/>
        <w:ind w:firstLine="400" w:firstLineChars="200"/>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地    址：                             地    址：</w:t>
      </w:r>
    </w:p>
    <w:p w14:paraId="6A127044">
      <w:pPr>
        <w:spacing w:line="360" w:lineRule="auto"/>
        <w:ind w:firstLine="400" w:firstLineChars="200"/>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开户银行：                             开户银行：</w:t>
      </w:r>
    </w:p>
    <w:p w14:paraId="79AADEB5">
      <w:pPr>
        <w:spacing w:line="360" w:lineRule="auto"/>
        <w:ind w:firstLine="400" w:firstLineChars="200"/>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账号：                                 账号：</w:t>
      </w:r>
    </w:p>
    <w:p w14:paraId="09047EAD">
      <w:pPr>
        <w:spacing w:line="360" w:lineRule="auto"/>
        <w:ind w:firstLine="400" w:firstLineChars="200"/>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电    话：                             电    话：</w:t>
      </w:r>
      <w:bookmarkStart w:id="40" w:name="_GoBack"/>
      <w:bookmarkEnd w:id="40"/>
    </w:p>
    <w:p w14:paraId="5B253091">
      <w:pPr>
        <w:spacing w:line="360" w:lineRule="auto"/>
        <w:ind w:firstLine="400" w:firstLineChars="200"/>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传    真：                             传    真：</w:t>
      </w:r>
    </w:p>
    <w:p w14:paraId="2FD2B806">
      <w:pPr>
        <w:spacing w:line="360" w:lineRule="auto"/>
        <w:ind w:firstLine="400" w:firstLineChars="200"/>
        <w:rPr>
          <w:rFonts w:hint="eastAsia" w:ascii="仿宋_GB2312" w:hAnsi="仿宋_GB2312" w:eastAsia="仿宋_GB2312" w:cs="仿宋_GB2312"/>
          <w:sz w:val="20"/>
          <w:szCs w:val="20"/>
          <w:highlight w:val="none"/>
        </w:rPr>
      </w:pPr>
      <w:r>
        <w:rPr>
          <w:rFonts w:hint="eastAsia" w:ascii="仿宋_GB2312" w:hAnsi="仿宋_GB2312" w:eastAsia="仿宋_GB2312" w:cs="仿宋_GB2312"/>
          <w:sz w:val="20"/>
          <w:szCs w:val="20"/>
          <w:highlight w:val="none"/>
        </w:rPr>
        <w:t xml:space="preserve">签约日期：  年  月  日 </w:t>
      </w:r>
      <w:r>
        <w:rPr>
          <w:rFonts w:hint="eastAsia" w:ascii="仿宋_GB2312" w:hAnsi="仿宋_GB2312" w:eastAsia="仿宋_GB2312" w:cs="仿宋_GB2312"/>
          <w:sz w:val="20"/>
          <w:szCs w:val="20"/>
          <w:highlight w:val="none"/>
        </w:rPr>
        <w:tab/>
      </w:r>
      <w:r>
        <w:rPr>
          <w:rFonts w:hint="eastAsia" w:ascii="仿宋_GB2312" w:hAnsi="仿宋_GB2312" w:eastAsia="仿宋_GB2312" w:cs="仿宋_GB2312"/>
          <w:sz w:val="20"/>
          <w:szCs w:val="20"/>
          <w:highlight w:val="none"/>
        </w:rPr>
        <w:tab/>
      </w:r>
      <w:r>
        <w:rPr>
          <w:rFonts w:hint="eastAsia" w:ascii="仿宋_GB2312" w:hAnsi="仿宋_GB2312" w:eastAsia="仿宋_GB2312" w:cs="仿宋_GB2312"/>
          <w:sz w:val="20"/>
          <w:szCs w:val="20"/>
          <w:highlight w:val="none"/>
        </w:rPr>
        <w:tab/>
      </w:r>
      <w:r>
        <w:rPr>
          <w:rFonts w:hint="eastAsia" w:ascii="仿宋_GB2312" w:hAnsi="仿宋_GB2312" w:eastAsia="仿宋_GB2312" w:cs="仿宋_GB2312"/>
          <w:sz w:val="20"/>
          <w:szCs w:val="20"/>
          <w:highlight w:val="none"/>
        </w:rPr>
        <w:t xml:space="preserve">  </w:t>
      </w:r>
      <w:r>
        <w:rPr>
          <w:rFonts w:hint="eastAsia" w:ascii="仿宋_GB2312" w:hAnsi="仿宋_GB2312" w:eastAsia="仿宋_GB2312" w:cs="仿宋_GB2312"/>
          <w:sz w:val="20"/>
          <w:szCs w:val="20"/>
          <w:highlight w:val="none"/>
          <w:lang w:val="en-US" w:eastAsia="zh-CN"/>
        </w:rPr>
        <w:t xml:space="preserve"> </w:t>
      </w:r>
      <w:r>
        <w:rPr>
          <w:rFonts w:hint="eastAsia" w:ascii="仿宋_GB2312" w:hAnsi="仿宋_GB2312" w:eastAsia="仿宋_GB2312" w:cs="仿宋_GB2312"/>
          <w:sz w:val="20"/>
          <w:szCs w:val="20"/>
          <w:highlight w:val="none"/>
        </w:rPr>
        <w:t xml:space="preserve"> 签约日期：    年  月  </w:t>
      </w:r>
      <w:r>
        <w:rPr>
          <w:rFonts w:hint="eastAsia" w:ascii="仿宋_GB2312" w:hAnsi="仿宋_GB2312" w:eastAsia="仿宋_GB2312" w:cs="仿宋_GB2312"/>
          <w:color w:val="000000"/>
          <w:sz w:val="20"/>
          <w:szCs w:val="20"/>
          <w:highlight w:val="none"/>
        </w:rPr>
        <w:t>日</w:t>
      </w:r>
    </w:p>
    <w:p w14:paraId="186CD4B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6D7212"/>
    <w:multiLevelType w:val="multilevel"/>
    <w:tmpl w:val="3C6D7212"/>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960"/>
        </w:tabs>
        <w:ind w:left="960" w:hanging="720"/>
      </w:pPr>
      <w:rPr>
        <w:rFonts w:hint="eastAsia"/>
      </w:rPr>
    </w:lvl>
    <w:lvl w:ilvl="3" w:tentative="0">
      <w:start w:val="1"/>
      <w:numFmt w:val="decimal"/>
      <w:pStyle w:val="2"/>
      <w:lvlText w:val="%2.%3.%4"/>
      <w:lvlJc w:val="left"/>
      <w:pPr>
        <w:tabs>
          <w:tab w:val="left" w:pos="864"/>
        </w:tabs>
        <w:ind w:left="107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0F0054"/>
    <w:rsid w:val="3B39481F"/>
    <w:rsid w:val="41301080"/>
    <w:rsid w:val="700F00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numPr>
        <w:ilvl w:val="3"/>
        <w:numId w:val="1"/>
      </w:numPr>
      <w:spacing w:line="460" w:lineRule="exact"/>
    </w:pPr>
    <w:rPr>
      <w:szCs w:val="16"/>
    </w:r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纯文本1"/>
    <w:basedOn w:val="1"/>
    <w:qFormat/>
    <w:uiPriority w:val="0"/>
    <w:rPr>
      <w:rFonts w:ascii="宋体" w:hAnsi="Courier New" w:eastAsia="宋体" w:cs="Times New Roman"/>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潮州市直及下属单位</Company>
  <Pages>3</Pages>
  <Words>1649</Words>
  <Characters>1771</Characters>
  <Lines>0</Lines>
  <Paragraphs>0</Paragraphs>
  <TotalTime>0</TotalTime>
  <ScaleCrop>false</ScaleCrop>
  <LinksUpToDate>false</LinksUpToDate>
  <CharactersWithSpaces>2022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2025-09-24T03:26:00Z</dcterms:created>
  <dc:creator>나무</dc:creator>
  <cp:lastModifiedBy>나무</cp:lastModifiedBy>
  <dcterms:modified xsi:type="dcterms:W3CDTF">2025-09-24T09:27:57Z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56402944292A44EDB30CA6F7E0CF9891_11</vt:lpwstr>
  </property>
  <property fmtid="{D5CDD505-2E9C-101B-9397-08002B2CF9AE}" pid="4" name="KSOTemplateDocerSaveRecord">
    <vt:lpwstr>eyJoZGlkIjoiMzZiMDllYzA4OTRhMzhhYzg3Y2YwMDM0OTQ0Mzg3MDciLCJ1c2VySWQiOiIyMTEwOTY5ODUifQ==</vt:lpwstr>
  </property>
</Properties>
</file>