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版本号：HTZB2025-102220251029001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陕西省宜居宜业和美乡村建设指引编制项目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HTZB2025-1022</w:t>
      </w:r>
      <w:r>
        <w:br/>
      </w:r>
      <w:r>
        <w:br/>
      </w:r>
      <w:r>
        <w:br/>
      </w:r>
    </w:p>
    <w:p>
      <w:pPr>
        <w:pStyle w:val="null3"/>
        <w:jc w:val="center"/>
        <w:outlineLvl w:val="2"/>
      </w:pPr>
      <w:r>
        <w:rPr>
          <w:rFonts w:ascii="仿宋_GB2312" w:hAnsi="仿宋_GB2312" w:cs="仿宋_GB2312" w:eastAsia="仿宋_GB2312"/>
          <w:sz w:val="28"/>
          <w:b/>
        </w:rPr>
        <w:t>陕西省农业厅机关</w:t>
      </w:r>
    </w:p>
    <w:p>
      <w:pPr>
        <w:pStyle w:val="null3"/>
        <w:jc w:val="center"/>
        <w:outlineLvl w:val="2"/>
      </w:pPr>
      <w:r>
        <w:rPr>
          <w:rFonts w:ascii="仿宋_GB2312" w:hAnsi="仿宋_GB2312" w:cs="仿宋_GB2312" w:eastAsia="仿宋_GB2312"/>
          <w:sz w:val="28"/>
          <w:b/>
        </w:rPr>
        <w:t>宏泰项目管理有限公司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宏泰项目管理有限公司</w:t>
      </w:r>
      <w:r>
        <w:rPr>
          <w:rFonts w:ascii="仿宋_GB2312" w:hAnsi="仿宋_GB2312" w:cs="仿宋_GB2312" w:eastAsia="仿宋_GB2312"/>
        </w:rPr>
        <w:t>（以下简称“代理机构”）受</w:t>
      </w:r>
      <w:r>
        <w:rPr>
          <w:rFonts w:ascii="仿宋_GB2312" w:hAnsi="仿宋_GB2312" w:cs="仿宋_GB2312" w:eastAsia="仿宋_GB2312"/>
        </w:rPr>
        <w:t>陕西省农业厅机关</w:t>
      </w:r>
      <w:r>
        <w:rPr>
          <w:rFonts w:ascii="仿宋_GB2312" w:hAnsi="仿宋_GB2312" w:cs="仿宋_GB2312" w:eastAsia="仿宋_GB2312"/>
        </w:rPr>
        <w:t>委托，拟对</w:t>
      </w:r>
      <w:r>
        <w:rPr>
          <w:rFonts w:ascii="仿宋_GB2312" w:hAnsi="仿宋_GB2312" w:cs="仿宋_GB2312" w:eastAsia="仿宋_GB2312"/>
        </w:rPr>
        <w:t>陕西省宜居宜业和美乡村建设指引编制项目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HTZB2025-1022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陕西省宜居宜业和美乡村建设指引编制项目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编制《陕西省宜居宜业和美乡村建设指引》，内容包括总则、规划引领、人居环境、基础设施、公共服务、产业发展、乡村治理、微改造精提升、片区化推进等。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2、法定代表人授权委托书（证明书）：法定代表人参加磋商时，提供法定代表人证明书；授权代表参加磋商时，提供法定代表人授权书；非法人单位参照执行。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提供经审计的2024年度的财务报告或提交响应文件递交截止时间前半年内银行出具的资信证明；事业单位、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4、税收缴纳证明：提供响应文件提交截止时间前半年内至少一个月已缴纳的纳税凭据或完税证明，依法免税的供应商应提供相关文件证明。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半年内已缴存的至少一个月的社会保障资金缴存单据，或社保机构出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8、信用记录：供应商未被“信用中国”网站列入失信被执行人和重大税收违法失信主体，未被中国政府采购网列入政府采购严重违法失信行为记录名单（以现场信用记录查询结果为准）。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陕西省农业厅机关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陕西省西安市莲湖区习武园27号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陕西省农业农村厅机关经办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87228269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陕西省西安市浐灞生态区欧亚大道欧亚国际一期B座10楼1007室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胡萧萧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18191123000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参考国家计委颁布《招标代理服务收费暂行办法》（计价格[2002]1980号）、国家发展和改革委员会办公厅颁布的《关于招标代理服务收费有关问题的通知》（发改办价格[2003]857号）文件规定执行。不足6000元按6000元收取。 账户信息： 开户名称：宏泰项目管理有限公司 开户银行：中国银行西安西部电子商城支行 账 号：1024 2167 6318 转账事由：项目名称＋代理服务费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陕西省农业厅机关</w:t>
      </w:r>
      <w:r>
        <w:rPr>
          <w:rFonts w:ascii="仿宋_GB2312" w:hAnsi="仿宋_GB2312" w:cs="仿宋_GB2312" w:eastAsia="仿宋_GB2312"/>
        </w:rPr>
        <w:t>和</w:t>
      </w:r>
      <w:r>
        <w:rPr>
          <w:rFonts w:ascii="仿宋_GB2312" w:hAnsi="仿宋_GB2312" w:cs="仿宋_GB2312" w:eastAsia="仿宋_GB2312"/>
        </w:rPr>
        <w:t>宏泰项目管理有限公司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陕西省农业厅机关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宏泰项目管理有限公司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陕西省农业厅机关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1、竞争性磋商文件、响应文件、澄清表（函）； 2、本合同及附件文本；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联系人：胡萧萧</w:t>
      </w:r>
    </w:p>
    <w:p>
      <w:pPr>
        <w:pStyle w:val="null3"/>
      </w:pPr>
      <w:r>
        <w:rPr>
          <w:rFonts w:ascii="仿宋_GB2312" w:hAnsi="仿宋_GB2312" w:cs="仿宋_GB2312" w:eastAsia="仿宋_GB2312"/>
        </w:rPr>
        <w:t>联系电话：18191123000</w:t>
      </w:r>
    </w:p>
    <w:p>
      <w:pPr>
        <w:pStyle w:val="null3"/>
      </w:pPr>
      <w:r>
        <w:rPr>
          <w:rFonts w:ascii="仿宋_GB2312" w:hAnsi="仿宋_GB2312" w:cs="仿宋_GB2312" w:eastAsia="仿宋_GB2312"/>
        </w:rPr>
        <w:t>地址：陕西省西安市浐灞生态区欧亚大道欧亚国际一期B座10楼1007室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编制《陕西省宜居宜业和美乡村建设指引》，内容包括总则、规划引领、人居环境、基础设施、公共服务、产业发展、乡村治理、微改造精提升、片区化推进等。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 xml:space="preserve">   一、项目背景</w:t>
            </w:r>
          </w:p>
          <w:p>
            <w:pPr>
              <w:pStyle w:val="null3"/>
              <w:ind w:firstLine="400"/>
              <w:jc w:val="both"/>
            </w:pPr>
            <w:r>
              <w:rPr>
                <w:rFonts w:ascii="仿宋_GB2312" w:hAnsi="仿宋_GB2312" w:cs="仿宋_GB2312" w:eastAsia="仿宋_GB2312"/>
                <w:sz w:val="20"/>
              </w:rPr>
              <w:t>深入落实省委、省政府《学习运用浙江</w:t>
            </w:r>
            <w:r>
              <w:rPr>
                <w:rFonts w:ascii="仿宋_GB2312" w:hAnsi="仿宋_GB2312" w:cs="仿宋_GB2312" w:eastAsia="仿宋_GB2312"/>
                <w:sz w:val="20"/>
              </w:rPr>
              <w:t>“千万工程”经验加快建设彰显三秦风韵的宜居宜业和美乡村行动方案（2023-2027年）》，通过图文并茂、通俗易懂的形式，指导各地分类推进彰显三秦风韵的宜居宜业和美乡村建设。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2"/>
              <w:jc w:val="both"/>
            </w:pPr>
            <w:r>
              <w:rPr>
                <w:rFonts w:ascii="仿宋_GB2312" w:hAnsi="仿宋_GB2312" w:cs="仿宋_GB2312" w:eastAsia="仿宋_GB2312"/>
                <w:sz w:val="20"/>
                <w:b/>
              </w:rPr>
              <w:t>二、服务内容</w:t>
            </w:r>
          </w:p>
          <w:p>
            <w:pPr>
              <w:pStyle w:val="null3"/>
              <w:ind w:firstLine="400"/>
              <w:jc w:val="both"/>
            </w:pPr>
            <w:r>
              <w:rPr>
                <w:rFonts w:ascii="仿宋_GB2312" w:hAnsi="仿宋_GB2312" w:cs="仿宋_GB2312" w:eastAsia="仿宋_GB2312"/>
                <w:sz w:val="20"/>
              </w:rPr>
              <w:t>着眼于</w:t>
            </w:r>
            <w:r>
              <w:rPr>
                <w:rFonts w:ascii="仿宋_GB2312" w:hAnsi="仿宋_GB2312" w:cs="仿宋_GB2312" w:eastAsia="仿宋_GB2312"/>
                <w:sz w:val="20"/>
              </w:rPr>
              <w:t>“十五五”发展，针对我省关中、陕北、陕南地区不同地域特点，在深入调研的基础上，对规划引领、人居环境、基础设施、公共服务、产业发展、乡村治理、微改造精提升、片区划推进等内容进行解析，明确建设要点、路径等，并提供实景图片和典型案例等，为各地分类推进彰显三秦风韵的宜居宜业和美乡村建设提供指导。</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2"/>
              <w:jc w:val="both"/>
            </w:pPr>
            <w:r>
              <w:rPr>
                <w:rFonts w:ascii="仿宋_GB2312" w:hAnsi="仿宋_GB2312" w:cs="仿宋_GB2312" w:eastAsia="仿宋_GB2312"/>
                <w:sz w:val="20"/>
                <w:b/>
              </w:rPr>
              <w:t>三、时间安排</w:t>
            </w:r>
          </w:p>
          <w:p>
            <w:pPr>
              <w:pStyle w:val="null3"/>
              <w:jc w:val="both"/>
            </w:pPr>
            <w:r>
              <w:rPr>
                <w:rFonts w:ascii="仿宋_GB2312" w:hAnsi="仿宋_GB2312" w:cs="仿宋_GB2312" w:eastAsia="仿宋_GB2312"/>
                <w:sz w:val="20"/>
              </w:rPr>
              <w:t>自合同签订之日起至</w:t>
            </w:r>
            <w:r>
              <w:rPr>
                <w:rFonts w:ascii="仿宋_GB2312" w:hAnsi="仿宋_GB2312" w:cs="仿宋_GB2312" w:eastAsia="仿宋_GB2312"/>
                <w:sz w:val="20"/>
              </w:rPr>
              <w:t>2025年12月31日前完成。</w:t>
            </w:r>
          </w:p>
          <w:p>
            <w:pPr>
              <w:pStyle w:val="null3"/>
              <w:ind w:firstLine="400"/>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02"/>
              <w:jc w:val="both"/>
            </w:pPr>
            <w:r>
              <w:rPr>
                <w:rFonts w:ascii="仿宋_GB2312" w:hAnsi="仿宋_GB2312" w:cs="仿宋_GB2312" w:eastAsia="仿宋_GB2312"/>
                <w:sz w:val="20"/>
                <w:b/>
              </w:rPr>
              <w:t>四、预期成果</w:t>
            </w:r>
          </w:p>
          <w:p>
            <w:pPr>
              <w:pStyle w:val="null3"/>
              <w:ind w:firstLine="400"/>
              <w:jc w:val="both"/>
            </w:pPr>
            <w:r>
              <w:rPr>
                <w:rFonts w:ascii="仿宋_GB2312" w:hAnsi="仿宋_GB2312" w:cs="仿宋_GB2312" w:eastAsia="仿宋_GB2312"/>
                <w:sz w:val="20"/>
              </w:rPr>
              <w:t>形成《陕西省宜居宜业和美乡村建设指引》文本（图文并茂），内容包括总则、规划引领、人居环境、基础设施、公共服务、产业发展、乡村治理、微改造精提升、片区化推进等条文、图则、正负面清单及管控指标体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根据项目情况配备人员，满足“技术参数与性能指标”的需求。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根据项目情况配备人员，满足“技术参数与性能指标”的需求。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项目所在地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1）供应商按合同约定完成所有服务，且服务质量无争议，视为验收合格。（2）验收依据：合同文本；国家有关的验收标准及规范；磋商文件；响应文件。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（2）供应商未按合同要求提供服务或服务质量不能满足技术要求，且在规定时间内未使采购人满意的，采购人有权解除合同，同时报请陕西省财政厅政府采购监管部门对其违约行为进行追究。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1.本项目非专门面向中小企业采购。 2.采购标的对应的中小企业划分标准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法定代表人授权委托书（证明书）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递交截止时间前半年内银行出具的资信证明；事业单位、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提供响应文件提交截止时间前半年内至少一个月已缴纳的纳税凭据或完税证明，依法免税的供应商应提供相关文件证明。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提供响应文件截止时间前半年内已缴存的至少一个月的社会保障资金缴存单据，或社保机构出具的社会保险参保缴费情况证明，依法不需要缴纳社会保障资金的单位应提供相关证明材料。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供应商未被“信用中国”网站列入失信被执行人和重大税收违法失信主体，未被中国政府采购网列入政府采购严重违法失信行为记录名单（以现场信用记录查询结果为准）。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（1）响应文件的签字、盖章：投标文件上法定代表人或其委托代理人的签字齐全并加盖单位章；响应文件应逐页加盖单位公章，且公章清晰可见； （2）响应文件格式：应符合磋商文件要求； （3）报价唯一：只能有一个有效报价， 不得提交选择性报价，且报价不超过限价</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（1）对响应文件响应程度：要求全面响应，不能有任何采购人不能接受的附加条件；（2）服务时间：应满足磋商文件要求；（4 ) 服务地点：采购人指定点；（5）有效期：应满足磋商文件要求。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一、评审内容 供应商根据类似项目经验对本项目背景、项目要求、工作任务等进行理解及分析。 二、评审标准 对项目背景分析详细、清晰，项目要求理解全面深入、工作任务描述精准，理解到位。 三、赋分标准（满分6分） 符合本项目需求及评审标准的得6分。 注:每项内容缺陷扣1分，内容缺陷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根据本项目实际需求及特点，制定实施方案，方案包括：①项目准备方案；②实地调研方案；③问题发现、整理及整改建议方案；④后续跟进方案。 二、评审标准 1.完整性：方案必须全面，对评审内容中的各项要求有详细描述； 2.准确性：方案描述准确，没有实质性错误或明显的描述及逻辑错误； 3.可实施性：切合本项目实际情况，提出步骤清晰、合理的方案； 4.针对性：方案能够紧扣项目实际情况，内容科学合理； 5.重点突出性：重点突出，充分体现项目采购需求。 三、赋分标准（满分20.00分） ①项目准备方案：每个评审标准得1分，满分 5分。 ②实地调研方案：每个评审标准得1分，满分5分。 ③问题发现、整理及整改建议方案：每个评审标准得1分，满分5分。 ④后续跟进方案：每个评审标准得1分，满分5分。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根据本项目实际需求及特点，制定服务方案，方案包括：①筹备策划；②现场服务；③组织协调；④风险管控；⑤应急预案及措施。 二、评审标准 1.完整性：方案必须全面，对评审内容中的各项要求有详细描述； 2.准确性：方案描述准确，没有实质性错误或明显的描述及逻辑错误； 3.可实施性：切合本项目实际情况，提出步骤清晰、合理的方案； 三、赋分标准（满分15.00分） ①筹备策划：每个评审标准得1分，满分3分。 ②现场服务：每个评审标准得1分，满分 3分。 ③组织协调：每个评审标准得1分，满分3分。 ④风险管控：每个评审标准得1分，满分3分。 ⑤应急预案及措施：每个评审标准得1分，满分 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一、评审内容 根据本项目实际需求及特点，制定进度保障方案，方案包括：①各阶段工作流程；②进度计划目标；③进度控制措施。 二、评审标准 1.完整性：方案必须全面，对评审内容中的各项要求有详细描述； 2.准确性：方案描述准确，没有实质性错误或明显的描述及逻辑错误； 3.可实施性：切合本项目实际情况，提出步骤清晰、合理的方案； 三、赋分标准（满分9分） ①各阶段工作流程：每个评审标准得1分，满分 3 分。 ②进度计划目标：每个评审标准得1分，满分 3分。 ③进度控制措施：每个评审标准得1分，满分 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1.项目负责人：①具有乡村建设领域国家级人才得3分，省级人才得1分；②具备注册规划师证书得2分；本项共5分。 2.其他人员：配备人员中至少同时包含规划、建筑、交通相关专业，具有高级及以上专业技术职称。每提供一个得3分，中级技术职称每提供一个得1分。最高得12分，不提供不得分。 3.项目负责人及成员2015年1月1日至今承担的陕西省内乡村规划建设类实践项目获省级以上奖项。本项得2分。 注：以上人员不重复得分，需提供证书复印件，并提供人员在职证明材料，不提供或缺项不得分。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根据本项目实际需求及特点，制定质量保障方案，方案包括：①质量保障目标；②质量控制措施。 二、评审标准 1.完整性：方案必须全面，对评审内容中的各项要求有详细描述； 2.准确性：方案描述准确，没有实质性错误或明显的描述及逻辑错误； 3.可实施性：切合本项目实际情况，提出步骤清晰、合理的方案； 三、赋分标准（满分6分） ①质量保障目标：每个评审标准得1分，满分3 分。 ②质量控制措施：每个评审标准得1分，满分3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供应商提供2022年1月1日至今类似项目业绩（乡村规划建设相关的地方标准编制或技术导则指引类），每提供一份得3分，满分15分。 备注：提供相关证明文件并加盖供应商公章。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价格得分</w:t>
            </w:r>
          </w:p>
        </w:tc>
        <w:tc>
          <w:tcPr>
            <w:tcW w:type="dxa" w:w="2492"/>
          </w:tcPr>
          <w:p>
            <w:pPr>
              <w:pStyle w:val="null3"/>
            </w:pPr>
            <w:r>
              <w:rPr>
                <w:rFonts w:ascii="仿宋_GB2312" w:hAnsi="仿宋_GB2312" w:cs="仿宋_GB2312" w:eastAsia="仿宋_GB2312"/>
              </w:rPr>
              <w:t>满足磋商文件要求且磋商价格最低的磋商报价为评审基准价，其价格分为满分。其他供应商的价格分统一按照下列公式计算： 磋商报价得分=（评审基准价/磋商评审价）×10%×100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 报价表</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