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版本号：【KRDL】K2-251011320251029001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2025年罪犯生活物资（米、面、油）采购项目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【KRDL】K2-2510113</w:t>
      </w:r>
      <w:r>
        <w:br/>
      </w:r>
      <w:r>
        <w:br/>
      </w:r>
      <w:r>
        <w:br/>
      </w:r>
    </w:p>
    <w:p>
      <w:pPr>
        <w:pStyle w:val="null3"/>
        <w:jc w:val="center"/>
        <w:outlineLvl w:val="2"/>
      </w:pPr>
      <w:r>
        <w:rPr>
          <w:rFonts w:ascii="仿宋_GB2312" w:hAnsi="仿宋_GB2312" w:cs="仿宋_GB2312" w:eastAsia="仿宋_GB2312"/>
          <w:sz w:val="28"/>
          <w:b/>
        </w:rPr>
        <w:t>陕西省延安监狱</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陕西省延安监狱</w:t>
      </w:r>
      <w:r>
        <w:rPr>
          <w:rFonts w:ascii="仿宋_GB2312" w:hAnsi="仿宋_GB2312" w:cs="仿宋_GB2312" w:eastAsia="仿宋_GB2312"/>
        </w:rPr>
        <w:t>委托，拟对</w:t>
      </w:r>
      <w:r>
        <w:rPr>
          <w:rFonts w:ascii="仿宋_GB2312" w:hAnsi="仿宋_GB2312" w:cs="仿宋_GB2312" w:eastAsia="仿宋_GB2312"/>
        </w:rPr>
        <w:t>2025年罪犯生活物资（米、面、油）采购项目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【KRDL】K2-2510113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2025年罪犯生活物资（米、面、油）采购项目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陕西省延安监狱2025年罪犯生活物资（米、面、油）采购项目，具体采购内容及要求详见本项目招标文件、答疑文件等文件的全部内容。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采购包1（2025年罪犯生活物资（米、面、油）采购项目）：属于专门面向中小企业采购。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2、信誉要求：截止至响应文件递交截止时间之前，投标人未被“信用中国”网站列入失信被执行人、重大税收违法失信主体名单，未被“中国政府采购网”网站列入政府采购严重违法失信行为记录名单；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4、供应商资质：投标人为生产厂家的须提供《食品生产许可证》；投标人为代理商的须提供《食品经营许可证》或《食品安全监督管理部门备案凭证》以及生产厂家的《食品生产许可证》；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陕西省延安监狱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陕西省延安市宝塔区燕沟路延安监狱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刘光义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0911-2861689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刘昆、常博皓、姚瑶、王昭、代光艳、张晨、王森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029-89581311、17791161616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采购包1：1,860,928.50元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一）本项目履约保证金为合同总价款的5%，在合同签订前必须缴纳，履约保证金缴纳。形式：中标人应当以支票、汇票、本票、保函等非现金形式缴纳。（二）收款账户：成交后由招标人提供；（三）履约保证金的退付：项目验收合格后，履约保证金将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国家计委颁发的《招标代理服务收费管理暂行办法》（计价格[2002]1980号）和国家发展改革委员会办公厅颁发的《关于招标代理服务收费有关问题的通知》（发改办价格[2003] 857号）的有关规定标准向招标代理机构一次付清代理服务费。备注：在对采购代理服务费或者响应保证金转账时需备注项目名称及采购包名称+代理服务费或投标保证金。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陕西省延安监狱</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陕西省延安监狱</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陕西省延安监狱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遵照招标文件、国家有关规定及合同约定执行。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联系电话：029-89581311、17791161616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陕西省延安监狱2025年罪犯生活物资（米、面、油）采购项目，拟采购一批米面油.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1,860,928.50</w:t>
      </w:r>
    </w:p>
    <w:p>
      <w:pPr>
        <w:pStyle w:val="null3"/>
      </w:pPr>
      <w:r>
        <w:rPr>
          <w:rFonts w:ascii="仿宋_GB2312" w:hAnsi="仿宋_GB2312" w:cs="仿宋_GB2312" w:eastAsia="仿宋_GB2312"/>
        </w:rPr>
        <w:t>采购包最高限价（元）: 1,860,860.00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米面粮油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1,860,928.50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标的名称：米面粮油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jc w:val="both"/>
            </w:pPr>
            <w:r>
              <w:rPr>
                <w:rFonts w:ascii="仿宋_GB2312" w:hAnsi="仿宋_GB2312" w:cs="仿宋_GB2312" w:eastAsia="仿宋_GB2312"/>
                <w:sz w:val="24"/>
                <w:b/>
                <w:shd w:fill="FFFFFF" w:val="clear"/>
              </w:rPr>
              <w:t>一、采购内容及要求</w:t>
            </w:r>
            <w:r>
              <w:br/>
            </w:r>
            <w:r>
              <w:rPr>
                <w:rFonts w:ascii="仿宋_GB2312" w:hAnsi="仿宋_GB2312" w:cs="仿宋_GB2312" w:eastAsia="仿宋_GB2312"/>
                <w:sz w:val="24"/>
                <w:b/>
                <w:shd w:fill="FFFFFF" w:val="clear"/>
              </w:rPr>
              <w:t>（一）采购清单</w:t>
            </w:r>
          </w:p>
          <w:tbl>
            <w:tblPr>
              <w:tblBorders>
                <w:top w:val="none" w:color="000000" w:sz="4"/>
                <w:left w:val="none" w:color="000000" w:sz="4"/>
                <w:bottom w:val="none" w:color="000000" w:sz="4"/>
                <w:right w:val="none" w:color="000000" w:sz="4"/>
                <w:insideH w:val="none"/>
                <w:insideV w:val="none"/>
              </w:tblBorders>
            </w:tblPr>
            <w:tblGrid>
              <w:gridCol w:w="134"/>
              <w:gridCol w:w="134"/>
              <w:gridCol w:w="243"/>
              <w:gridCol w:w="280"/>
              <w:gridCol w:w="351"/>
              <w:gridCol w:w="1411"/>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序号</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规格</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单价限价（元）</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预估量（具体以实际结算为准）</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技术要求</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大米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25KG/袋</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145.00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2836袋</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1.品名：粳米；配料：稻谷；</w:t>
                  </w:r>
                </w:p>
                <w:p>
                  <w:pPr>
                    <w:pStyle w:val="null3"/>
                    <w:jc w:val="left"/>
                  </w:pPr>
                  <w:r>
                    <w:rPr>
                      <w:rFonts w:ascii="仿宋_GB2312" w:hAnsi="仿宋_GB2312" w:cs="仿宋_GB2312" w:eastAsia="仿宋_GB2312"/>
                      <w:sz w:val="24"/>
                      <w:shd w:fill="FFFFFF" w:val="clear"/>
                    </w:rPr>
                    <w:t>2.质量要求：不低于《大米》GB/T1354-2018中一级粳米的要求（具体详见下表），符合国家粮食卫生标准；</w:t>
                  </w:r>
                </w:p>
                <w:p>
                  <w:pPr>
                    <w:pStyle w:val="null3"/>
                    <w:jc w:val="left"/>
                  </w:pPr>
                  <w:r>
                    <w:rPr>
                      <w:rFonts w:ascii="仿宋_GB2312" w:hAnsi="仿宋_GB2312" w:cs="仿宋_GB2312" w:eastAsia="仿宋_GB2312"/>
                      <w:sz w:val="24"/>
                      <w:shd w:fill="FFFFFF" w:val="clear"/>
                    </w:rPr>
                    <w:t>3.产品具有“SC”食品质量安全认证；</w:t>
                  </w:r>
                </w:p>
                <w:p>
                  <w:pPr>
                    <w:pStyle w:val="null3"/>
                    <w:jc w:val="left"/>
                  </w:pPr>
                  <w:r>
                    <w:rPr>
                      <w:rFonts w:ascii="仿宋_GB2312" w:hAnsi="仿宋_GB2312" w:cs="仿宋_GB2312" w:eastAsia="仿宋_GB2312"/>
                      <w:sz w:val="24"/>
                      <w:shd w:fill="FFFFFF" w:val="clear"/>
                    </w:rPr>
                    <w:t>4.标签标识：标明产品名称、净含量、生产者名称和地址、生产日期、保质期、产品标准号、质量等级、生产许可证号、产品批号等内容。</w:t>
                  </w:r>
                </w:p>
                <w:p>
                  <w:pPr>
                    <w:pStyle w:val="null3"/>
                    <w:jc w:val="left"/>
                  </w:pPr>
                  <w:r>
                    <w:rPr>
                      <w:rFonts w:ascii="仿宋_GB2312" w:hAnsi="仿宋_GB2312" w:cs="仿宋_GB2312" w:eastAsia="仿宋_GB2312"/>
                      <w:sz w:val="24"/>
                      <w:shd w:fill="FFFFFF" w:val="clear"/>
                    </w:rPr>
                    <w:t>5.当年新米且剩余保存期不少于保质期的三分之二；</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面粉</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25KG/袋</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112.00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10315袋</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1.品名：小麦粉；配料：小麦、水；</w:t>
                  </w:r>
                </w:p>
                <w:p>
                  <w:pPr>
                    <w:pStyle w:val="null3"/>
                    <w:jc w:val="left"/>
                  </w:pPr>
                  <w:r>
                    <w:rPr>
                      <w:rFonts w:ascii="仿宋_GB2312" w:hAnsi="仿宋_GB2312" w:cs="仿宋_GB2312" w:eastAsia="仿宋_GB2312"/>
                      <w:sz w:val="24"/>
                      <w:shd w:fill="FFFFFF" w:val="clear"/>
                    </w:rPr>
                    <w:t>2.质量要求：不低于《小麦粉》GB/T1355-2021中精制粉的要求（具体详见下表），符合国家粮食卫生标准；</w:t>
                  </w:r>
                </w:p>
                <w:p>
                  <w:pPr>
                    <w:pStyle w:val="null3"/>
                    <w:jc w:val="left"/>
                  </w:pPr>
                  <w:r>
                    <w:rPr>
                      <w:rFonts w:ascii="仿宋_GB2312" w:hAnsi="仿宋_GB2312" w:cs="仿宋_GB2312" w:eastAsia="仿宋_GB2312"/>
                      <w:sz w:val="24"/>
                      <w:shd w:fill="FFFFFF" w:val="clear"/>
                    </w:rPr>
                    <w:t>3.产品具有“SC”食品质量安全认证；</w:t>
                  </w:r>
                </w:p>
                <w:p>
                  <w:pPr>
                    <w:pStyle w:val="null3"/>
                    <w:jc w:val="left"/>
                  </w:pPr>
                  <w:r>
                    <w:rPr>
                      <w:rFonts w:ascii="仿宋_GB2312" w:hAnsi="仿宋_GB2312" w:cs="仿宋_GB2312" w:eastAsia="仿宋_GB2312"/>
                      <w:sz w:val="24"/>
                      <w:shd w:fill="FFFFFF" w:val="clear"/>
                    </w:rPr>
                    <w:t>4.标签标识：标明产品名称、净含量、生产者名称和地址、生产日期、保质期、产品标准号、质量等级、生产许可证号、产品批号等内容；</w:t>
                  </w:r>
                </w:p>
                <w:p>
                  <w:pPr>
                    <w:pStyle w:val="null3"/>
                    <w:jc w:val="left"/>
                  </w:pPr>
                  <w:r>
                    <w:rPr>
                      <w:rFonts w:ascii="仿宋_GB2312" w:hAnsi="仿宋_GB2312" w:cs="仿宋_GB2312" w:eastAsia="仿宋_GB2312"/>
                      <w:sz w:val="24"/>
                      <w:shd w:fill="FFFFFF" w:val="clear"/>
                    </w:rPr>
                    <w:t>5.剩余保存期不少于保质期的三分之二；</w:t>
                  </w:r>
                </w:p>
                <w:p>
                  <w:pPr>
                    <w:pStyle w:val="null3"/>
                    <w:jc w:val="left"/>
                  </w:pPr>
                  <w:r>
                    <w:rPr>
                      <w:rFonts w:ascii="仿宋_GB2312" w:hAnsi="仿宋_GB2312" w:cs="仿宋_GB2312" w:eastAsia="仿宋_GB2312"/>
                      <w:sz w:val="24"/>
                      <w:shd w:fill="FFFFFF" w:val="clear"/>
                    </w:rPr>
                    <w:t>6.面粉无生霉、无杂质、色泽、气味、口味应正常；</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菜籽油</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16.4升/桶</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223.00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1320桶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1.品名：浸出式菜籽油；</w:t>
                  </w:r>
                </w:p>
                <w:p>
                  <w:pPr>
                    <w:pStyle w:val="null3"/>
                    <w:jc w:val="left"/>
                  </w:pPr>
                  <w:r>
                    <w:rPr>
                      <w:rFonts w:ascii="仿宋_GB2312" w:hAnsi="仿宋_GB2312" w:cs="仿宋_GB2312" w:eastAsia="仿宋_GB2312"/>
                      <w:sz w:val="24"/>
                      <w:shd w:fill="FFFFFF" w:val="clear"/>
                    </w:rPr>
                    <w:t>2.质量要求：不低于《菜籽油》GB1536中三级浸出式菜籽油的要求（具体详见下表），不得掺有其他食用油和非食用油，不得添加任何香精和香料。符合国家粮食卫生标准；</w:t>
                  </w:r>
                </w:p>
                <w:p>
                  <w:pPr>
                    <w:pStyle w:val="null3"/>
                    <w:jc w:val="left"/>
                  </w:pPr>
                  <w:r>
                    <w:rPr>
                      <w:rFonts w:ascii="仿宋_GB2312" w:hAnsi="仿宋_GB2312" w:cs="仿宋_GB2312" w:eastAsia="仿宋_GB2312"/>
                      <w:sz w:val="24"/>
                      <w:shd w:fill="FFFFFF" w:val="clear"/>
                    </w:rPr>
                    <w:t>3.产品具有“SC”食品质量安全认证；</w:t>
                  </w:r>
                </w:p>
                <w:p>
                  <w:pPr>
                    <w:pStyle w:val="null3"/>
                    <w:jc w:val="left"/>
                  </w:pPr>
                  <w:r>
                    <w:rPr>
                      <w:rFonts w:ascii="仿宋_GB2312" w:hAnsi="仿宋_GB2312" w:cs="仿宋_GB2312" w:eastAsia="仿宋_GB2312"/>
                      <w:sz w:val="24"/>
                      <w:shd w:fill="FFFFFF" w:val="clear"/>
                    </w:rPr>
                    <w:t>4.标签标识：标明产品名称、净含量、生产者名称和地址、生产日期、保质期、产品标准号、质量等级、生产许可证号、产品批号等内容；</w:t>
                  </w:r>
                </w:p>
                <w:p>
                  <w:pPr>
                    <w:pStyle w:val="null3"/>
                    <w:jc w:val="left"/>
                  </w:pPr>
                  <w:r>
                    <w:rPr>
                      <w:rFonts w:ascii="仿宋_GB2312" w:hAnsi="仿宋_GB2312" w:cs="仿宋_GB2312" w:eastAsia="仿宋_GB2312"/>
                      <w:sz w:val="24"/>
                      <w:shd w:fill="FFFFFF" w:val="clear"/>
                    </w:rPr>
                    <w:t>5.剩余保存期不少于保质期的三分之二；</w:t>
                  </w:r>
                </w:p>
                <w:p>
                  <w:pPr>
                    <w:pStyle w:val="null3"/>
                    <w:jc w:val="left"/>
                  </w:pPr>
                  <w:r>
                    <w:rPr>
                      <w:rFonts w:ascii="仿宋_GB2312" w:hAnsi="仿宋_GB2312" w:cs="仿宋_GB2312" w:eastAsia="仿宋_GB2312"/>
                      <w:sz w:val="24"/>
                      <w:shd w:fill="FFFFFF" w:val="clear"/>
                    </w:rPr>
                    <w:t>6.有正常菜籽油的色泽、透明度、气味和滋味，无焦臭、酸败及其他异味；</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shd w:fill="FFFFFF" w:val="clear"/>
              </w:rPr>
              <w:t>附一：</w:t>
            </w:r>
          </w:p>
          <w:tbl>
            <w:tblPr>
              <w:tblBorders>
                <w:top w:val="none" w:color="000000" w:sz="4"/>
                <w:left w:val="none" w:color="000000" w:sz="4"/>
                <w:bottom w:val="none" w:color="000000" w:sz="4"/>
                <w:right w:val="none" w:color="000000" w:sz="4"/>
                <w:insideH w:val="none"/>
                <w:insideV w:val="none"/>
              </w:tblBorders>
            </w:tblPr>
            <w:tblGrid>
              <w:gridCol w:w="247"/>
              <w:gridCol w:w="329"/>
              <w:gridCol w:w="132"/>
              <w:gridCol w:w="132"/>
              <w:gridCol w:w="132"/>
              <w:gridCol w:w="132"/>
              <w:gridCol w:w="132"/>
              <w:gridCol w:w="132"/>
              <w:gridCol w:w="165"/>
              <w:gridCol w:w="132"/>
              <w:gridCol w:w="132"/>
              <w:gridCol w:w="132"/>
              <w:gridCol w:w="132"/>
              <w:gridCol w:w="132"/>
              <w:gridCol w:w="132"/>
              <w:gridCol w:w="231"/>
            </w:tblGrid>
            <w:tr>
              <w:tc>
                <w:tcPr>
                  <w:tcW w:type="dxa" w:w="5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品</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种</w:t>
                  </w:r>
                </w:p>
              </w:tc>
              <w:tc>
                <w:tcPr>
                  <w:tcW w:type="dxa" w:w="528"/>
                  <w:gridSpan w:val="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籼</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米</w:t>
                  </w:r>
                </w:p>
              </w:tc>
              <w:tc>
                <w:tcPr>
                  <w:tcW w:type="dxa" w:w="561"/>
                  <w:gridSpan w:val="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粳</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米</w:t>
                  </w:r>
                </w:p>
              </w:tc>
              <w:tc>
                <w:tcPr>
                  <w:tcW w:type="dxa" w:w="396"/>
                  <w:gridSpan w:val="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籼</w:t>
                  </w:r>
                  <w:r>
                    <w:rPr>
                      <w:rFonts w:ascii="仿宋_GB2312" w:hAnsi="仿宋_GB2312" w:cs="仿宋_GB2312" w:eastAsia="仿宋_GB2312"/>
                      <w:sz w:val="24"/>
                      <w:shd w:fill="FFFFFF" w:val="clear"/>
                    </w:rPr>
                    <w:t>糯</w:t>
                  </w:r>
                  <w:r>
                    <w:rPr>
                      <w:rFonts w:ascii="仿宋_GB2312" w:hAnsi="仿宋_GB2312" w:cs="仿宋_GB2312" w:eastAsia="仿宋_GB2312"/>
                      <w:sz w:val="24"/>
                      <w:shd w:fill="FFFFFF" w:val="clear"/>
                    </w:rPr>
                    <w:t>米</w:t>
                  </w:r>
                </w:p>
              </w:tc>
              <w:tc>
                <w:tcPr>
                  <w:tcW w:type="dxa" w:w="495"/>
                  <w:gridSpan w:val="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粳</w:t>
                  </w:r>
                  <w:r>
                    <w:rPr>
                      <w:rFonts w:ascii="仿宋_GB2312" w:hAnsi="仿宋_GB2312" w:cs="仿宋_GB2312" w:eastAsia="仿宋_GB2312"/>
                      <w:sz w:val="24"/>
                      <w:shd w:fill="FFFFFF" w:val="clear"/>
                    </w:rPr>
                    <w:t>糯</w:t>
                  </w:r>
                  <w:r>
                    <w:rPr>
                      <w:rFonts w:ascii="仿宋_GB2312" w:hAnsi="仿宋_GB2312" w:cs="仿宋_GB2312" w:eastAsia="仿宋_GB2312"/>
                      <w:sz w:val="24"/>
                      <w:shd w:fill="FFFFFF" w:val="clear"/>
                    </w:rPr>
                    <w:t>米</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等</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级</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一级</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二级</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三级</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四级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二级</w:t>
                  </w:r>
                </w:p>
              </w:tc>
              <w:tc>
                <w:tcPr>
                  <w:tcW w:type="dxa" w:w="1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四级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二级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一级</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二级</w:t>
                  </w:r>
                </w:p>
              </w:tc>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三级</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加工精度</w:t>
                  </w:r>
                </w:p>
              </w:tc>
              <w:tc>
                <w:tcPr>
                  <w:tcW w:type="dxa" w:w="1980"/>
                  <w:gridSpan w:val="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对照标准样品检验留皮程度</w:t>
                  </w:r>
                </w:p>
              </w:tc>
            </w:tr>
            <w:tr>
              <w:tc>
                <w:tcPr>
                  <w:tcW w:type="dxa" w:w="24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碎米</w:t>
                  </w: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总量</w:t>
                  </w:r>
                  <w:r>
                    <w:rPr>
                      <w:rFonts w:ascii="仿宋_GB2312" w:hAnsi="仿宋_GB2312" w:cs="仿宋_GB2312" w:eastAsia="仿宋_GB2312"/>
                      <w:sz w:val="24"/>
                      <w:shd w:fill="FFFFFF" w:val="clear"/>
                    </w:rPr>
                    <w:t>/（%）≤</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1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12.5</w:t>
                  </w:r>
                </w:p>
              </w:tc>
            </w:tr>
            <w:tr>
              <w:tc>
                <w:tcPr>
                  <w:tcW w:type="dxa" w:w="247"/>
                  <w:vMerge/>
                  <w:tcBorders>
                    <w:top w:val="none" w:color="000000" w:sz="4"/>
                    <w:left w:val="single" w:color="000000" w:sz="4"/>
                    <w:bottom w:val="single" w:color="000000" w:sz="4"/>
                    <w:right w:val="single" w:color="000000" w:sz="4"/>
                  </w:tcBorders>
                </w:tcP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其中小碎米</w:t>
                  </w:r>
                  <w:r>
                    <w:rPr>
                      <w:rFonts w:ascii="仿宋_GB2312" w:hAnsi="仿宋_GB2312" w:cs="仿宋_GB2312" w:eastAsia="仿宋_GB2312"/>
                      <w:sz w:val="24"/>
                      <w:shd w:fill="FFFFFF" w:val="clear"/>
                    </w:rPr>
                    <w:t>/（%）≤</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0.8</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2.3</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不完善粒</w:t>
                  </w:r>
                  <w:r>
                    <w:rPr>
                      <w:rFonts w:ascii="仿宋_GB2312" w:hAnsi="仿宋_GB2312" w:cs="仿宋_GB2312" w:eastAsia="仿宋_GB2312"/>
                      <w:sz w:val="24"/>
                      <w:shd w:fill="FFFFFF" w:val="clear"/>
                    </w:rPr>
                    <w:t>/（%）≤</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r>
            <w:tr>
              <w:tc>
                <w:tcPr>
                  <w:tcW w:type="dxa" w:w="24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杂质最大限量</w:t>
                  </w: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总量</w:t>
                  </w:r>
                  <w:r>
                    <w:rPr>
                      <w:rFonts w:ascii="仿宋_GB2312" w:hAnsi="仿宋_GB2312" w:cs="仿宋_GB2312" w:eastAsia="仿宋_GB2312"/>
                      <w:sz w:val="24"/>
                      <w:shd w:fill="FFFFFF" w:val="clear"/>
                    </w:rPr>
                    <w:t>/（%）≤</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0.3</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0.4</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0.25</w:t>
                  </w:r>
                </w:p>
              </w:tc>
              <w:tc>
                <w:tcPr>
                  <w:tcW w:type="dxa" w:w="1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0.3</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0.4</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0.3</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0.25</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0.3</w:t>
                  </w:r>
                </w:p>
              </w:tc>
            </w:tr>
            <w:tr>
              <w:tc>
                <w:tcPr>
                  <w:tcW w:type="dxa" w:w="247"/>
                  <w:vMerge/>
                  <w:tcBorders>
                    <w:top w:val="none" w:color="000000" w:sz="4"/>
                    <w:left w:val="single" w:color="000000" w:sz="4"/>
                    <w:bottom w:val="single" w:color="000000" w:sz="4"/>
                    <w:right w:val="single" w:color="000000" w:sz="4"/>
                  </w:tcBorders>
                </w:tcP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shd w:fill="FFFFFF" w:val="clear"/>
                    </w:rPr>
                    <w:t>糠粉（</w:t>
                  </w:r>
                  <w:r>
                    <w:rPr>
                      <w:rFonts w:ascii="仿宋_GB2312" w:hAnsi="仿宋_GB2312" w:cs="仿宋_GB2312" w:eastAsia="仿宋_GB2312"/>
                      <w:sz w:val="24"/>
                      <w:shd w:fill="FFFFFF" w:val="clear"/>
                    </w:rPr>
                    <w:t>%） ≤</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0.15</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0.15</w:t>
                  </w:r>
                </w:p>
              </w:tc>
              <w:tc>
                <w:tcPr>
                  <w:tcW w:type="dxa" w:w="29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0.15</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0.15</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w:t>
                  </w:r>
                </w:p>
              </w:tc>
            </w:tr>
            <w:tr>
              <w:tc>
                <w:tcPr>
                  <w:tcW w:type="dxa" w:w="247"/>
                  <w:vMerge/>
                  <w:tcBorders>
                    <w:top w:val="none" w:color="000000" w:sz="4"/>
                    <w:left w:val="single" w:color="000000" w:sz="4"/>
                    <w:bottom w:val="single" w:color="000000" w:sz="4"/>
                    <w:right w:val="single" w:color="000000" w:sz="4"/>
                  </w:tcBorders>
                </w:tcP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矿物质</w:t>
                  </w:r>
                  <w:r>
                    <w:rPr>
                      <w:rFonts w:ascii="仿宋_GB2312" w:hAnsi="仿宋_GB2312" w:cs="仿宋_GB2312" w:eastAsia="仿宋_GB2312"/>
                      <w:sz w:val="24"/>
                      <w:shd w:fill="FFFFFF" w:val="clear"/>
                    </w:rPr>
                    <w:t>/（%）≤</w:t>
                  </w:r>
                </w:p>
              </w:tc>
              <w:tc>
                <w:tcPr>
                  <w:tcW w:type="dxa" w:w="1980"/>
                  <w:gridSpan w:val="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0.02</w:t>
                  </w:r>
                </w:p>
              </w:tc>
            </w:tr>
            <w:tr>
              <w:tc>
                <w:tcPr>
                  <w:tcW w:type="dxa" w:w="247"/>
                  <w:vMerge/>
                  <w:tcBorders>
                    <w:top w:val="none" w:color="000000" w:sz="4"/>
                    <w:left w:val="single" w:color="000000" w:sz="4"/>
                    <w:bottom w:val="single" w:color="000000" w:sz="4"/>
                    <w:right w:val="single" w:color="000000" w:sz="4"/>
                  </w:tcBorders>
                </w:tcP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带壳稗粒</w:t>
                  </w:r>
                  <w:r>
                    <w:rPr>
                      <w:rFonts w:ascii="仿宋_GB2312" w:hAnsi="仿宋_GB2312" w:cs="仿宋_GB2312" w:eastAsia="仿宋_GB2312"/>
                      <w:sz w:val="24"/>
                      <w:shd w:fill="FFFFFF" w:val="clear"/>
                    </w:rPr>
                    <w:t>/（粒/kg)   ≤</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26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26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1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26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r>
            <w:tr>
              <w:tc>
                <w:tcPr>
                  <w:tcW w:type="dxa" w:w="247"/>
                  <w:vMerge/>
                  <w:tcBorders>
                    <w:top w:val="none" w:color="000000" w:sz="4"/>
                    <w:left w:val="single" w:color="000000" w:sz="4"/>
                    <w:bottom w:val="single" w:color="000000" w:sz="4"/>
                    <w:right w:val="single" w:color="000000" w:sz="4"/>
                  </w:tcBorders>
                </w:tcPr>
                <w:p/>
              </w:tc>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稻谷粒</w:t>
                  </w:r>
                  <w:r>
                    <w:rPr>
                      <w:rFonts w:ascii="仿宋_GB2312" w:hAnsi="仿宋_GB2312" w:cs="仿宋_GB2312" w:eastAsia="仿宋_GB2312"/>
                      <w:sz w:val="24"/>
                      <w:shd w:fill="FFFFFF" w:val="clear"/>
                    </w:rPr>
                    <w:t>/（粒/kg）     ≤</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26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水分</w:t>
                  </w:r>
                  <w:r>
                    <w:rPr>
                      <w:rFonts w:ascii="仿宋_GB2312" w:hAnsi="仿宋_GB2312" w:cs="仿宋_GB2312" w:eastAsia="仿宋_GB2312"/>
                      <w:sz w:val="24"/>
                      <w:shd w:fill="FFFFFF" w:val="clear"/>
                    </w:rPr>
                    <w:t>/（%） ≤</w:t>
                  </w:r>
                </w:p>
              </w:tc>
              <w:tc>
                <w:tcPr>
                  <w:tcW w:type="dxa" w:w="52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14.5</w:t>
                  </w:r>
                </w:p>
              </w:tc>
              <w:tc>
                <w:tcPr>
                  <w:tcW w:type="dxa" w:w="561"/>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15.5</w:t>
                  </w:r>
                </w:p>
              </w:tc>
              <w:tc>
                <w:tcPr>
                  <w:tcW w:type="dxa" w:w="39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14.5</w:t>
                  </w:r>
                </w:p>
              </w:tc>
              <w:tc>
                <w:tcPr>
                  <w:tcW w:type="dxa" w:w="495"/>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15.5</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黄粒米</w:t>
                  </w:r>
                  <w:r>
                    <w:rPr>
                      <w:rFonts w:ascii="仿宋_GB2312" w:hAnsi="仿宋_GB2312" w:cs="仿宋_GB2312" w:eastAsia="仿宋_GB2312"/>
                      <w:sz w:val="24"/>
                      <w:shd w:fill="FFFFFF" w:val="clear"/>
                    </w:rPr>
                    <w:t>/（%）≤</w:t>
                  </w:r>
                </w:p>
              </w:tc>
              <w:tc>
                <w:tcPr>
                  <w:tcW w:type="dxa" w:w="1980"/>
                  <w:gridSpan w:val="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互混</w:t>
                  </w:r>
                  <w:r>
                    <w:rPr>
                      <w:rFonts w:ascii="仿宋_GB2312" w:hAnsi="仿宋_GB2312" w:cs="仿宋_GB2312" w:eastAsia="仿宋_GB2312"/>
                      <w:sz w:val="24"/>
                      <w:shd w:fill="FFFFFF" w:val="clear"/>
                    </w:rPr>
                    <w:t>/（%） ≤</w:t>
                  </w:r>
                </w:p>
              </w:tc>
              <w:tc>
                <w:tcPr>
                  <w:tcW w:type="dxa" w:w="1980"/>
                  <w:gridSpan w:val="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r>
            <w:tr>
              <w:tc>
                <w:tcPr>
                  <w:tcW w:type="dxa" w:w="57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色泽、气味</w:t>
                  </w:r>
                </w:p>
              </w:tc>
              <w:tc>
                <w:tcPr>
                  <w:tcW w:type="dxa" w:w="1980"/>
                  <w:gridSpan w:val="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无异常色泽和气味</w:t>
                  </w:r>
                </w:p>
              </w:tc>
            </w:tr>
          </w:tbl>
          <w:p>
            <w:pPr>
              <w:pStyle w:val="null3"/>
              <w:jc w:val="both"/>
            </w:pPr>
            <w:r>
              <w:rPr>
                <w:rFonts w:ascii="仿宋_GB2312" w:hAnsi="仿宋_GB2312" w:cs="仿宋_GB2312" w:eastAsia="仿宋_GB2312"/>
                <w:sz w:val="24"/>
                <w:b/>
                <w:shd w:fill="FFFFFF" w:val="clear"/>
              </w:rPr>
              <w:t>附二：</w:t>
            </w:r>
          </w:p>
          <w:tbl>
            <w:tblPr>
              <w:tblBorders>
                <w:top w:val="none" w:color="000000" w:sz="4"/>
                <w:left w:val="none" w:color="000000" w:sz="4"/>
                <w:bottom w:val="none" w:color="000000" w:sz="4"/>
                <w:right w:val="none" w:color="000000" w:sz="4"/>
                <w:insideH w:val="none"/>
                <w:insideV w:val="none"/>
              </w:tblBorders>
            </w:tblPr>
            <w:tblGrid>
              <w:gridCol w:w="1085"/>
              <w:gridCol w:w="489"/>
              <w:gridCol w:w="489"/>
              <w:gridCol w:w="489"/>
            </w:tblGrid>
            <w:tr>
              <w:tc>
                <w:tcPr>
                  <w:tcW w:type="dxa" w:w="10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质量标准</w:t>
                  </w:r>
                </w:p>
              </w:tc>
              <w:tc>
                <w:tcPr>
                  <w:tcW w:type="dxa" w:w="146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类别</w:t>
                  </w:r>
                </w:p>
              </w:tc>
            </w:tr>
            <w:tr>
              <w:tc>
                <w:tcPr>
                  <w:tcW w:type="dxa" w:w="1085"/>
                  <w:vMerge/>
                  <w:tcBorders>
                    <w:top w:val="singl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精制粉</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标准粉</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普通粉</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加工精度</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按标准样品或仪器测定值对照检验麸星</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灰分含量（以干基计）</w:t>
                  </w:r>
                  <w:r>
                    <w:rPr>
                      <w:rFonts w:ascii="仿宋_GB2312" w:hAnsi="仿宋_GB2312" w:cs="仿宋_GB2312" w:eastAsia="仿宋_GB2312"/>
                      <w:sz w:val="24"/>
                      <w:shd w:fill="FFFFFF" w:val="clear"/>
                    </w:rPr>
                    <w:t>/%                    ≤</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0.70</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1.10</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1.60</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脂肪酸值（以湿基，</w:t>
                  </w:r>
                  <w:r>
                    <w:rPr>
                      <w:rFonts w:ascii="仿宋_GB2312" w:hAnsi="仿宋_GB2312" w:cs="仿宋_GB2312" w:eastAsia="仿宋_GB2312"/>
                      <w:sz w:val="24"/>
                      <w:shd w:fill="FFFFFF" w:val="clear"/>
                    </w:rPr>
                    <w:t>KOH计）/（mg/100g）      ≤</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80</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水分含量</w:t>
                  </w:r>
                  <w:r>
                    <w:rPr>
                      <w:rFonts w:ascii="仿宋_GB2312" w:hAnsi="仿宋_GB2312" w:cs="仿宋_GB2312" w:eastAsia="仿宋_GB2312"/>
                      <w:sz w:val="24"/>
                      <w:shd w:fill="FFFFFF" w:val="clear"/>
                    </w:rPr>
                    <w:t>/%       ≤</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14.5</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left"/>
                  </w:pPr>
                  <w:r>
                    <w:rPr>
                      <w:rFonts w:ascii="仿宋_GB2312" w:hAnsi="仿宋_GB2312" w:cs="仿宋_GB2312" w:eastAsia="仿宋_GB2312"/>
                      <w:sz w:val="24"/>
                      <w:shd w:fill="FFFFFF" w:val="clear"/>
                    </w:rPr>
                    <w:t>含砂量</w:t>
                  </w:r>
                  <w:r>
                    <w:rPr>
                      <w:rFonts w:ascii="仿宋_GB2312" w:hAnsi="仿宋_GB2312" w:cs="仿宋_GB2312" w:eastAsia="仿宋_GB2312"/>
                      <w:sz w:val="24"/>
                      <w:shd w:fill="FFFFFF" w:val="clear"/>
                    </w:rPr>
                    <w:t>/%        ≤</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0.02</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磁性金属物</w:t>
                  </w:r>
                  <w:r>
                    <w:rPr>
                      <w:rFonts w:ascii="仿宋_GB2312" w:hAnsi="仿宋_GB2312" w:cs="仿宋_GB2312" w:eastAsia="仿宋_GB2312"/>
                      <w:sz w:val="24"/>
                      <w:shd w:fill="FFFFFF" w:val="clear"/>
                    </w:rPr>
                    <w:t>/（g/kg）      ≤</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0.003</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色泽、气味</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正常</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外观形态</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粉状或微粒状，无结块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shd w:fill="FFFFFF" w:val="clear"/>
                    </w:rPr>
                    <w:t>湿面筋含量</w:t>
                  </w:r>
                  <w:r>
                    <w:rPr>
                      <w:rFonts w:ascii="仿宋_GB2312" w:hAnsi="仿宋_GB2312" w:cs="仿宋_GB2312" w:eastAsia="仿宋_GB2312"/>
                      <w:sz w:val="24"/>
                      <w:shd w:fill="FFFFFF" w:val="clear"/>
                    </w:rPr>
                    <w:t>/%    ≥</w:t>
                  </w:r>
                </w:p>
              </w:tc>
              <w:tc>
                <w:tcPr>
                  <w:tcW w:type="dxa" w:w="14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22.0</w:t>
                  </w:r>
                </w:p>
              </w:tc>
            </w:tr>
          </w:tbl>
          <w:p>
            <w:pPr>
              <w:pStyle w:val="null3"/>
              <w:jc w:val="both"/>
            </w:pPr>
            <w:r>
              <w:rPr>
                <w:rFonts w:ascii="仿宋_GB2312" w:hAnsi="仿宋_GB2312" w:cs="仿宋_GB2312" w:eastAsia="仿宋_GB2312"/>
                <w:sz w:val="24"/>
                <w:b/>
                <w:shd w:fill="FFFFFF" w:val="clear"/>
              </w:rPr>
              <w:t>附三：</w:t>
            </w:r>
          </w:p>
          <w:tbl>
            <w:tblPr>
              <w:tblBorders>
                <w:top w:val="none" w:color="000000" w:sz="4"/>
                <w:left w:val="none" w:color="000000" w:sz="4"/>
                <w:bottom w:val="none" w:color="000000" w:sz="4"/>
                <w:right w:val="none" w:color="000000" w:sz="4"/>
                <w:insideH w:val="none"/>
                <w:insideV w:val="none"/>
              </w:tblBorders>
            </w:tblPr>
            <w:tblGrid>
              <w:gridCol w:w="999"/>
              <w:gridCol w:w="399"/>
              <w:gridCol w:w="576"/>
              <w:gridCol w:w="577"/>
            </w:tblGrid>
            <w:tr>
              <w:tc>
                <w:tcPr>
                  <w:tcW w:type="dxa" w:w="9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项目</w:t>
                  </w:r>
                </w:p>
              </w:tc>
              <w:tc>
                <w:tcPr>
                  <w:tcW w:type="dxa" w:w="155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质量指标</w:t>
                  </w:r>
                </w:p>
              </w:tc>
            </w:tr>
            <w:tr>
              <w:tc>
                <w:tcPr>
                  <w:tcW w:type="dxa" w:w="999"/>
                  <w:vMerge/>
                  <w:tcBorders>
                    <w:top w:val="singl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一级</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二级</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三级</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色泽</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淡黄色至浅黄色</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淡黄色至橙黄色</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橙黄色至棕褐色</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透明度（</w:t>
                  </w:r>
                  <w:r>
                    <w:rPr>
                      <w:rFonts w:ascii="仿宋_GB2312" w:hAnsi="仿宋_GB2312" w:cs="仿宋_GB2312" w:eastAsia="仿宋_GB2312"/>
                      <w:sz w:val="24"/>
                      <w:shd w:fill="FFFFFF" w:val="clear"/>
                    </w:rPr>
                    <w:t>20℃）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澄清、透明</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澄清</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允许微浊</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气味、滋味</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无异味，口感好</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无异味，口感良好</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具有菜籽油固有气味和滋味、无异味</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水分及挥发物含量</w:t>
                  </w:r>
                  <w:r>
                    <w:rPr>
                      <w:rFonts w:ascii="仿宋_GB2312" w:hAnsi="仿宋_GB2312" w:cs="仿宋_GB2312" w:eastAsia="仿宋_GB2312"/>
                      <w:sz w:val="24"/>
                      <w:shd w:fill="FFFFFF" w:val="clear"/>
                    </w:rPr>
                    <w:t>/%≤</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0.20</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不溶性杂质含量</w:t>
                  </w:r>
                  <w:r>
                    <w:rPr>
                      <w:rFonts w:ascii="仿宋_GB2312" w:hAnsi="仿宋_GB2312" w:cs="仿宋_GB2312" w:eastAsia="仿宋_GB2312"/>
                      <w:sz w:val="24"/>
                      <w:shd w:fill="FFFFFF" w:val="clear"/>
                    </w:rPr>
                    <w:t>/%  ≤</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0.05</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0.05</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酸价（以</w:t>
                  </w:r>
                  <w:r>
                    <w:rPr>
                      <w:rFonts w:ascii="仿宋_GB2312" w:hAnsi="仿宋_GB2312" w:cs="仿宋_GB2312" w:eastAsia="仿宋_GB2312"/>
                      <w:sz w:val="24"/>
                      <w:shd w:fill="FFFFFF" w:val="clear"/>
                    </w:rPr>
                    <w:t>KOH计）/（mg/g）≤</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过氧化值</w:t>
                  </w:r>
                  <w:r>
                    <w:rPr>
                      <w:rFonts w:ascii="仿宋_GB2312" w:hAnsi="仿宋_GB2312" w:cs="仿宋_GB2312" w:eastAsia="仿宋_GB2312"/>
                      <w:sz w:val="24"/>
                      <w:shd w:fill="FFFFFF" w:val="clear"/>
                    </w:rPr>
                    <w:t>/（g/100g）≤</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0.125</w:t>
                  </w:r>
                </w:p>
              </w:tc>
              <w:tc>
                <w:tcPr>
                  <w:tcW w:type="dxa" w:w="1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0.25</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加热试验（</w:t>
                  </w:r>
                  <w:r>
                    <w:rPr>
                      <w:rFonts w:ascii="仿宋_GB2312" w:hAnsi="仿宋_GB2312" w:cs="仿宋_GB2312" w:eastAsia="仿宋_GB2312"/>
                      <w:sz w:val="24"/>
                      <w:shd w:fill="FFFFFF" w:val="clear"/>
                    </w:rPr>
                    <w:t>280℃）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无析出物，油色不得变深</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允许微量析出物和油色变深，但不得变黑</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含皂量</w:t>
                  </w:r>
                  <w:r>
                    <w:rPr>
                      <w:rFonts w:ascii="仿宋_GB2312" w:hAnsi="仿宋_GB2312" w:cs="仿宋_GB2312" w:eastAsia="仿宋_GB2312"/>
                      <w:sz w:val="24"/>
                      <w:shd w:fill="FFFFFF" w:val="clear"/>
                    </w:rPr>
                    <w:t>/%          ≤</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w:t>
                  </w:r>
                </w:p>
              </w:tc>
              <w:tc>
                <w:tcPr>
                  <w:tcW w:type="dxa" w:w="1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0.03</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冷冻试验（</w:t>
                  </w:r>
                  <w:r>
                    <w:rPr>
                      <w:rFonts w:ascii="仿宋_GB2312" w:hAnsi="仿宋_GB2312" w:cs="仿宋_GB2312" w:eastAsia="仿宋_GB2312"/>
                      <w:sz w:val="24"/>
                      <w:shd w:fill="FFFFFF" w:val="clear"/>
                    </w:rPr>
                    <w:t>0℃储藏5.5h）</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澄清、透明</w:t>
                  </w:r>
                </w:p>
              </w:tc>
              <w:tc>
                <w:tcPr>
                  <w:tcW w:type="dxa" w:w="1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烟点</w:t>
                  </w:r>
                  <w:r>
                    <w:rPr>
                      <w:rFonts w:ascii="仿宋_GB2312" w:hAnsi="仿宋_GB2312" w:cs="仿宋_GB2312" w:eastAsia="仿宋_GB2312"/>
                      <w:sz w:val="24"/>
                      <w:shd w:fill="FFFFFF" w:val="clear"/>
                    </w:rPr>
                    <w:t>/℃           ≥</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190</w:t>
                  </w:r>
                </w:p>
              </w:tc>
              <w:tc>
                <w:tcPr>
                  <w:tcW w:type="dxa" w:w="1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w:t>
                  </w:r>
                </w:p>
              </w:tc>
            </w:tr>
            <w:tr>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溶剂残留量</w:t>
                  </w:r>
                  <w:r>
                    <w:rPr>
                      <w:rFonts w:ascii="仿宋_GB2312" w:hAnsi="仿宋_GB2312" w:cs="仿宋_GB2312" w:eastAsia="仿宋_GB2312"/>
                      <w:sz w:val="24"/>
                      <w:shd w:fill="FFFFFF" w:val="clear"/>
                    </w:rPr>
                    <w:t>/（mg/kg）</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不得检出</w:t>
                  </w:r>
                </w:p>
              </w:tc>
              <w:tc>
                <w:tcPr>
                  <w:tcW w:type="dxa" w:w="11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r>
            <w:tr>
              <w:tc>
                <w:tcPr>
                  <w:tcW w:type="dxa" w:w="255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注：划有</w:t>
                  </w:r>
                  <w:r>
                    <w:rPr>
                      <w:rFonts w:ascii="仿宋_GB2312" w:hAnsi="仿宋_GB2312" w:cs="仿宋_GB2312" w:eastAsia="仿宋_GB2312"/>
                      <w:sz w:val="24"/>
                      <w:shd w:fill="FFFFFF" w:val="clear"/>
                    </w:rPr>
                    <w:t>“－”者不做检测。</w:t>
                  </w:r>
                </w:p>
              </w:tc>
            </w:tr>
          </w:tbl>
          <w:p>
            <w:pPr>
              <w:pStyle w:val="null3"/>
              <w:jc w:val="both"/>
            </w:pPr>
            <w:r>
              <w:rPr>
                <w:rFonts w:ascii="仿宋_GB2312" w:hAnsi="仿宋_GB2312" w:cs="仿宋_GB2312" w:eastAsia="仿宋_GB2312"/>
                <w:sz w:val="24"/>
                <w:b/>
                <w:shd w:fill="FFFFFF" w:val="clear"/>
              </w:rPr>
              <w:t>（一）总体服务要求</w:t>
            </w:r>
          </w:p>
          <w:p>
            <w:pPr>
              <w:pStyle w:val="null3"/>
              <w:ind w:firstLine="480"/>
              <w:jc w:val="left"/>
            </w:pPr>
            <w:r>
              <w:rPr>
                <w:rFonts w:ascii="仿宋_GB2312" w:hAnsi="仿宋_GB2312" w:cs="仿宋_GB2312" w:eastAsia="仿宋_GB2312"/>
                <w:sz w:val="24"/>
                <w:shd w:fill="FFFFFF" w:val="clear"/>
              </w:rPr>
              <w:t>1.成交供应商应按采购人要求进行陕西省延安监狱罪犯生活物资的供应，同时符合《中华人民共和国产品质量法》《中华人民共和国食品安全法》，有国家标准的执行国家标准。在本项目实施过程中不允许出现任何食品安全事故，否则由成交供应商承担全部事故责任及赔偿责任，并按照合同承担违约责任。</w:t>
            </w:r>
          </w:p>
          <w:p>
            <w:pPr>
              <w:pStyle w:val="null3"/>
              <w:ind w:firstLine="480"/>
              <w:jc w:val="left"/>
            </w:pPr>
            <w:r>
              <w:rPr>
                <w:rFonts w:ascii="仿宋_GB2312" w:hAnsi="仿宋_GB2312" w:cs="仿宋_GB2312" w:eastAsia="仿宋_GB2312"/>
                <w:sz w:val="24"/>
                <w:shd w:fill="FFFFFF" w:val="clear"/>
              </w:rPr>
              <w:t>2.根据陕西省延安监狱实际使用需求供货，在接到供货通知后按照合同约定时间、地点配送。</w:t>
            </w:r>
          </w:p>
          <w:p>
            <w:pPr>
              <w:pStyle w:val="null3"/>
              <w:ind w:firstLine="480"/>
              <w:jc w:val="left"/>
            </w:pPr>
            <w:r>
              <w:rPr>
                <w:rFonts w:ascii="仿宋_GB2312" w:hAnsi="仿宋_GB2312" w:cs="仿宋_GB2312" w:eastAsia="仿宋_GB2312"/>
                <w:sz w:val="24"/>
                <w:shd w:fill="FFFFFF" w:val="clear"/>
              </w:rPr>
              <w:t>3.成交供应商需具备稳定的生产及供应能力，在配送过程充分考虑天气、运输条件、节假日、限号、桥梁断裂、道路塌方以及不可预见的公共卫生事件等一切因素，在限定的期限内，确保供应充足同时保证按时交货，满足监狱需求。</w:t>
            </w:r>
          </w:p>
          <w:p>
            <w:pPr>
              <w:pStyle w:val="null3"/>
              <w:ind w:firstLine="480"/>
              <w:jc w:val="left"/>
            </w:pPr>
            <w:r>
              <w:rPr>
                <w:rFonts w:ascii="仿宋_GB2312" w:hAnsi="仿宋_GB2312" w:cs="仿宋_GB2312" w:eastAsia="仿宋_GB2312"/>
                <w:sz w:val="24"/>
                <w:shd w:fill="FFFFFF" w:val="clear"/>
              </w:rPr>
              <w:t>4.项目实施过程中，成交供应商应履行自身的各项承诺，如果发生特殊情况，在收到采购人通知后2小时内有效响应，24小时内配送到位。</w:t>
            </w:r>
          </w:p>
          <w:p>
            <w:pPr>
              <w:pStyle w:val="null3"/>
              <w:ind w:firstLine="482"/>
              <w:jc w:val="left"/>
            </w:pPr>
            <w:r>
              <w:rPr>
                <w:rFonts w:ascii="仿宋_GB2312" w:hAnsi="仿宋_GB2312" w:cs="仿宋_GB2312" w:eastAsia="仿宋_GB2312"/>
                <w:sz w:val="24"/>
                <w:b/>
                <w:shd w:fill="FFFFFF" w:val="clear"/>
              </w:rPr>
              <w:t>（二）配送要求</w:t>
            </w:r>
          </w:p>
          <w:p>
            <w:pPr>
              <w:pStyle w:val="null3"/>
              <w:ind w:firstLine="480"/>
              <w:jc w:val="left"/>
            </w:pPr>
            <w:r>
              <w:rPr>
                <w:rFonts w:ascii="仿宋_GB2312" w:hAnsi="仿宋_GB2312" w:cs="仿宋_GB2312" w:eastAsia="仿宋_GB2312"/>
                <w:sz w:val="24"/>
                <w:shd w:fill="FFFFFF" w:val="clear"/>
              </w:rPr>
              <w:t>1.在向陕西省延安监狱配送过程中，须无条件满足监狱对于“空车出监”的要求，接受监狱的检查。</w:t>
            </w:r>
          </w:p>
          <w:p>
            <w:pPr>
              <w:pStyle w:val="null3"/>
              <w:ind w:firstLine="480"/>
              <w:jc w:val="left"/>
            </w:pPr>
            <w:r>
              <w:rPr>
                <w:rFonts w:ascii="仿宋_GB2312" w:hAnsi="仿宋_GB2312" w:cs="仿宋_GB2312" w:eastAsia="仿宋_GB2312"/>
                <w:sz w:val="24"/>
                <w:shd w:fill="FFFFFF" w:val="clear"/>
              </w:rPr>
              <w:t>备注：空车出监指在配送货物时车辆只携带当批运输货物，在按照监狱要求卸货至指定地点后，运输车辆在出监时车辆中不得携带任何货物。</w:t>
            </w:r>
          </w:p>
          <w:p>
            <w:pPr>
              <w:pStyle w:val="null3"/>
              <w:ind w:firstLine="480"/>
              <w:jc w:val="left"/>
            </w:pPr>
            <w:r>
              <w:rPr>
                <w:rFonts w:ascii="仿宋_GB2312" w:hAnsi="仿宋_GB2312" w:cs="仿宋_GB2312" w:eastAsia="仿宋_GB2312"/>
                <w:sz w:val="24"/>
                <w:shd w:fill="FFFFFF" w:val="clear"/>
              </w:rPr>
              <w:t>2.首次供应时，应向监狱提供企业自身的营业执照、食品生产许可证等采购人要求的证照复印件予监狱存档。每次供应时应向监狱提供该批次产品的出厂（库）检验合格报告、加盖公章的货物清单（送货单）。</w:t>
            </w:r>
          </w:p>
          <w:p>
            <w:pPr>
              <w:pStyle w:val="null3"/>
              <w:ind w:firstLine="480"/>
              <w:jc w:val="left"/>
            </w:pPr>
            <w:r>
              <w:rPr>
                <w:rFonts w:ascii="仿宋_GB2312" w:hAnsi="仿宋_GB2312" w:cs="仿宋_GB2312" w:eastAsia="仿宋_GB2312"/>
                <w:sz w:val="24"/>
                <w:shd w:fill="FFFFFF" w:val="clear"/>
              </w:rPr>
              <w:t>3.整个运输过程应科学合理，运输必须采用符合卫生要求的外包装和运载工具，并且要保持清洁和定期消毒，车厢内无不良气味、异味。</w:t>
            </w:r>
          </w:p>
          <w:p>
            <w:pPr>
              <w:pStyle w:val="null3"/>
              <w:ind w:firstLine="480"/>
              <w:jc w:val="left"/>
            </w:pPr>
            <w:r>
              <w:rPr>
                <w:rFonts w:ascii="仿宋_GB2312" w:hAnsi="仿宋_GB2312" w:cs="仿宋_GB2312" w:eastAsia="仿宋_GB2312"/>
                <w:sz w:val="24"/>
                <w:shd w:fill="FFFFFF" w:val="clear"/>
              </w:rPr>
              <w:t>4.成交供应商在接到通知后备齐货物，按时送至交货地点。监狱如遇特殊情况需推迟送货，应提前通知成交供应商。当成交供应商不能按时、按质、按量供货，导致监狱无法正常供应伙食的，监狱有权自行采购同等质量的货物，由此造成的经济损失和责任均由成交供应商承担，并承担违约责任。</w:t>
            </w:r>
          </w:p>
          <w:p>
            <w:pPr>
              <w:pStyle w:val="null3"/>
              <w:ind w:firstLine="482"/>
              <w:jc w:val="left"/>
            </w:pPr>
            <w:r>
              <w:rPr>
                <w:rFonts w:ascii="仿宋_GB2312" w:hAnsi="仿宋_GB2312" w:cs="仿宋_GB2312" w:eastAsia="仿宋_GB2312"/>
                <w:sz w:val="24"/>
                <w:b/>
                <w:shd w:fill="FFFFFF" w:val="clear"/>
              </w:rPr>
              <w:t>（三）物资验收要求</w:t>
            </w:r>
          </w:p>
          <w:p>
            <w:pPr>
              <w:pStyle w:val="null3"/>
              <w:ind w:firstLine="480"/>
              <w:jc w:val="left"/>
            </w:pPr>
            <w:r>
              <w:rPr>
                <w:rFonts w:ascii="仿宋_GB2312" w:hAnsi="仿宋_GB2312" w:cs="仿宋_GB2312" w:eastAsia="仿宋_GB2312"/>
                <w:sz w:val="24"/>
                <w:shd w:fill="FFFFFF" w:val="clear"/>
              </w:rPr>
              <w:t>1.按陕西省延安监狱相关管理制度进行验收。</w:t>
            </w:r>
          </w:p>
          <w:p>
            <w:pPr>
              <w:pStyle w:val="null3"/>
              <w:ind w:firstLine="480"/>
              <w:jc w:val="left"/>
            </w:pPr>
            <w:r>
              <w:rPr>
                <w:rFonts w:ascii="仿宋_GB2312" w:hAnsi="仿宋_GB2312" w:cs="仿宋_GB2312" w:eastAsia="仿宋_GB2312"/>
                <w:sz w:val="24"/>
                <w:shd w:fill="FFFFFF" w:val="clear"/>
              </w:rPr>
              <w:t>2.双方对质量有争议，如需将货物送至具有资质的质量检测机构检测的，若检测结果合格，检测费用由监狱支付。</w:t>
            </w:r>
          </w:p>
          <w:p>
            <w:pPr>
              <w:pStyle w:val="null3"/>
              <w:ind w:firstLine="480"/>
              <w:jc w:val="left"/>
            </w:pPr>
            <w:r>
              <w:rPr>
                <w:rFonts w:ascii="仿宋_GB2312" w:hAnsi="仿宋_GB2312" w:cs="仿宋_GB2312" w:eastAsia="仿宋_GB2312"/>
                <w:sz w:val="24"/>
                <w:shd w:fill="FFFFFF" w:val="clear"/>
              </w:rPr>
              <w:t>若检测结果不合格，则检测费用由成交供应商支付，监狱将该批次货物退货，成交供应商重新配送合格物资。</w:t>
            </w:r>
          </w:p>
          <w:p>
            <w:pPr>
              <w:pStyle w:val="null3"/>
              <w:ind w:firstLine="480"/>
              <w:jc w:val="left"/>
            </w:pPr>
            <w:r>
              <w:rPr>
                <w:rFonts w:ascii="仿宋_GB2312" w:hAnsi="仿宋_GB2312" w:cs="仿宋_GB2312" w:eastAsia="仿宋_GB2312"/>
                <w:sz w:val="24"/>
                <w:shd w:fill="FFFFFF" w:val="clear"/>
              </w:rPr>
              <w:t>3.物资验收时未发现质量问题，而入库后七天内发现质量问题，成交供应商无法证明因监狱保管、使用不善导致质量问题的，成交供应商应无条件更换该批次该品种物资。</w:t>
            </w:r>
          </w:p>
          <w:p>
            <w:pPr>
              <w:pStyle w:val="null3"/>
              <w:ind w:firstLine="482"/>
              <w:jc w:val="left"/>
            </w:pPr>
            <w:r>
              <w:rPr>
                <w:rFonts w:ascii="仿宋_GB2312" w:hAnsi="仿宋_GB2312" w:cs="仿宋_GB2312" w:eastAsia="仿宋_GB2312"/>
                <w:sz w:val="24"/>
                <w:b/>
                <w:shd w:fill="FFFFFF" w:val="clear"/>
              </w:rPr>
              <w:t>（四）对成交供应商管理要求</w:t>
            </w:r>
          </w:p>
          <w:p>
            <w:pPr>
              <w:pStyle w:val="null3"/>
              <w:ind w:firstLine="480"/>
              <w:jc w:val="left"/>
            </w:pPr>
            <w:r>
              <w:rPr>
                <w:rFonts w:ascii="仿宋_GB2312" w:hAnsi="仿宋_GB2312" w:cs="仿宋_GB2312" w:eastAsia="仿宋_GB2312"/>
                <w:sz w:val="24"/>
                <w:shd w:fill="FFFFFF" w:val="clear"/>
              </w:rPr>
              <w:t>1.供应商有以下行为，经调查属实的，监狱有权解除合同，并追究其责任：</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1）成交供应商有非法转包、分包行为的；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2）无正当理由拒绝履行合同的；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3）因所供货物质量原因导致发生食品安全事故的；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4）因供应商原因导致狱内发生监管安全事故的；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5）工作人员为监狱服刑人员私传违禁品、违规品、危险品；</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6）未按照“空车出监”管理要求的或者发现成交供应商的工作人员为监狱服刑人员传带物品等违反监狱管理规定的，造成重大社会不良影响的；</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7）有其他违法违纪行为的。</w:t>
            </w:r>
          </w:p>
          <w:p>
            <w:pPr>
              <w:pStyle w:val="null3"/>
              <w:ind w:firstLine="480"/>
              <w:jc w:val="left"/>
            </w:pPr>
            <w:r>
              <w:rPr>
                <w:rFonts w:ascii="仿宋_GB2312" w:hAnsi="仿宋_GB2312" w:cs="仿宋_GB2312" w:eastAsia="仿宋_GB2312"/>
                <w:sz w:val="24"/>
                <w:shd w:fill="FFFFFF" w:val="clear"/>
              </w:rPr>
              <w:t>2.必须依据国家有关法律法规要求建立健全各项管理制度，保证食品安全，有明确的食品安全责任人。因所供货物质量原因导致狱内发生食品安全事故，除解除合同外，成交供应商还需赔偿监狱救治经费及误工损失，并按照有关法律法规追究责任。</w:t>
            </w:r>
          </w:p>
          <w:p>
            <w:pPr>
              <w:pStyle w:val="null3"/>
              <w:ind w:firstLine="480"/>
              <w:jc w:val="left"/>
            </w:pPr>
            <w:r>
              <w:rPr>
                <w:rFonts w:ascii="仿宋_GB2312" w:hAnsi="仿宋_GB2312" w:cs="仿宋_GB2312" w:eastAsia="仿宋_GB2312"/>
                <w:sz w:val="24"/>
                <w:shd w:fill="FFFFFF" w:val="clear"/>
              </w:rPr>
              <w:t>3.由于监狱工作的特殊性，成交供应商应做好本单位工作人员的教育工作，遵守监狱出入监门和物品携带等各项规定。</w:t>
            </w:r>
          </w:p>
          <w:p>
            <w:pPr>
              <w:pStyle w:val="null3"/>
              <w:ind w:firstLine="480"/>
              <w:jc w:val="left"/>
            </w:pPr>
            <w:r>
              <w:rPr>
                <w:rFonts w:ascii="仿宋_GB2312" w:hAnsi="仿宋_GB2312" w:cs="仿宋_GB2312" w:eastAsia="仿宋_GB2312"/>
                <w:sz w:val="24"/>
                <w:shd w:fill="FFFFFF" w:val="clear"/>
              </w:rPr>
              <w:t>4.按合同约定的标的供货，成交供应商不得转包、分包，否则监狱有权单方面终止合同，项目另行处理，成交供应商承担由此造成的经济损失。</w:t>
            </w:r>
          </w:p>
          <w:p>
            <w:pPr>
              <w:pStyle w:val="null3"/>
              <w:ind w:firstLine="480"/>
              <w:jc w:val="left"/>
            </w:pPr>
            <w:r>
              <w:rPr>
                <w:rFonts w:ascii="仿宋_GB2312" w:hAnsi="仿宋_GB2312" w:cs="仿宋_GB2312" w:eastAsia="仿宋_GB2312"/>
                <w:sz w:val="24"/>
                <w:shd w:fill="FFFFFF" w:val="clear"/>
              </w:rPr>
              <w:t>5.成交供应商应严格按招标要求（含品种、质量等）供应，不得变更供应商品，否则，监狱有权退货。</w:t>
            </w:r>
          </w:p>
          <w:p>
            <w:pPr>
              <w:pStyle w:val="null3"/>
              <w:ind w:firstLine="480"/>
              <w:jc w:val="left"/>
            </w:pPr>
            <w:r>
              <w:rPr>
                <w:rFonts w:ascii="仿宋_GB2312" w:hAnsi="仿宋_GB2312" w:cs="仿宋_GB2312" w:eastAsia="仿宋_GB2312"/>
                <w:sz w:val="24"/>
                <w:shd w:fill="FFFFFF" w:val="clear"/>
              </w:rPr>
              <w:t>6.因生产商原因停产、改变生产规格的，中标供应商凭生产商证明告知监狱，监狱经市场调查确认，选择替换品种、规格，报上级主管部门备案后与供应商协商定价后确认更换的品种、规格、价格。</w:t>
            </w:r>
          </w:p>
          <w:p>
            <w:pPr>
              <w:pStyle w:val="null3"/>
              <w:ind w:firstLine="480"/>
              <w:jc w:val="left"/>
            </w:pPr>
            <w:r>
              <w:rPr>
                <w:rFonts w:ascii="仿宋_GB2312" w:hAnsi="仿宋_GB2312" w:cs="仿宋_GB2312" w:eastAsia="仿宋_GB2312"/>
                <w:sz w:val="24"/>
                <w:shd w:fill="FFFFFF" w:val="clear"/>
              </w:rPr>
              <w:t>7.监狱按合同对商品进行严格验收，对不符合规格要求的商品，供应商必须无条件退货或更换。</w:t>
            </w:r>
          </w:p>
          <w:p>
            <w:pPr>
              <w:pStyle w:val="null3"/>
              <w:ind w:firstLine="480"/>
              <w:jc w:val="left"/>
            </w:pPr>
            <w:r>
              <w:rPr>
                <w:rFonts w:ascii="仿宋_GB2312" w:hAnsi="仿宋_GB2312" w:cs="仿宋_GB2312" w:eastAsia="仿宋_GB2312"/>
                <w:sz w:val="24"/>
                <w:shd w:fill="FFFFFF" w:val="clear"/>
              </w:rPr>
              <w:t>8.食品溯源要求，从溯源系统搭建、数据采集、建立数据库、报表统计、系统部署等方面保证本项目食品溯源要求。</w:t>
            </w:r>
            <w:r>
              <w:br/>
            </w: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（五）成交供应商工作人员进出监管区要求</w:t>
            </w:r>
          </w:p>
          <w:p>
            <w:pPr>
              <w:pStyle w:val="null3"/>
              <w:ind w:firstLine="480"/>
              <w:jc w:val="left"/>
            </w:pPr>
            <w:r>
              <w:rPr>
                <w:rFonts w:ascii="仿宋_GB2312" w:hAnsi="仿宋_GB2312" w:cs="仿宋_GB2312" w:eastAsia="仿宋_GB2312"/>
                <w:sz w:val="24"/>
                <w:shd w:fill="FFFFFF" w:val="clear"/>
              </w:rPr>
              <w:t>由于监狱工作的特殊性，成交供应商应认真教育本单位工作人员严格遵守监狱的相关管理规定。</w:t>
            </w:r>
          </w:p>
          <w:p>
            <w:pPr>
              <w:pStyle w:val="null3"/>
              <w:ind w:firstLine="480"/>
              <w:jc w:val="left"/>
            </w:pPr>
            <w:r>
              <w:rPr>
                <w:rFonts w:ascii="仿宋_GB2312" w:hAnsi="仿宋_GB2312" w:cs="仿宋_GB2312" w:eastAsia="仿宋_GB2312"/>
                <w:sz w:val="24"/>
                <w:shd w:fill="FFFFFF" w:val="clear"/>
              </w:rPr>
              <w:t>1.成交供应商工作人员必须遵守法律法规，不得假借监狱名义从事有损监狱形象的行为。</w:t>
            </w:r>
          </w:p>
          <w:p>
            <w:pPr>
              <w:pStyle w:val="null3"/>
              <w:ind w:firstLine="480"/>
              <w:jc w:val="left"/>
            </w:pPr>
            <w:r>
              <w:rPr>
                <w:rFonts w:ascii="仿宋_GB2312" w:hAnsi="仿宋_GB2312" w:cs="仿宋_GB2312" w:eastAsia="仿宋_GB2312"/>
                <w:sz w:val="24"/>
                <w:shd w:fill="FFFFFF" w:val="clear"/>
              </w:rPr>
              <w:t>2.成交供应商工作人员进入监管区应提高警惕，注意人身安全保护，加强自我防范意识；自觉与罪犯划清界限，防止被罪犯利用。</w:t>
            </w:r>
          </w:p>
          <w:p>
            <w:pPr>
              <w:pStyle w:val="null3"/>
              <w:ind w:firstLine="480"/>
              <w:jc w:val="left"/>
            </w:pPr>
            <w:r>
              <w:rPr>
                <w:rFonts w:ascii="仿宋_GB2312" w:hAnsi="仿宋_GB2312" w:cs="仿宋_GB2312" w:eastAsia="仿宋_GB2312"/>
                <w:sz w:val="24"/>
                <w:shd w:fill="FFFFFF" w:val="clear"/>
              </w:rPr>
              <w:t>3.成交供应商工作人员进入监管区必须衣着整齐，举止文明；女士不得衣着暴露。</w:t>
            </w:r>
          </w:p>
          <w:p>
            <w:pPr>
              <w:pStyle w:val="null3"/>
              <w:ind w:firstLine="480"/>
              <w:jc w:val="left"/>
            </w:pPr>
            <w:r>
              <w:rPr>
                <w:rFonts w:ascii="仿宋_GB2312" w:hAnsi="仿宋_GB2312" w:cs="仿宋_GB2312" w:eastAsia="仿宋_GB2312"/>
                <w:sz w:val="24"/>
                <w:shd w:fill="FFFFFF" w:val="clear"/>
              </w:rPr>
              <w:t>4.凡需进入监管区的成交供应商工作人员必须由合作方开具委派证明和身份证明原件，向狱方提出申请，经核准后办理相关手续。</w:t>
            </w:r>
          </w:p>
          <w:p>
            <w:pPr>
              <w:pStyle w:val="null3"/>
              <w:ind w:firstLine="480"/>
              <w:jc w:val="left"/>
            </w:pPr>
            <w:r>
              <w:rPr>
                <w:rFonts w:ascii="仿宋_GB2312" w:hAnsi="仿宋_GB2312" w:cs="仿宋_GB2312" w:eastAsia="仿宋_GB2312"/>
                <w:sz w:val="24"/>
                <w:shd w:fill="FFFFFF" w:val="clear"/>
              </w:rPr>
              <w:t>5.工作车辆应凭审批手续并由监狱警察带领或监狱指定人员驾驶，方可进出监管区大门。</w:t>
            </w:r>
          </w:p>
          <w:p>
            <w:pPr>
              <w:pStyle w:val="null3"/>
              <w:ind w:firstLine="480"/>
              <w:jc w:val="left"/>
            </w:pPr>
            <w:r>
              <w:rPr>
                <w:rFonts w:ascii="仿宋_GB2312" w:hAnsi="仿宋_GB2312" w:cs="仿宋_GB2312" w:eastAsia="仿宋_GB2312"/>
                <w:sz w:val="24"/>
                <w:shd w:fill="FFFFFF" w:val="clear"/>
              </w:rPr>
              <w:t>6.所有进出监管区大门的人员、车辆和物品应接受监门警察和监门哨兵的检查，凭通行证件或经监狱审批的手续，人证相符、手续齐全方可进出监管区大门。</w:t>
            </w:r>
          </w:p>
          <w:p>
            <w:pPr>
              <w:pStyle w:val="null3"/>
              <w:ind w:firstLine="480"/>
              <w:jc w:val="left"/>
            </w:pPr>
            <w:r>
              <w:rPr>
                <w:rFonts w:ascii="仿宋_GB2312" w:hAnsi="仿宋_GB2312" w:cs="仿宋_GB2312" w:eastAsia="仿宋_GB2312"/>
                <w:sz w:val="24"/>
                <w:shd w:fill="FFFFFF" w:val="clear"/>
              </w:rPr>
              <w:t>7.成交供应商工作人员进出监管区大门必须遵守监狱监管区大门管理规定。凭有效身份证件办理《外来人员通行证》或《外来人员临时通行证》，由监狱相关部门警察带入带出，并接受监门武警和值班警察的检查管理。</w:t>
            </w:r>
          </w:p>
          <w:p>
            <w:pPr>
              <w:pStyle w:val="null3"/>
              <w:ind w:firstLine="480"/>
              <w:jc w:val="left"/>
            </w:pPr>
            <w:r>
              <w:rPr>
                <w:rFonts w:ascii="仿宋_GB2312" w:hAnsi="仿宋_GB2312" w:cs="仿宋_GB2312" w:eastAsia="仿宋_GB2312"/>
                <w:sz w:val="24"/>
                <w:shd w:fill="FFFFFF" w:val="clear"/>
              </w:rPr>
              <w:t>8.外来人员不得携带违禁品、违规品、危险品等可能影响监管安全的物品进入监管区，进入监管区时必须按规定将移动电话等物品保管在贮物箱。</w:t>
            </w:r>
          </w:p>
          <w:p>
            <w:pPr>
              <w:pStyle w:val="null3"/>
              <w:ind w:firstLine="480"/>
              <w:jc w:val="left"/>
            </w:pPr>
            <w:r>
              <w:rPr>
                <w:rFonts w:ascii="仿宋_GB2312" w:hAnsi="仿宋_GB2312" w:cs="仿宋_GB2312" w:eastAsia="仿宋_GB2312"/>
                <w:sz w:val="24"/>
                <w:shd w:fill="FFFFFF" w:val="clear"/>
              </w:rPr>
              <w:t>违禁品是指枪支弹药、通讯设备、现金、刀具、毒品、麻醉及精神药品、军警制服、便服、假发、反动、淫秽宣传制品等物品；</w:t>
            </w:r>
          </w:p>
          <w:p>
            <w:pPr>
              <w:pStyle w:val="null3"/>
              <w:ind w:firstLine="480"/>
              <w:jc w:val="left"/>
            </w:pPr>
            <w:r>
              <w:rPr>
                <w:rFonts w:ascii="仿宋_GB2312" w:hAnsi="仿宋_GB2312" w:cs="仿宋_GB2312" w:eastAsia="仿宋_GB2312"/>
                <w:sz w:val="24"/>
                <w:shd w:fill="FFFFFF" w:val="clear"/>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80"/>
              <w:jc w:val="left"/>
            </w:pPr>
            <w:r>
              <w:rPr>
                <w:rFonts w:ascii="仿宋_GB2312" w:hAnsi="仿宋_GB2312" w:cs="仿宋_GB2312" w:eastAsia="仿宋_GB2312"/>
                <w:sz w:val="24"/>
                <w:shd w:fill="FFFFFF" w:val="clear"/>
              </w:rPr>
              <w:t>危险品是指钝器、攀高物、易燃易爆、剧毒、放射、腐蚀性等物品。</w:t>
            </w:r>
          </w:p>
          <w:p>
            <w:pPr>
              <w:pStyle w:val="null3"/>
              <w:ind w:firstLine="480"/>
              <w:jc w:val="left"/>
            </w:pPr>
            <w:r>
              <w:rPr>
                <w:rFonts w:ascii="仿宋_GB2312" w:hAnsi="仿宋_GB2312" w:cs="仿宋_GB2312" w:eastAsia="仿宋_GB2312"/>
                <w:sz w:val="24"/>
                <w:shd w:fill="FFFFFF" w:val="clear"/>
              </w:rPr>
              <w:t>9.成交供应商工作人员进入监管区大门后，必须将《外来人员通行证》或《外来人员临时通行证》挂于胸前，并妥善保管。</w:t>
            </w:r>
          </w:p>
          <w:p>
            <w:pPr>
              <w:pStyle w:val="null3"/>
              <w:ind w:firstLine="480"/>
              <w:jc w:val="left"/>
            </w:pPr>
            <w:r>
              <w:rPr>
                <w:rFonts w:ascii="仿宋_GB2312" w:hAnsi="仿宋_GB2312" w:cs="仿宋_GB2312" w:eastAsia="仿宋_GB2312"/>
                <w:sz w:val="24"/>
                <w:shd w:fill="FFFFFF" w:val="clear"/>
              </w:rPr>
              <w:t>10.成交供应商工作人员在监管区内必须遵守监狱的下列规定：</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1）不得擅自与服刑人员接触，与服刑人员认老乡、攀亲结友；</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2）不得为服刑人员传带、保管任何物品；</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3）不得为服刑人员邮寄信件、捎口信或替服刑人员打电话；</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4）不得在监管区拍照、摄像或录音；</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5）不得在监管区内随意走动，非经许可不得进入监舍区；</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6）不得与服刑人员交谈业务以外的内容；</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7）不得散布不利于服刑人员改造的言论；</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8）不得干涉、干扰监狱对服刑人员的执法活动；</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9）不得破坏监狱设施；</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10）患有传染性疾病的外来人员严禁进入监管区；</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11）不得向无关人员谈及监狱工作秘密，或从事其他有碍监管安全的行为。</w:t>
            </w:r>
          </w:p>
          <w:p>
            <w:pPr>
              <w:pStyle w:val="null3"/>
              <w:ind w:firstLine="480"/>
              <w:jc w:val="left"/>
            </w:pPr>
            <w:r>
              <w:rPr>
                <w:rFonts w:ascii="仿宋_GB2312" w:hAnsi="仿宋_GB2312" w:cs="仿宋_GB2312" w:eastAsia="仿宋_GB2312"/>
                <w:sz w:val="24"/>
                <w:shd w:fill="FFFFFF" w:val="clear"/>
              </w:rPr>
              <w:t>11.外来人员若违反本管理规定，监狱将责成成交供应商将其解聘、辞退或调离，严禁其再次进入监管区，有违法行为的移送司法机关处理。</w:t>
            </w:r>
          </w:p>
          <w:p>
            <w:pPr>
              <w:pStyle w:val="null3"/>
              <w:ind w:firstLine="480"/>
              <w:jc w:val="left"/>
            </w:pPr>
            <w:r>
              <w:rPr>
                <w:rFonts w:ascii="仿宋_GB2312" w:hAnsi="仿宋_GB2312" w:cs="仿宋_GB2312" w:eastAsia="仿宋_GB2312"/>
                <w:sz w:val="24"/>
                <w:shd w:fill="FFFFFF" w:val="clear"/>
              </w:rPr>
              <w:t>12.投标人自愿接受本项目拟签订合同的约定及监狱具体管理规定的约束。</w:t>
            </w:r>
          </w:p>
          <w:p>
            <w:pPr>
              <w:pStyle w:val="null3"/>
              <w:ind w:firstLine="482"/>
            </w:pPr>
            <w:r>
              <w:rPr>
                <w:rFonts w:ascii="仿宋_GB2312" w:hAnsi="仿宋_GB2312" w:cs="仿宋_GB2312" w:eastAsia="仿宋_GB2312"/>
                <w:sz w:val="24"/>
                <w:b/>
              </w:rPr>
              <w:t>备注：</w:t>
            </w:r>
          </w:p>
          <w:p>
            <w:pPr>
              <w:pStyle w:val="null3"/>
              <w:ind w:firstLine="482"/>
            </w:pPr>
            <w:r>
              <w:rPr>
                <w:rFonts w:ascii="仿宋_GB2312" w:hAnsi="仿宋_GB2312" w:cs="仿宋_GB2312" w:eastAsia="仿宋_GB2312"/>
                <w:sz w:val="24"/>
                <w:b/>
              </w:rPr>
              <w:t>1.样品清单及要求</w:t>
            </w:r>
          </w:p>
          <w:p>
            <w:pPr>
              <w:pStyle w:val="null3"/>
              <w:ind w:firstLine="482"/>
            </w:pPr>
            <w:r>
              <w:rPr>
                <w:rFonts w:ascii="仿宋_GB2312" w:hAnsi="仿宋_GB2312" w:cs="仿宋_GB2312" w:eastAsia="仿宋_GB2312"/>
                <w:sz w:val="24"/>
                <w:b/>
              </w:rPr>
              <w:t>1.1样品清单</w:t>
            </w:r>
          </w:p>
          <w:tbl>
            <w:tblPr>
              <w:tblBorders>
                <w:top w:val="none" w:color="000000" w:sz="4"/>
                <w:left w:val="none" w:color="000000" w:sz="4"/>
                <w:bottom w:val="none" w:color="000000" w:sz="4"/>
                <w:right w:val="none" w:color="000000" w:sz="4"/>
                <w:insideH w:val="none"/>
                <w:insideV w:val="none"/>
              </w:tblBorders>
            </w:tblPr>
            <w:tblGrid>
              <w:gridCol w:w="267"/>
              <w:gridCol w:w="631"/>
              <w:gridCol w:w="680"/>
              <w:gridCol w:w="656"/>
              <w:gridCol w:w="318"/>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样品名称</w:t>
                  </w:r>
                </w:p>
              </w:tc>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规格</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数量</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备注</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大米</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5KG/袋</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小麦粉</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5KG/袋</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菜籽油</w:t>
                  </w:r>
                </w:p>
              </w:tc>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500ml/瓶</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3.</w:t>
            </w:r>
            <w:r>
              <w:rPr>
                <w:rFonts w:ascii="仿宋_GB2312" w:hAnsi="仿宋_GB2312" w:cs="仿宋_GB2312" w:eastAsia="仿宋_GB2312"/>
                <w:sz w:val="24"/>
                <w:b/>
              </w:rPr>
              <w:t>3</w:t>
            </w:r>
            <w:r>
              <w:rPr>
                <w:rFonts w:ascii="仿宋_GB2312" w:hAnsi="仿宋_GB2312" w:cs="仿宋_GB2312" w:eastAsia="仿宋_GB2312"/>
                <w:sz w:val="24"/>
                <w:b/>
              </w:rPr>
              <w:t>.1</w:t>
            </w:r>
            <w:r>
              <w:rPr>
                <w:rFonts w:ascii="仿宋_GB2312" w:hAnsi="仿宋_GB2312" w:cs="仿宋_GB2312" w:eastAsia="仿宋_GB2312"/>
                <w:sz w:val="24"/>
                <w:b/>
              </w:rPr>
              <w:t>售后服务</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）售后服务响应不得超出</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小时，制定解决方案，</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小时</w:t>
            </w:r>
            <w:r>
              <w:rPr>
                <w:rFonts w:ascii="仿宋_GB2312" w:hAnsi="仿宋_GB2312" w:cs="仿宋_GB2312" w:eastAsia="仿宋_GB2312"/>
                <w:sz w:val="24"/>
                <w:shd w:fill="FFFFFF" w:val="clear"/>
              </w:rPr>
              <w:t>内配送到位。</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）其他售后要求：包装如有破损需发放现场及时更换。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接到采购人通知后要求5日内完成配送。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陕西省延安监狱指定地点。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中标人应按照采购人的要求分批供货，每批货物经采购人验收合格后，采购人将根据实际验收合格的货物数量，按批次与中标人进行结算。每次付款前，中标人应开具符合采购人要求的发票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1．甲方按国家相关质量标准以及招投标时乙方向甲方提供的样品标准验收，货物质量品质、重量应等于或高于样品的质量品质、重量标准。 2．甲方验收合格的结果仅视为货物在外观、数量、型号、规格上符合约定的证明，检验合格文件的签署不使甲方丧失因质量问题而向乙方索赔和求偿的权利，同时不免除乙方对于货物质量缺陷或瑕疵负有的相应责任。 3.其他要求详见合同文本。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质量保证期：按照商品质保期减一个月计算。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①投标保证金须从投标人户名支付，如从个人户名或非投标人户名支付，将被拒绝，视为自动放弃投标权利（该个人是投标人的情形除外）；投标保证金缴纳时间：开标时间之前；以保函形式交纳投标保证金的，投标人应在投标截止时间前将保函扫描成清晰的PDF文件，发送至邮箱1024225934@qq.com（邮件命名：项目名称+项目编号）；投标人应在响应文件中附保函复印件。保函必须由具有开具投标保函资格的单位开具；若投标人违约，开具保函单位承担连带责任；②投标保证金的提交金额、时间不满足采购文件要求的，投标无效；③投标保证金以采购代理机构到账凭证为准，投标人无需更换交纳凭证；④未按指定账户提交的，代理机构将退回，投标人须在文件递交截止时间前按照指定账户再次提交。 （2）样品要求 ①供应商须提供1个纸箱（纸箱外包装不得体现供应商名称、品牌商标及Logo）内放置所参与本项目的完整包装拟投产品样品，于投标文件截止时间之前递交至采购代理机构指定地点，未按要求递交的样品将会被拒收。 ②样品递交人可与本项目投标文件中的授权代表不为同一人，但递交人在递交样品时需携带授权委托书及被委托人身份证原件，法定代表人递交的需要提供法定代表人身份证明书及法定代表人身份证原件。 ③样品的生产、运输、组装、拆卸等相关一切费用由各供应商自行承担，开标结束后所有供应商的样品不予归还。评审现场样品需要拆封，不能保证样品原样归还，供应商综合考虑。成交供应商样品作为验收依据转采购人接收，未成交供应商样品采购结果公示后3个日历天内自行领取，如未按规定时间内领取，采购代理机构有权自行销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投标人为生产厂家的须提供《食品生产许可证》；投标人为代理商的须提供《食品经营许可证》或《食品安全监督管理部门备案凭证》以及生产厂家的《食品生产许可证》；</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 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投标文件按照招标文件的要求签署、盖章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投标报价未超过招标文件中规定的最高限价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投标文件未存在法律、法规和招标文件规定的其他无效情形</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开标一览表 产品技术参数表 投标函 商务应答表 标的清单 投标人资格证明文件.docx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供应商对所投产品技术参数逐条进行明确响应，并提供相关证明材料。 完全满足“技术参数及要求”中指标项要求的，得满分15分；技术指标负偏离的，每一项扣1分，扣完为止。 备注： 1.投标文件技术参数响应情况内容应与证明材料内容一致，不一致时，响应情况为正偏离或无偏离，证明材料为负偏离以证明材料进行评审；响应情况为负偏离，证明材料为正偏离或无偏离以响应情况进行评审。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1.根据供应商针对本项目提供的总体实施方案（供应链保障体系、配送方案、品控方案、售后方案等）进行评审： 方案详细可行，针对性强，能够确保采购人使用的得2.1-3分； 方案相对完整，具有一定的针对性，内容稍有欠缺，但基本能够保证采购人使用的得1.1-2分； 方案简单粗略，表述不具体，无法完全保障采购人使用的得0.1-1分；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1.根据供应商提供的产品来源渠道合法的证明文件（包括但不限于销售协议、代理协议、原厂授权等）证明材料齐全的得5分，未提供或提供不全的得0分。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2.根据供应商针对拟投产品的基本属性（规格、品种、等级、营养成分、加工精度、加工工艺、水分、气味等），产品质量证明（食品生产许可证编号、产品检测报告，产品标准号，原料的原产地、质量等级、商标持有人等）等详细信息进行评审： 供应商拟投产品规格符合要求及国家质量标准和食品卫生安全要求，能够保证食品卫生安全；证明文件齐全，产品完全满足本项目要求的得2.1-3分； 供应商拟投产品规格符合要求，产品质量合格，证明文件稍有欠缺的得1.1-2分； 供应商拟投产品规格符合要求，产品质量合格，但证明材料不全或缺失严重的得0.1-1分；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质量保证2.docx</w:t>
            </w:r>
          </w:p>
        </w:tc>
      </w:tr>
      <w:tr>
        <w:tc>
          <w:tcPr>
            <w:tcW w:type="dxa" w:w="831"/>
            <w:vMerge/>
          </w:tcPr>
          <w:p/>
        </w:tc>
        <w:tc>
          <w:tcPr>
            <w:tcW w:type="dxa" w:w="1661"/>
          </w:tcPr>
          <w:p>
            <w:pPr>
              <w:pStyle w:val="null3"/>
            </w:pPr>
            <w:r>
              <w:rPr>
                <w:rFonts w:ascii="仿宋_GB2312" w:hAnsi="仿宋_GB2312" w:cs="仿宋_GB2312" w:eastAsia="仿宋_GB2312"/>
              </w:rPr>
              <w:t>生产场地情况</w:t>
            </w:r>
          </w:p>
        </w:tc>
        <w:tc>
          <w:tcPr>
            <w:tcW w:type="dxa" w:w="2492"/>
          </w:tcPr>
          <w:p>
            <w:pPr>
              <w:pStyle w:val="null3"/>
            </w:pPr>
            <w:r>
              <w:rPr>
                <w:rFonts w:ascii="仿宋_GB2312" w:hAnsi="仿宋_GB2312" w:cs="仿宋_GB2312" w:eastAsia="仿宋_GB2312"/>
              </w:rPr>
              <w:t>根据供应商针对拟投产品提供的生产场地情况进行评审： 生产厂家厂址选择合理，周围无污染，生产条件卫生整洁，符合国家要求及食品加工生产卫生要求，内部布局科学合理，并提供相关证明材料（证明材料包括但不限于生产加工设备购货发票、场地平面图、实地彩色照片及生产场地环境彩色照片、相关国家标准）；证明资料内容齐全，卫生环境优良，完全满足招标文件要求的得2.1-3分； 证明资料稍有欠缺、卫生环境一般，基本满足本项目要求的得1.1-2分； 证明资料有欠缺、环境较差的得0.1-1分；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生产场地情况.docx</w:t>
            </w:r>
          </w:p>
        </w:tc>
      </w:tr>
      <w:tr>
        <w:tc>
          <w:tcPr>
            <w:tcW w:type="dxa" w:w="831"/>
            <w:vMerge/>
          </w:tcPr>
          <w:p/>
        </w:tc>
        <w:tc>
          <w:tcPr>
            <w:tcW w:type="dxa" w:w="1661"/>
          </w:tcPr>
          <w:p>
            <w:pPr>
              <w:pStyle w:val="null3"/>
            </w:pPr>
            <w:r>
              <w:rPr>
                <w:rFonts w:ascii="仿宋_GB2312" w:hAnsi="仿宋_GB2312" w:cs="仿宋_GB2312" w:eastAsia="仿宋_GB2312"/>
              </w:rPr>
              <w:t>售后服务及承诺1</w:t>
            </w:r>
          </w:p>
        </w:tc>
        <w:tc>
          <w:tcPr>
            <w:tcW w:type="dxa" w:w="2492"/>
          </w:tcPr>
          <w:p>
            <w:pPr>
              <w:pStyle w:val="null3"/>
            </w:pPr>
            <w:r>
              <w:rPr>
                <w:rFonts w:ascii="仿宋_GB2312" w:hAnsi="仿宋_GB2312" w:cs="仿宋_GB2312" w:eastAsia="仿宋_GB2312"/>
              </w:rPr>
              <w:t>1.根据供应商针对本项目的售后服务承诺(包含响应时间、退换货方案等）进行评审： 服务承诺及保证措施完善、具体可行计2.1-3分； 承诺及保证措施较完善，基本满足服务需求计1.1-2分； 承诺内容及保证措施内容欠缺，难以满足服务需求计0.1-1分，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售后服务及承诺1.docx</w:t>
            </w:r>
          </w:p>
        </w:tc>
      </w:tr>
      <w:tr>
        <w:tc>
          <w:tcPr>
            <w:tcW w:type="dxa" w:w="831"/>
            <w:vMerge/>
          </w:tcPr>
          <w:p/>
        </w:tc>
        <w:tc>
          <w:tcPr>
            <w:tcW w:type="dxa" w:w="1661"/>
          </w:tcPr>
          <w:p>
            <w:pPr>
              <w:pStyle w:val="null3"/>
            </w:pPr>
            <w:r>
              <w:rPr>
                <w:rFonts w:ascii="仿宋_GB2312" w:hAnsi="仿宋_GB2312" w:cs="仿宋_GB2312" w:eastAsia="仿宋_GB2312"/>
              </w:rPr>
              <w:t>售后服务及承诺2</w:t>
            </w:r>
          </w:p>
        </w:tc>
        <w:tc>
          <w:tcPr>
            <w:tcW w:type="dxa" w:w="2492"/>
          </w:tcPr>
          <w:p>
            <w:pPr>
              <w:pStyle w:val="null3"/>
            </w:pPr>
            <w:r>
              <w:rPr>
                <w:rFonts w:ascii="仿宋_GB2312" w:hAnsi="仿宋_GB2312" w:cs="仿宋_GB2312" w:eastAsia="仿宋_GB2312"/>
              </w:rPr>
              <w:t>2.根据供应商提供的对服务期内所提供产品食品安全等方面具有详细的服务承诺及保证措施进行评审： 服务承诺及保证措施完善、具体可行计2.1-3分； 承诺及保证措施较完善，基本满足服务需求计1.1-2分； 承诺内容及保证措施内容欠缺，难以满足服务需求计0.1-1分，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售后服务及承诺2.docx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根据供应商在遇到货源短缺或恶劣天气时及其他特殊情况下，为保证货物按时按质按量送达采购人制定的应急方案进行评审： 应急方案科学完善，切合实际、考虑充分计2.1-3分； 应急方案较完善，较切合实际计1.1-2分； 应急方案简单，不利于项目实施的计0.1-1分；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根据供应商提供生产厂家仓库或代理商仓库情况（提供房屋租赁合同或房产证或购买合同）进行评审： 仓库条件符合国家标准，地址选择合理，周围无污染，卫生整洁，符合国家要求及食品储存要求，内部布局科学合理，无阴凉潮湿及周边无污染源，有利于食品存放，提供仓库彩色图片、平面图等，证明资料内容齐全，卫生环境优良，完全满足招标文件要求的得2.1-3分； 证明资料稍有欠缺、卫生环境一般，基本满足招标文件要求的得1.1-2分； 证明资料欠缺、环境较差的得0.1-1分；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仓储能力.docx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1.根据供应商提供的针对本项目具体的供货组织安排响应情况进行评审： 响应内容非常详细、完整、可操作性强计2.1-3分； 响应内容较详细、较完整、可操作性较强计1.1-2分； 响应内容欠详细、欠完整、可操作性一般，计0.1-1分；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2.根据供应商提供的详细的人员配备（生产加工人员及专职检验人员、配送人员明细表和健康证）进行评审： 人员配备完善、分工明确、证件齐全，完全满足采购需求的得2.1-3分 人员配备完善、分工较明确、证件不齐全得1.1-2分 人员配备不充足、未明确分工、没有提供证件得0.1-1分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3.根据供应商提供的配送车辆（提供车辆情况，清单内容包括但不限于车辆名称、车辆年限、车辆概况）进行评审： 车辆配备齐全、清单完善，完全满足采购需求的得2.1-3分； 车辆配备齐全、清单有欠缺得1.1-2分； 车辆配备不充足得0.1-1分；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履约能力3.docx</w:t>
            </w:r>
          </w:p>
        </w:tc>
      </w:tr>
      <w:tr>
        <w:tc>
          <w:tcPr>
            <w:tcW w:type="dxa" w:w="831"/>
            <w:vMerge/>
          </w:tcPr>
          <w:p/>
        </w:tc>
        <w:tc>
          <w:tcPr>
            <w:tcW w:type="dxa" w:w="1661"/>
          </w:tcPr>
          <w:p>
            <w:pPr>
              <w:pStyle w:val="null3"/>
            </w:pPr>
            <w:r>
              <w:rPr>
                <w:rFonts w:ascii="仿宋_GB2312" w:hAnsi="仿宋_GB2312" w:cs="仿宋_GB2312" w:eastAsia="仿宋_GB2312"/>
              </w:rPr>
              <w:t>企业内控制度</w:t>
            </w:r>
          </w:p>
        </w:tc>
        <w:tc>
          <w:tcPr>
            <w:tcW w:type="dxa" w:w="2492"/>
          </w:tcPr>
          <w:p>
            <w:pPr>
              <w:pStyle w:val="null3"/>
            </w:pPr>
            <w:r>
              <w:rPr>
                <w:rFonts w:ascii="仿宋_GB2312" w:hAnsi="仿宋_GB2312" w:cs="仿宋_GB2312" w:eastAsia="仿宋_GB2312"/>
              </w:rPr>
              <w:t>供应商提供企业内部管理制度，包含①公司管理规章制度；②台账管理制度；③食品安全管理制度；④安全卫生管理制度；⑤项目档案管理制度。提供齐全的得5分，每缺少一项扣1分，扣完为止。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企业内控制度.docx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根据供应商提供样品的包装、外观、气味、色泽以及加工精度等进行评审： 样品（大米）的包装完好无损，标签信息完整，包括生产日期、保质期、生产厂家、产品标准号等的计0.5分； 样品（面粉）的包装完好无损，标签信息完整，包括生产日期、保质期、生产厂家、产品标准号等的计0.5分； 样品（食用油）的包装完好无损，标签信息完整，包括生产日期、保质期、生产厂家、产品标准号等，并有标注加工工艺（如压榨或浸出）、原料产地等信息的计1分； 样品（大米）的颗粒饱满、色泽均匀、无杂质或霉变迹象，新米需有天然清香味，无异味的计1分； 样品（面粉）的色泽洁白或微黄，无结块、无异味，手感干爽的计1分； 样品（油）的颜色清澈透明，无沉淀或悬浮物，气味正常，无酸败或哈喇味的计1分。 备注： ①供应商须提供1个纸箱（纸箱外包装不得体现供应商名称、品牌商标及Logo）内放置所参与本项目的完整包装拟投产品样品，于投标文件截止时间之前递交至采购代理机构指定地点，未按要求递交的样品将会被拒收。 ②样品递交人可与本项目投标文件中的授权代表不为同一人，但递交人在递交样品时需携带授权委托书及被委托人身份证原件，法定代表人递交的需要提供法定代表人身份证明书及法定代表人身份证原件。 ③样品的生产、运输、组装、拆卸等相关一切费用由各供应商自行承担，开标结束后所有供应商的样品不予归还。评审现场样品需要拆封，不能保证样品原样归还，供应商综合考虑。成交供应商样品作为验收依据转采购人接收，未成交供应商样品采购结果公示后3个日历天内自行领取，如未按规定时间内领取，采购代理机构有权自行销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供应商提供该供应商自2022年7月1日起至今已完成的类似项目业绩证明材料，每份计2分，最高计10分。 评审依据：业绩证明材料以合同为准；时间以合同所体现的时间为准。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详见附件：仓储能力.docx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详见附件：履约能力3.docx</w:t>
      </w:r>
    </w:p>
    <w:p>
      <w:pPr>
        <w:pStyle w:val="null3"/>
        <w:ind w:firstLine="960"/>
      </w:pPr>
      <w:r>
        <w:rPr>
          <w:rFonts w:ascii="仿宋_GB2312" w:hAnsi="仿宋_GB2312" w:cs="仿宋_GB2312" w:eastAsia="仿宋_GB2312"/>
        </w:rPr>
        <w:t>详见附件：企业内控制度.docx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详见附件：生产场地情况.docx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详见附件：售后服务及承诺1.docx</w:t>
      </w:r>
    </w:p>
    <w:p>
      <w:pPr>
        <w:pStyle w:val="null3"/>
        <w:ind w:firstLine="960"/>
      </w:pPr>
      <w:r>
        <w:rPr>
          <w:rFonts w:ascii="仿宋_GB2312" w:hAnsi="仿宋_GB2312" w:cs="仿宋_GB2312" w:eastAsia="仿宋_GB2312"/>
        </w:rPr>
        <w:t>详见附件：售后服务及承诺2.docx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详见附件：质量保证1.docx</w:t>
      </w:r>
    </w:p>
    <w:p>
      <w:pPr>
        <w:pStyle w:val="null3"/>
        <w:ind w:firstLine="960"/>
      </w:pPr>
      <w:r>
        <w:rPr>
          <w:rFonts w:ascii="仿宋_GB2312" w:hAnsi="仿宋_GB2312" w:cs="仿宋_GB2312" w:eastAsia="仿宋_GB2312"/>
        </w:rPr>
        <w:t>详见附件：质量保证2.docx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详见附件：合同模板-陕西省延安监狱2025年罪犯生活物资（米、面、油）采购项目.docx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