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B0B59F">
      <w:pPr>
        <w:wordWrap/>
        <w:jc w:val="left"/>
        <w:rPr>
          <w:rFonts w:ascii="黑体" w:hAnsi="黑体" w:eastAsia="黑体" w:cs="黑体"/>
          <w:sz w:val="24"/>
          <w:highlight w:val="none"/>
        </w:rPr>
      </w:pPr>
      <w:r>
        <w:rPr>
          <w:rFonts w:hint="eastAsia" w:ascii="黑体" w:hAnsi="宋体" w:eastAsia="黑体"/>
          <w:b/>
          <w:sz w:val="24"/>
          <w:highlight w:val="none"/>
        </w:rPr>
        <w:t>合同编号：</w:t>
      </w:r>
      <w:r>
        <w:rPr>
          <w:rFonts w:hint="eastAsia" w:ascii="黑体" w:hAnsi="黑体" w:eastAsia="黑体" w:cs="黑体"/>
          <w:b/>
          <w:bCs/>
          <w:sz w:val="24"/>
          <w:highlight w:val="none"/>
        </w:rPr>
        <w:t xml:space="preserve"> </w:t>
      </w:r>
    </w:p>
    <w:p w14:paraId="3F4DF352">
      <w:pPr>
        <w:jc w:val="right"/>
        <w:rPr>
          <w:rFonts w:ascii="黑体" w:hAnsi="宋体" w:eastAsia="黑体"/>
          <w:b/>
          <w:sz w:val="24"/>
          <w:highlight w:val="none"/>
        </w:rPr>
      </w:pPr>
    </w:p>
    <w:p w14:paraId="50A8A1D8">
      <w:pPr>
        <w:rPr>
          <w:rFonts w:ascii="黑体" w:hAnsi="宋体" w:eastAsia="黑体"/>
          <w:b/>
          <w:sz w:val="24"/>
          <w:highlight w:val="none"/>
        </w:rPr>
      </w:pPr>
    </w:p>
    <w:p w14:paraId="0505B5FC">
      <w:pPr>
        <w:pStyle w:val="4"/>
        <w:adjustRightInd w:val="0"/>
        <w:snapToGrid w:val="0"/>
        <w:spacing w:after="0" w:line="360" w:lineRule="auto"/>
        <w:jc w:val="center"/>
        <w:rPr>
          <w:rFonts w:hint="eastAsia" w:ascii="宋体" w:hAnsi="宋体"/>
          <w:b/>
          <w:bCs/>
          <w:sz w:val="44"/>
          <w:szCs w:val="44"/>
          <w:highlight w:val="none"/>
          <w:lang w:eastAsia="zh-CN"/>
        </w:rPr>
      </w:pPr>
      <w:r>
        <w:rPr>
          <w:rFonts w:hint="eastAsia" w:ascii="宋体" w:hAnsi="宋体"/>
          <w:b/>
          <w:bCs/>
          <w:sz w:val="44"/>
          <w:szCs w:val="44"/>
          <w:highlight w:val="none"/>
          <w:lang w:eastAsia="zh-CN"/>
        </w:rPr>
        <w:t>陕西省延安监狱2025年</w:t>
      </w:r>
    </w:p>
    <w:p w14:paraId="18EC0F3D">
      <w:pPr>
        <w:pStyle w:val="4"/>
        <w:adjustRightInd w:val="0"/>
        <w:snapToGrid w:val="0"/>
        <w:spacing w:after="0" w:line="360" w:lineRule="auto"/>
        <w:jc w:val="center"/>
        <w:rPr>
          <w:rFonts w:hint="eastAsia" w:ascii="宋体" w:hAnsi="宋体" w:eastAsia="宋体" w:cs="宋体"/>
          <w:b/>
          <w:bCs/>
          <w:sz w:val="44"/>
          <w:szCs w:val="44"/>
          <w:highlight w:val="none"/>
          <w:lang w:eastAsia="zh-CN"/>
        </w:rPr>
      </w:pPr>
      <w:r>
        <w:rPr>
          <w:rFonts w:hint="eastAsia" w:ascii="宋体" w:hAnsi="宋体"/>
          <w:b/>
          <w:bCs/>
          <w:sz w:val="44"/>
          <w:szCs w:val="44"/>
          <w:highlight w:val="none"/>
          <w:lang w:eastAsia="zh-CN"/>
        </w:rPr>
        <w:t>罪犯生活物资（米、面、油）采购项目</w:t>
      </w:r>
    </w:p>
    <w:p w14:paraId="2EBA3EDA">
      <w:pPr>
        <w:pStyle w:val="4"/>
        <w:spacing w:after="0"/>
        <w:jc w:val="center"/>
        <w:rPr>
          <w:rFonts w:hint="eastAsia" w:ascii="宋体" w:hAnsi="宋体" w:cs="宋体"/>
          <w:b/>
          <w:bCs/>
          <w:sz w:val="32"/>
          <w:szCs w:val="32"/>
          <w:highlight w:val="none"/>
        </w:rPr>
      </w:pPr>
    </w:p>
    <w:p w14:paraId="16FFC7F1">
      <w:pPr>
        <w:rPr>
          <w:rFonts w:hint="eastAsia"/>
          <w:highlight w:val="none"/>
        </w:rPr>
      </w:pPr>
    </w:p>
    <w:p w14:paraId="3B602754">
      <w:pPr>
        <w:rPr>
          <w:rFonts w:hint="eastAsia"/>
          <w:highlight w:val="none"/>
        </w:rPr>
      </w:pPr>
    </w:p>
    <w:p w14:paraId="5C1045BF">
      <w:pPr>
        <w:rPr>
          <w:rFonts w:hint="eastAsia"/>
          <w:highlight w:val="none"/>
        </w:rPr>
      </w:pPr>
    </w:p>
    <w:p w14:paraId="5BA92CD9">
      <w:pPr>
        <w:spacing w:line="360" w:lineRule="auto"/>
        <w:jc w:val="center"/>
        <w:rPr>
          <w:rFonts w:hint="eastAsia" w:ascii="宋体" w:hAnsi="宋体" w:cs="宋体"/>
          <w:b/>
          <w:bCs/>
          <w:sz w:val="48"/>
          <w:szCs w:val="48"/>
          <w:highlight w:val="none"/>
        </w:rPr>
      </w:pPr>
    </w:p>
    <w:p w14:paraId="2A357514">
      <w:pPr>
        <w:spacing w:line="360" w:lineRule="auto"/>
        <w:jc w:val="center"/>
        <w:rPr>
          <w:rFonts w:hint="eastAsia" w:ascii="宋体" w:hAnsi="宋体" w:cs="宋体"/>
          <w:b/>
          <w:bCs/>
          <w:sz w:val="84"/>
          <w:szCs w:val="84"/>
          <w:highlight w:val="none"/>
        </w:rPr>
      </w:pPr>
      <w:r>
        <w:rPr>
          <w:rFonts w:hint="eastAsia" w:ascii="宋体" w:hAnsi="宋体" w:cs="宋体"/>
          <w:b/>
          <w:bCs/>
          <w:sz w:val="48"/>
          <w:szCs w:val="48"/>
          <w:highlight w:val="none"/>
        </w:rPr>
        <w:t>供货合同</w:t>
      </w:r>
    </w:p>
    <w:p w14:paraId="5E1465A1">
      <w:pPr>
        <w:spacing w:line="360" w:lineRule="auto"/>
        <w:ind w:firstLine="2570" w:firstLineChars="800"/>
        <w:rPr>
          <w:rFonts w:hint="eastAsia" w:ascii="宋体" w:hAnsi="宋体" w:cs="宋体"/>
          <w:b/>
          <w:bCs/>
          <w:sz w:val="32"/>
          <w:szCs w:val="32"/>
          <w:highlight w:val="none"/>
        </w:rPr>
      </w:pPr>
    </w:p>
    <w:p w14:paraId="3EE8178F">
      <w:pPr>
        <w:spacing w:line="360" w:lineRule="auto"/>
        <w:ind w:firstLine="2570" w:firstLineChars="800"/>
        <w:rPr>
          <w:rFonts w:ascii="宋体" w:hAnsi="宋体" w:cs="宋体"/>
          <w:b/>
          <w:bCs/>
          <w:sz w:val="32"/>
          <w:szCs w:val="32"/>
          <w:highlight w:val="none"/>
        </w:rPr>
      </w:pPr>
      <w:r>
        <w:rPr>
          <w:rFonts w:hint="eastAsia" w:ascii="宋体" w:hAnsi="宋体" w:cs="宋体"/>
          <w:b/>
          <w:bCs/>
          <w:sz w:val="32"/>
          <w:szCs w:val="32"/>
          <w:highlight w:val="none"/>
        </w:rPr>
        <w:t>项目编号：</w:t>
      </w:r>
      <w:r>
        <w:rPr>
          <w:rFonts w:hint="eastAsia" w:ascii="宋体" w:hAnsi="宋体" w:cs="宋体"/>
          <w:b/>
          <w:bCs/>
          <w:sz w:val="32"/>
          <w:szCs w:val="32"/>
          <w:highlight w:val="none"/>
          <w:u w:val="single"/>
        </w:rPr>
        <w:t xml:space="preserve">             </w:t>
      </w:r>
    </w:p>
    <w:p w14:paraId="1839C8E4">
      <w:pPr>
        <w:spacing w:line="360" w:lineRule="auto"/>
        <w:jc w:val="center"/>
        <w:rPr>
          <w:rFonts w:hint="eastAsia" w:ascii="宋体" w:hAnsi="宋体" w:cs="宋体"/>
          <w:b/>
          <w:bCs/>
          <w:spacing w:val="26"/>
          <w:sz w:val="36"/>
          <w:szCs w:val="36"/>
          <w:highlight w:val="none"/>
        </w:rPr>
      </w:pPr>
    </w:p>
    <w:p w14:paraId="0D20192B">
      <w:pPr>
        <w:spacing w:line="360" w:lineRule="auto"/>
        <w:rPr>
          <w:rFonts w:hint="eastAsia" w:ascii="宋体" w:hAnsi="宋体" w:cs="宋体"/>
          <w:b/>
          <w:sz w:val="32"/>
          <w:szCs w:val="32"/>
          <w:highlight w:val="none"/>
        </w:rPr>
      </w:pPr>
    </w:p>
    <w:p w14:paraId="221B962A">
      <w:pPr>
        <w:spacing w:line="360" w:lineRule="auto"/>
        <w:rPr>
          <w:rFonts w:hint="eastAsia" w:ascii="宋体" w:hAnsi="宋体" w:cs="宋体"/>
          <w:b/>
          <w:sz w:val="32"/>
          <w:szCs w:val="32"/>
          <w:highlight w:val="none"/>
        </w:rPr>
      </w:pPr>
    </w:p>
    <w:p w14:paraId="6489E2E5">
      <w:pPr>
        <w:pStyle w:val="4"/>
        <w:rPr>
          <w:rFonts w:hint="eastAsia"/>
          <w:highlight w:val="none"/>
        </w:rPr>
      </w:pPr>
    </w:p>
    <w:p w14:paraId="15B9A4F4">
      <w:pPr>
        <w:spacing w:line="360" w:lineRule="auto"/>
        <w:ind w:firstLine="2409" w:firstLineChars="800"/>
        <w:rPr>
          <w:rFonts w:ascii="宋体" w:hAnsi="宋体" w:cs="宋体"/>
          <w:b/>
          <w:bCs/>
          <w:strike/>
          <w:sz w:val="30"/>
          <w:szCs w:val="30"/>
          <w:highlight w:val="none"/>
          <w:u w:val="single"/>
        </w:rPr>
      </w:pPr>
      <w:r>
        <w:rPr>
          <w:rFonts w:hint="eastAsia" w:ascii="宋体" w:hAnsi="宋体" w:cs="宋体"/>
          <w:b/>
          <w:bCs/>
          <w:sz w:val="30"/>
          <w:szCs w:val="30"/>
          <w:highlight w:val="none"/>
        </w:rPr>
        <w:t>甲方：</w:t>
      </w:r>
      <w:r>
        <w:rPr>
          <w:rFonts w:hint="eastAsia" w:ascii="宋体" w:hAnsi="宋体" w:cs="宋体"/>
          <w:b/>
          <w:bCs/>
          <w:sz w:val="30"/>
          <w:szCs w:val="30"/>
          <w:highlight w:val="none"/>
          <w:u w:val="single"/>
        </w:rPr>
        <w:t xml:space="preserve">                </w:t>
      </w:r>
    </w:p>
    <w:p w14:paraId="175D996B">
      <w:pPr>
        <w:spacing w:line="360" w:lineRule="auto"/>
        <w:ind w:firstLine="2409" w:firstLineChars="800"/>
        <w:rPr>
          <w:rFonts w:hint="eastAsia" w:ascii="宋体" w:hAnsi="宋体" w:cs="宋体"/>
          <w:b/>
          <w:bCs/>
          <w:sz w:val="30"/>
          <w:szCs w:val="30"/>
          <w:highlight w:val="none"/>
          <w:u w:val="single"/>
        </w:rPr>
      </w:pPr>
      <w:r>
        <w:rPr>
          <w:rFonts w:hint="eastAsia" w:ascii="宋体" w:hAnsi="宋体" w:cs="宋体"/>
          <w:b/>
          <w:bCs/>
          <w:sz w:val="30"/>
          <w:szCs w:val="30"/>
          <w:highlight w:val="none"/>
        </w:rPr>
        <w:t>乙方：</w:t>
      </w:r>
      <w:r>
        <w:rPr>
          <w:rFonts w:hint="eastAsia" w:ascii="宋体" w:hAnsi="宋体" w:cs="宋体"/>
          <w:b/>
          <w:bCs/>
          <w:sz w:val="30"/>
          <w:szCs w:val="30"/>
          <w:highlight w:val="none"/>
          <w:u w:val="single"/>
        </w:rPr>
        <w:t xml:space="preserve">                </w:t>
      </w:r>
    </w:p>
    <w:p w14:paraId="45226455">
      <w:pPr>
        <w:spacing w:line="360" w:lineRule="auto"/>
        <w:jc w:val="center"/>
        <w:rPr>
          <w:rFonts w:hint="eastAsia" w:ascii="宋体" w:hAnsi="宋体" w:cs="宋体"/>
          <w:b/>
          <w:bCs/>
          <w:spacing w:val="26"/>
          <w:sz w:val="30"/>
          <w:szCs w:val="30"/>
          <w:highlight w:val="none"/>
        </w:rPr>
      </w:pPr>
      <w:r>
        <w:rPr>
          <w:rFonts w:hint="eastAsia" w:ascii="宋体" w:hAnsi="宋体" w:cs="宋体"/>
          <w:b/>
          <w:bCs/>
          <w:spacing w:val="26"/>
          <w:sz w:val="30"/>
          <w:szCs w:val="30"/>
          <w:highlight w:val="none"/>
        </w:rPr>
        <w:t>二〇二五年</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月</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日</w:t>
      </w:r>
    </w:p>
    <w:p w14:paraId="1997048E">
      <w:pPr>
        <w:ind w:firstLine="361" w:firstLineChars="150"/>
        <w:jc w:val="center"/>
        <w:rPr>
          <w:rFonts w:hint="eastAsia" w:ascii="宋体"/>
          <w:b/>
          <w:sz w:val="24"/>
          <w:highlight w:val="none"/>
        </w:rPr>
      </w:pPr>
    </w:p>
    <w:p w14:paraId="41508CF6">
      <w:pPr>
        <w:widowControl/>
        <w:adjustRightInd w:val="0"/>
        <w:snapToGrid w:val="0"/>
        <w:spacing w:line="360" w:lineRule="auto"/>
        <w:rPr>
          <w:rFonts w:hint="eastAsia" w:ascii="宋体" w:hAnsi="宋体" w:cs="宋体"/>
          <w:b/>
          <w:bCs/>
          <w:sz w:val="24"/>
          <w:szCs w:val="24"/>
          <w:highlight w:val="none"/>
        </w:rPr>
      </w:pPr>
    </w:p>
    <w:p w14:paraId="794394B7">
      <w:pPr>
        <w:widowControl/>
        <w:adjustRightInd w:val="0"/>
        <w:snapToGrid w:val="0"/>
        <w:spacing w:line="360" w:lineRule="auto"/>
        <w:rPr>
          <w:rFonts w:hint="eastAsia" w:ascii="宋体" w:hAnsi="宋体" w:cs="宋体"/>
          <w:b/>
          <w:bCs/>
          <w:sz w:val="24"/>
          <w:szCs w:val="24"/>
          <w:highlight w:val="none"/>
        </w:rPr>
      </w:pPr>
    </w:p>
    <w:p w14:paraId="78F911CB">
      <w:pPr>
        <w:adjustRightInd w:val="0"/>
        <w:snapToGrid w:val="0"/>
        <w:spacing w:line="360" w:lineRule="auto"/>
        <w:jc w:val="left"/>
        <w:rPr>
          <w:rFonts w:ascii="宋体" w:hAnsi="宋体" w:cs="宋体"/>
          <w:kern w:val="0"/>
          <w:sz w:val="24"/>
          <w:szCs w:val="24"/>
          <w:highlight w:val="none"/>
        </w:rPr>
      </w:pPr>
      <w:r>
        <w:rPr>
          <w:highlight w:val="none"/>
        </w:rPr>
        <w:br w:type="page"/>
      </w:r>
      <w:r>
        <w:rPr>
          <w:rFonts w:hint="eastAsia"/>
          <w:highlight w:val="none"/>
        </w:rPr>
        <w:t xml:space="preserve">    </w:t>
      </w:r>
      <w:r>
        <w:rPr>
          <w:rFonts w:hint="eastAsia" w:ascii="宋体" w:hAnsi="宋体" w:cs="宋体"/>
          <w:kern w:val="0"/>
          <w:sz w:val="24"/>
          <w:szCs w:val="24"/>
          <w:highlight w:val="none"/>
        </w:rPr>
        <w:t>根据《中华人民共和国民法典》等有关法律法规规定，</w:t>
      </w:r>
      <w:r>
        <w:rPr>
          <w:rFonts w:hint="eastAsia" w:ascii="宋体" w:hAnsi="宋体" w:cs="宋体"/>
          <w:kern w:val="0"/>
          <w:sz w:val="24"/>
          <w:szCs w:val="24"/>
          <w:highlight w:val="none"/>
          <w:u w:val="single"/>
          <w:lang w:eastAsia="zh-CN"/>
        </w:rPr>
        <w:t>陕西省延安监狱</w:t>
      </w:r>
      <w:r>
        <w:rPr>
          <w:rFonts w:hint="eastAsia" w:ascii="宋体" w:hAnsi="宋体" w:cs="宋体"/>
          <w:kern w:val="0"/>
          <w:sz w:val="24"/>
          <w:szCs w:val="24"/>
          <w:highlight w:val="none"/>
        </w:rPr>
        <w:t>(以下简称：“甲方”)，确定</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以下简称：“乙方”)为</w:t>
      </w:r>
      <w:bookmarkStart w:id="0" w:name="_GoBack"/>
      <w:r>
        <w:rPr>
          <w:rFonts w:hint="eastAsia" w:ascii="宋体" w:hAnsi="宋体" w:cs="宋体"/>
          <w:kern w:val="0"/>
          <w:sz w:val="24"/>
          <w:szCs w:val="24"/>
          <w:highlight w:val="none"/>
          <w:lang w:eastAsia="zh-CN"/>
        </w:rPr>
        <w:t>陕西省延安监狱2025年罪犯生活物资（米、面、油）采购项目</w:t>
      </w:r>
      <w:bookmarkEnd w:id="0"/>
      <w:r>
        <w:rPr>
          <w:rFonts w:hint="eastAsia" w:ascii="宋体" w:hAnsi="宋体" w:cs="宋体"/>
          <w:kern w:val="0"/>
          <w:sz w:val="24"/>
          <w:szCs w:val="24"/>
          <w:highlight w:val="none"/>
        </w:rPr>
        <w:t>的成交供应商。甲乙双方同意签署</w:t>
      </w:r>
      <w:r>
        <w:rPr>
          <w:rFonts w:hint="eastAsia" w:ascii="宋体" w:hAnsi="宋体" w:cs="宋体"/>
          <w:kern w:val="0"/>
          <w:sz w:val="24"/>
          <w:szCs w:val="24"/>
          <w:highlight w:val="none"/>
          <w:lang w:eastAsia="zh-CN"/>
        </w:rPr>
        <w:t>陕西省延安监狱2025年罪犯生活物资（米、面、油）采购项目</w:t>
      </w:r>
      <w:r>
        <w:rPr>
          <w:rFonts w:hint="eastAsia" w:ascii="宋体" w:hAnsi="宋体" w:cs="宋体"/>
          <w:kern w:val="0"/>
          <w:sz w:val="24"/>
          <w:szCs w:val="24"/>
          <w:highlight w:val="none"/>
        </w:rPr>
        <w:t>合同(以下简称：“合同”)。</w:t>
      </w:r>
    </w:p>
    <w:p w14:paraId="52931D37">
      <w:pPr>
        <w:adjustRightInd w:val="0"/>
        <w:snapToGrid w:val="0"/>
        <w:spacing w:line="360" w:lineRule="auto"/>
        <w:rPr>
          <w:rFonts w:ascii="宋体" w:hAnsi="宋体" w:cs="宋体"/>
          <w:b/>
          <w:bCs/>
          <w:kern w:val="0"/>
          <w:sz w:val="24"/>
          <w:szCs w:val="24"/>
          <w:highlight w:val="none"/>
        </w:rPr>
      </w:pPr>
      <w:r>
        <w:rPr>
          <w:rFonts w:hint="eastAsia" w:ascii="宋体" w:hAnsi="宋体" w:cs="宋体"/>
          <w:b/>
          <w:bCs/>
          <w:kern w:val="0"/>
          <w:sz w:val="24"/>
          <w:szCs w:val="24"/>
          <w:highlight w:val="none"/>
        </w:rPr>
        <w:t>一、合同标的及数量</w:t>
      </w:r>
    </w:p>
    <w:tbl>
      <w:tblPr>
        <w:tblStyle w:val="7"/>
        <w:tblW w:w="9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374"/>
        <w:gridCol w:w="1200"/>
        <w:gridCol w:w="1224"/>
        <w:gridCol w:w="1428"/>
        <w:gridCol w:w="1198"/>
        <w:gridCol w:w="1124"/>
        <w:gridCol w:w="1296"/>
      </w:tblGrid>
      <w:tr w14:paraId="0E0C3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733" w:type="dxa"/>
            <w:tcBorders>
              <w:top w:val="single" w:color="auto" w:sz="4" w:space="0"/>
              <w:left w:val="single" w:color="auto" w:sz="4" w:space="0"/>
              <w:bottom w:val="single" w:color="auto" w:sz="4" w:space="0"/>
              <w:right w:val="single" w:color="auto" w:sz="4" w:space="0"/>
            </w:tcBorders>
            <w:noWrap w:val="0"/>
            <w:vAlign w:val="center"/>
          </w:tcPr>
          <w:p w14:paraId="60F55658">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序号</w:t>
            </w:r>
          </w:p>
        </w:tc>
        <w:tc>
          <w:tcPr>
            <w:tcW w:w="1374" w:type="dxa"/>
            <w:tcBorders>
              <w:top w:val="single" w:color="auto" w:sz="4" w:space="0"/>
              <w:left w:val="single" w:color="auto" w:sz="4" w:space="0"/>
              <w:bottom w:val="single" w:color="auto" w:sz="4" w:space="0"/>
              <w:right w:val="single" w:color="auto" w:sz="4" w:space="0"/>
            </w:tcBorders>
            <w:noWrap w:val="0"/>
            <w:vAlign w:val="center"/>
          </w:tcPr>
          <w:p w14:paraId="03C5482C">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货物</w:t>
            </w:r>
          </w:p>
          <w:p w14:paraId="44F2B8CF">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名称</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126D703">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品牌</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613E7C57">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型号</w:t>
            </w:r>
          </w:p>
          <w:p w14:paraId="497B188B">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规格</w:t>
            </w:r>
          </w:p>
        </w:tc>
        <w:tc>
          <w:tcPr>
            <w:tcW w:w="1428" w:type="dxa"/>
            <w:tcBorders>
              <w:top w:val="single" w:color="auto" w:sz="4" w:space="0"/>
              <w:left w:val="single" w:color="auto" w:sz="4" w:space="0"/>
              <w:bottom w:val="single" w:color="auto" w:sz="4" w:space="0"/>
              <w:right w:val="single" w:color="auto" w:sz="4" w:space="0"/>
            </w:tcBorders>
            <w:noWrap w:val="0"/>
            <w:vAlign w:val="center"/>
          </w:tcPr>
          <w:p w14:paraId="50AB342B">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单价</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CF3948C">
            <w:pPr>
              <w:adjustRightInd w:val="0"/>
              <w:snapToGrid w:val="0"/>
              <w:spacing w:line="360" w:lineRule="auto"/>
              <w:jc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制造商</w:t>
            </w:r>
          </w:p>
          <w:p w14:paraId="7D8C11EB">
            <w:pPr>
              <w:adjustRightInd w:val="0"/>
              <w:snapToGrid w:val="0"/>
              <w:spacing w:line="360" w:lineRule="auto"/>
              <w:jc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及产地</w:t>
            </w:r>
          </w:p>
        </w:tc>
        <w:tc>
          <w:tcPr>
            <w:tcW w:w="1124" w:type="dxa"/>
            <w:tcBorders>
              <w:top w:val="single" w:color="auto" w:sz="4" w:space="0"/>
              <w:left w:val="single" w:color="auto" w:sz="4" w:space="0"/>
              <w:bottom w:val="single" w:color="auto" w:sz="4" w:space="0"/>
              <w:right w:val="single" w:color="auto" w:sz="4" w:space="0"/>
            </w:tcBorders>
            <w:noWrap w:val="0"/>
            <w:vAlign w:val="center"/>
          </w:tcPr>
          <w:p w14:paraId="133896FE">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数量</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18B2DABF">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备注</w:t>
            </w:r>
          </w:p>
        </w:tc>
      </w:tr>
      <w:tr w14:paraId="2006C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33" w:type="dxa"/>
            <w:tcBorders>
              <w:top w:val="single" w:color="auto" w:sz="4" w:space="0"/>
              <w:left w:val="single" w:color="auto" w:sz="4" w:space="0"/>
              <w:bottom w:val="single" w:color="auto" w:sz="4" w:space="0"/>
              <w:right w:val="single" w:color="auto" w:sz="4" w:space="0"/>
            </w:tcBorders>
            <w:noWrap w:val="0"/>
            <w:vAlign w:val="center"/>
          </w:tcPr>
          <w:p w14:paraId="2C4B8164">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1</w:t>
            </w:r>
          </w:p>
        </w:tc>
        <w:tc>
          <w:tcPr>
            <w:tcW w:w="1374" w:type="dxa"/>
            <w:tcBorders>
              <w:top w:val="single" w:color="auto" w:sz="4" w:space="0"/>
              <w:left w:val="single" w:color="auto" w:sz="4" w:space="0"/>
              <w:bottom w:val="single" w:color="auto" w:sz="4" w:space="0"/>
              <w:right w:val="single" w:color="auto" w:sz="4" w:space="0"/>
            </w:tcBorders>
            <w:noWrap w:val="0"/>
            <w:vAlign w:val="center"/>
          </w:tcPr>
          <w:p w14:paraId="01436900">
            <w:pPr>
              <w:adjustRightInd w:val="0"/>
              <w:snapToGrid w:val="0"/>
              <w:spacing w:line="360" w:lineRule="auto"/>
              <w:rPr>
                <w:rFonts w:ascii="宋体" w:hAnsi="宋体" w:cs="宋体"/>
                <w:color w:val="000000"/>
                <w:sz w:val="24"/>
                <w:szCs w:val="24"/>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343A02C">
            <w:pPr>
              <w:adjustRightInd w:val="0"/>
              <w:snapToGrid w:val="0"/>
              <w:spacing w:line="360" w:lineRule="auto"/>
              <w:jc w:val="center"/>
              <w:rPr>
                <w:rFonts w:ascii="宋体" w:hAnsi="宋体" w:cs="宋体"/>
                <w:color w:val="000000"/>
                <w:kern w:val="0"/>
                <w:sz w:val="24"/>
                <w:szCs w:val="24"/>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41C2C35E">
            <w:pPr>
              <w:adjustRightInd w:val="0"/>
              <w:snapToGrid w:val="0"/>
              <w:spacing w:line="360" w:lineRule="auto"/>
              <w:jc w:val="center"/>
              <w:rPr>
                <w:rFonts w:ascii="宋体" w:hAnsi="宋体" w:cs="宋体"/>
                <w:color w:val="000000"/>
                <w:kern w:val="0"/>
                <w:sz w:val="24"/>
                <w:szCs w:val="24"/>
                <w:highlight w:val="none"/>
              </w:rPr>
            </w:pPr>
          </w:p>
        </w:tc>
        <w:tc>
          <w:tcPr>
            <w:tcW w:w="1428" w:type="dxa"/>
            <w:tcBorders>
              <w:top w:val="single" w:color="auto" w:sz="4" w:space="0"/>
              <w:left w:val="single" w:color="auto" w:sz="4" w:space="0"/>
              <w:bottom w:val="single" w:color="auto" w:sz="4" w:space="0"/>
              <w:right w:val="single" w:color="auto" w:sz="4" w:space="0"/>
            </w:tcBorders>
            <w:noWrap w:val="0"/>
            <w:vAlign w:val="center"/>
          </w:tcPr>
          <w:p w14:paraId="5E21DEB9">
            <w:pPr>
              <w:adjustRightInd w:val="0"/>
              <w:snapToGrid w:val="0"/>
              <w:spacing w:line="360" w:lineRule="auto"/>
              <w:jc w:val="center"/>
              <w:rPr>
                <w:rFonts w:ascii="宋体" w:hAnsi="宋体" w:cs="宋体"/>
                <w:color w:val="000000"/>
                <w:kern w:val="0"/>
                <w:sz w:val="24"/>
                <w:szCs w:val="24"/>
                <w:highlight w:val="none"/>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C849BA2">
            <w:pPr>
              <w:adjustRightInd w:val="0"/>
              <w:snapToGrid w:val="0"/>
              <w:spacing w:line="360" w:lineRule="auto"/>
              <w:jc w:val="left"/>
              <w:rPr>
                <w:rFonts w:ascii="宋体" w:hAnsi="宋体" w:cs="宋体"/>
                <w:color w:val="000000"/>
                <w:kern w:val="0"/>
                <w:sz w:val="24"/>
                <w:szCs w:val="24"/>
                <w:highlight w:val="none"/>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14:paraId="0C977211">
            <w:pPr>
              <w:adjustRightInd w:val="0"/>
              <w:snapToGrid w:val="0"/>
              <w:spacing w:line="360" w:lineRule="auto"/>
              <w:rPr>
                <w:rFonts w:ascii="宋体" w:hAnsi="宋体" w:cs="宋体"/>
                <w:color w:val="000000"/>
                <w:kern w:val="0"/>
                <w:sz w:val="24"/>
                <w:szCs w:val="24"/>
                <w:highlight w:val="none"/>
              </w:rPr>
            </w:pPr>
          </w:p>
        </w:tc>
        <w:tc>
          <w:tcPr>
            <w:tcW w:w="1296" w:type="dxa"/>
            <w:tcBorders>
              <w:top w:val="single" w:color="auto" w:sz="4" w:space="0"/>
              <w:left w:val="single" w:color="auto" w:sz="4" w:space="0"/>
              <w:bottom w:val="single" w:color="auto" w:sz="4" w:space="0"/>
              <w:right w:val="single" w:color="auto" w:sz="4" w:space="0"/>
            </w:tcBorders>
            <w:noWrap w:val="0"/>
            <w:vAlign w:val="center"/>
          </w:tcPr>
          <w:p w14:paraId="4A840F31">
            <w:pPr>
              <w:adjustRightInd w:val="0"/>
              <w:snapToGrid w:val="0"/>
              <w:spacing w:line="360" w:lineRule="auto"/>
              <w:jc w:val="center"/>
              <w:rPr>
                <w:rFonts w:ascii="宋体" w:hAnsi="宋体" w:cs="宋体"/>
                <w:kern w:val="0"/>
                <w:sz w:val="24"/>
                <w:szCs w:val="24"/>
                <w:highlight w:val="none"/>
              </w:rPr>
            </w:pPr>
          </w:p>
        </w:tc>
      </w:tr>
      <w:tr w14:paraId="6C7F4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33" w:type="dxa"/>
            <w:tcBorders>
              <w:top w:val="single" w:color="auto" w:sz="4" w:space="0"/>
              <w:left w:val="single" w:color="auto" w:sz="4" w:space="0"/>
              <w:bottom w:val="single" w:color="auto" w:sz="4" w:space="0"/>
              <w:right w:val="single" w:color="auto" w:sz="4" w:space="0"/>
            </w:tcBorders>
            <w:noWrap w:val="0"/>
            <w:vAlign w:val="center"/>
          </w:tcPr>
          <w:p w14:paraId="72E8C924">
            <w:pPr>
              <w:adjustRightInd w:val="0"/>
              <w:snapToGrid w:val="0"/>
              <w:spacing w:line="360" w:lineRule="auto"/>
              <w:jc w:val="center"/>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2</w:t>
            </w:r>
          </w:p>
        </w:tc>
        <w:tc>
          <w:tcPr>
            <w:tcW w:w="1374" w:type="dxa"/>
            <w:tcBorders>
              <w:top w:val="single" w:color="auto" w:sz="4" w:space="0"/>
              <w:left w:val="single" w:color="auto" w:sz="4" w:space="0"/>
              <w:bottom w:val="single" w:color="auto" w:sz="4" w:space="0"/>
              <w:right w:val="single" w:color="auto" w:sz="4" w:space="0"/>
            </w:tcBorders>
            <w:noWrap w:val="0"/>
            <w:vAlign w:val="center"/>
          </w:tcPr>
          <w:p w14:paraId="348C6E35">
            <w:pPr>
              <w:adjustRightInd w:val="0"/>
              <w:snapToGrid w:val="0"/>
              <w:spacing w:line="360" w:lineRule="auto"/>
              <w:jc w:val="center"/>
              <w:rPr>
                <w:rFonts w:hint="eastAsia" w:ascii="宋体" w:hAnsi="宋体" w:cs="宋体"/>
                <w:kern w:val="0"/>
                <w:sz w:val="24"/>
                <w:szCs w:val="24"/>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31853A1">
            <w:pPr>
              <w:adjustRightInd w:val="0"/>
              <w:snapToGrid w:val="0"/>
              <w:spacing w:line="360" w:lineRule="auto"/>
              <w:jc w:val="center"/>
              <w:rPr>
                <w:rFonts w:hint="eastAsia" w:ascii="宋体" w:hAnsi="宋体" w:cs="宋体"/>
                <w:kern w:val="0"/>
                <w:sz w:val="24"/>
                <w:szCs w:val="24"/>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6B80449">
            <w:pPr>
              <w:adjustRightInd w:val="0"/>
              <w:snapToGrid w:val="0"/>
              <w:spacing w:line="360" w:lineRule="auto"/>
              <w:jc w:val="center"/>
              <w:rPr>
                <w:rFonts w:hint="eastAsia" w:ascii="宋体" w:hAnsi="宋体" w:cs="宋体"/>
                <w:kern w:val="0"/>
                <w:sz w:val="24"/>
                <w:szCs w:val="24"/>
                <w:highlight w:val="none"/>
              </w:rPr>
            </w:pPr>
          </w:p>
        </w:tc>
        <w:tc>
          <w:tcPr>
            <w:tcW w:w="1428" w:type="dxa"/>
            <w:tcBorders>
              <w:top w:val="single" w:color="auto" w:sz="4" w:space="0"/>
              <w:left w:val="single" w:color="auto" w:sz="4" w:space="0"/>
              <w:bottom w:val="single" w:color="auto" w:sz="4" w:space="0"/>
              <w:right w:val="single" w:color="auto" w:sz="4" w:space="0"/>
            </w:tcBorders>
            <w:noWrap w:val="0"/>
            <w:vAlign w:val="center"/>
          </w:tcPr>
          <w:p w14:paraId="7919D730">
            <w:pPr>
              <w:adjustRightInd w:val="0"/>
              <w:snapToGrid w:val="0"/>
              <w:spacing w:line="360" w:lineRule="auto"/>
              <w:jc w:val="center"/>
              <w:rPr>
                <w:rFonts w:hint="eastAsia" w:ascii="宋体" w:hAnsi="宋体" w:cs="宋体"/>
                <w:kern w:val="0"/>
                <w:sz w:val="24"/>
                <w:szCs w:val="24"/>
                <w:highlight w:val="none"/>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1319874F">
            <w:pPr>
              <w:adjustRightInd w:val="0"/>
              <w:snapToGrid w:val="0"/>
              <w:spacing w:line="360" w:lineRule="auto"/>
              <w:jc w:val="center"/>
              <w:rPr>
                <w:rFonts w:hint="eastAsia" w:ascii="宋体" w:hAnsi="宋体" w:cs="宋体"/>
                <w:kern w:val="0"/>
                <w:sz w:val="24"/>
                <w:szCs w:val="24"/>
                <w:highlight w:val="none"/>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14:paraId="65294315">
            <w:pPr>
              <w:adjustRightInd w:val="0"/>
              <w:snapToGrid w:val="0"/>
              <w:spacing w:line="360" w:lineRule="auto"/>
              <w:jc w:val="center"/>
              <w:rPr>
                <w:rFonts w:hint="eastAsia" w:ascii="宋体" w:hAnsi="宋体" w:cs="宋体"/>
                <w:kern w:val="0"/>
                <w:sz w:val="24"/>
                <w:szCs w:val="24"/>
                <w:highlight w:val="none"/>
              </w:rPr>
            </w:pPr>
          </w:p>
        </w:tc>
        <w:tc>
          <w:tcPr>
            <w:tcW w:w="1296" w:type="dxa"/>
            <w:tcBorders>
              <w:top w:val="single" w:color="auto" w:sz="4" w:space="0"/>
              <w:left w:val="single" w:color="auto" w:sz="4" w:space="0"/>
              <w:bottom w:val="single" w:color="auto" w:sz="4" w:space="0"/>
              <w:right w:val="single" w:color="auto" w:sz="4" w:space="0"/>
            </w:tcBorders>
            <w:noWrap w:val="0"/>
            <w:vAlign w:val="center"/>
          </w:tcPr>
          <w:p w14:paraId="3195E953">
            <w:pPr>
              <w:adjustRightInd w:val="0"/>
              <w:snapToGrid w:val="0"/>
              <w:spacing w:line="360" w:lineRule="auto"/>
              <w:jc w:val="center"/>
              <w:rPr>
                <w:rFonts w:hint="eastAsia" w:ascii="宋体" w:hAnsi="宋体" w:cs="宋体"/>
                <w:kern w:val="0"/>
                <w:sz w:val="24"/>
                <w:szCs w:val="24"/>
                <w:highlight w:val="none"/>
              </w:rPr>
            </w:pPr>
          </w:p>
        </w:tc>
      </w:tr>
      <w:tr w14:paraId="73E3E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33" w:type="dxa"/>
            <w:tcBorders>
              <w:top w:val="single" w:color="auto" w:sz="4" w:space="0"/>
              <w:left w:val="single" w:color="auto" w:sz="4" w:space="0"/>
              <w:bottom w:val="single" w:color="auto" w:sz="4" w:space="0"/>
              <w:right w:val="single" w:color="auto" w:sz="4" w:space="0"/>
            </w:tcBorders>
            <w:noWrap w:val="0"/>
            <w:vAlign w:val="center"/>
          </w:tcPr>
          <w:p w14:paraId="4A70060C">
            <w:pPr>
              <w:adjustRightInd w:val="0"/>
              <w:snapToGrid w:val="0"/>
              <w:spacing w:line="360" w:lineRule="auto"/>
              <w:jc w:val="center"/>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3</w:t>
            </w:r>
          </w:p>
        </w:tc>
        <w:tc>
          <w:tcPr>
            <w:tcW w:w="1374" w:type="dxa"/>
            <w:tcBorders>
              <w:top w:val="single" w:color="auto" w:sz="4" w:space="0"/>
              <w:left w:val="single" w:color="auto" w:sz="4" w:space="0"/>
              <w:bottom w:val="single" w:color="auto" w:sz="4" w:space="0"/>
              <w:right w:val="single" w:color="auto" w:sz="4" w:space="0"/>
            </w:tcBorders>
            <w:noWrap w:val="0"/>
            <w:vAlign w:val="center"/>
          </w:tcPr>
          <w:p w14:paraId="1027B7D3">
            <w:pPr>
              <w:adjustRightInd w:val="0"/>
              <w:snapToGrid w:val="0"/>
              <w:spacing w:line="360" w:lineRule="auto"/>
              <w:jc w:val="center"/>
              <w:rPr>
                <w:rFonts w:hint="eastAsia" w:ascii="宋体" w:hAnsi="宋体" w:cs="宋体"/>
                <w:kern w:val="0"/>
                <w:sz w:val="24"/>
                <w:szCs w:val="24"/>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A50433C">
            <w:pPr>
              <w:adjustRightInd w:val="0"/>
              <w:snapToGrid w:val="0"/>
              <w:spacing w:line="360" w:lineRule="auto"/>
              <w:jc w:val="center"/>
              <w:rPr>
                <w:rFonts w:hint="eastAsia" w:ascii="宋体" w:hAnsi="宋体" w:cs="宋体"/>
                <w:kern w:val="0"/>
                <w:sz w:val="24"/>
                <w:szCs w:val="24"/>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58D5D2DE">
            <w:pPr>
              <w:adjustRightInd w:val="0"/>
              <w:snapToGrid w:val="0"/>
              <w:spacing w:line="360" w:lineRule="auto"/>
              <w:jc w:val="center"/>
              <w:rPr>
                <w:rFonts w:hint="eastAsia" w:ascii="宋体" w:hAnsi="宋体" w:cs="宋体"/>
                <w:kern w:val="0"/>
                <w:sz w:val="24"/>
                <w:szCs w:val="24"/>
                <w:highlight w:val="none"/>
              </w:rPr>
            </w:pPr>
          </w:p>
        </w:tc>
        <w:tc>
          <w:tcPr>
            <w:tcW w:w="1428" w:type="dxa"/>
            <w:tcBorders>
              <w:top w:val="single" w:color="auto" w:sz="4" w:space="0"/>
              <w:left w:val="single" w:color="auto" w:sz="4" w:space="0"/>
              <w:bottom w:val="single" w:color="auto" w:sz="4" w:space="0"/>
              <w:right w:val="single" w:color="auto" w:sz="4" w:space="0"/>
            </w:tcBorders>
            <w:noWrap w:val="0"/>
            <w:vAlign w:val="center"/>
          </w:tcPr>
          <w:p w14:paraId="2B70633F">
            <w:pPr>
              <w:adjustRightInd w:val="0"/>
              <w:snapToGrid w:val="0"/>
              <w:spacing w:line="360" w:lineRule="auto"/>
              <w:jc w:val="center"/>
              <w:rPr>
                <w:rFonts w:hint="eastAsia" w:ascii="宋体" w:hAnsi="宋体" w:cs="宋体"/>
                <w:kern w:val="0"/>
                <w:sz w:val="24"/>
                <w:szCs w:val="24"/>
                <w:highlight w:val="none"/>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51C4A27F">
            <w:pPr>
              <w:adjustRightInd w:val="0"/>
              <w:snapToGrid w:val="0"/>
              <w:spacing w:line="360" w:lineRule="auto"/>
              <w:jc w:val="center"/>
              <w:rPr>
                <w:rFonts w:hint="eastAsia" w:ascii="宋体" w:hAnsi="宋体" w:cs="宋体"/>
                <w:kern w:val="0"/>
                <w:sz w:val="24"/>
                <w:szCs w:val="24"/>
                <w:highlight w:val="none"/>
              </w:rPr>
            </w:pPr>
          </w:p>
        </w:tc>
        <w:tc>
          <w:tcPr>
            <w:tcW w:w="1124" w:type="dxa"/>
            <w:tcBorders>
              <w:top w:val="single" w:color="auto" w:sz="4" w:space="0"/>
              <w:left w:val="single" w:color="auto" w:sz="4" w:space="0"/>
              <w:bottom w:val="single" w:color="auto" w:sz="4" w:space="0"/>
              <w:right w:val="single" w:color="auto" w:sz="4" w:space="0"/>
            </w:tcBorders>
            <w:noWrap w:val="0"/>
            <w:vAlign w:val="center"/>
          </w:tcPr>
          <w:p w14:paraId="0B9965B9">
            <w:pPr>
              <w:adjustRightInd w:val="0"/>
              <w:snapToGrid w:val="0"/>
              <w:spacing w:line="360" w:lineRule="auto"/>
              <w:jc w:val="center"/>
              <w:rPr>
                <w:rFonts w:hint="eastAsia" w:ascii="宋体" w:hAnsi="宋体" w:cs="宋体"/>
                <w:kern w:val="0"/>
                <w:sz w:val="24"/>
                <w:szCs w:val="24"/>
                <w:highlight w:val="none"/>
              </w:rPr>
            </w:pPr>
          </w:p>
        </w:tc>
        <w:tc>
          <w:tcPr>
            <w:tcW w:w="1296" w:type="dxa"/>
            <w:tcBorders>
              <w:top w:val="single" w:color="auto" w:sz="4" w:space="0"/>
              <w:left w:val="single" w:color="auto" w:sz="4" w:space="0"/>
              <w:bottom w:val="single" w:color="auto" w:sz="4" w:space="0"/>
              <w:right w:val="single" w:color="auto" w:sz="4" w:space="0"/>
            </w:tcBorders>
            <w:noWrap w:val="0"/>
            <w:vAlign w:val="center"/>
          </w:tcPr>
          <w:p w14:paraId="0A63E769">
            <w:pPr>
              <w:adjustRightInd w:val="0"/>
              <w:snapToGrid w:val="0"/>
              <w:spacing w:line="360" w:lineRule="auto"/>
              <w:jc w:val="center"/>
              <w:rPr>
                <w:rFonts w:hint="eastAsia" w:ascii="宋体" w:hAnsi="宋体" w:cs="宋体"/>
                <w:kern w:val="0"/>
                <w:sz w:val="24"/>
                <w:szCs w:val="24"/>
                <w:highlight w:val="none"/>
              </w:rPr>
            </w:pPr>
          </w:p>
        </w:tc>
      </w:tr>
      <w:tr w14:paraId="61B90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4531" w:type="dxa"/>
            <w:gridSpan w:val="4"/>
            <w:tcBorders>
              <w:top w:val="single" w:color="auto" w:sz="4" w:space="0"/>
              <w:left w:val="single" w:color="auto" w:sz="4" w:space="0"/>
              <w:bottom w:val="single" w:color="auto" w:sz="4" w:space="0"/>
              <w:right w:val="single" w:color="auto" w:sz="4" w:space="0"/>
            </w:tcBorders>
            <w:noWrap w:val="0"/>
            <w:vAlign w:val="center"/>
          </w:tcPr>
          <w:p w14:paraId="09C32EAC">
            <w:pPr>
              <w:adjustRightInd w:val="0"/>
              <w:snapToGrid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合计</w:t>
            </w:r>
          </w:p>
        </w:tc>
        <w:tc>
          <w:tcPr>
            <w:tcW w:w="5046" w:type="dxa"/>
            <w:gridSpan w:val="4"/>
            <w:tcBorders>
              <w:top w:val="single" w:color="auto" w:sz="4" w:space="0"/>
              <w:left w:val="single" w:color="auto" w:sz="4" w:space="0"/>
              <w:bottom w:val="single" w:color="auto" w:sz="4" w:space="0"/>
              <w:right w:val="single" w:color="auto" w:sz="4" w:space="0"/>
            </w:tcBorders>
            <w:noWrap w:val="0"/>
            <w:vAlign w:val="center"/>
          </w:tcPr>
          <w:p w14:paraId="10F3C7AA">
            <w:pPr>
              <w:adjustRightInd w:val="0"/>
              <w:snapToGrid w:val="0"/>
              <w:spacing w:line="360" w:lineRule="auto"/>
              <w:jc w:val="center"/>
              <w:rPr>
                <w:rFonts w:ascii="宋体" w:hAnsi="宋体" w:cs="宋体"/>
                <w:kern w:val="0"/>
                <w:sz w:val="24"/>
                <w:szCs w:val="24"/>
                <w:highlight w:val="none"/>
              </w:rPr>
            </w:pPr>
          </w:p>
        </w:tc>
      </w:tr>
    </w:tbl>
    <w:p w14:paraId="75F98748">
      <w:pPr>
        <w:adjustRightInd w:val="0"/>
        <w:snapToGrid w:val="0"/>
        <w:spacing w:line="360" w:lineRule="auto"/>
        <w:ind w:firstLine="360" w:firstLineChars="150"/>
        <w:rPr>
          <w:rFonts w:ascii="宋体" w:hAnsi="宋体" w:cs="宋体"/>
          <w:kern w:val="0"/>
          <w:sz w:val="24"/>
          <w:szCs w:val="24"/>
          <w:highlight w:val="none"/>
        </w:rPr>
      </w:pPr>
      <w:r>
        <w:rPr>
          <w:rFonts w:hint="eastAsia" w:ascii="宋体" w:hAnsi="宋体" w:cs="宋体"/>
          <w:kern w:val="0"/>
          <w:sz w:val="24"/>
          <w:szCs w:val="24"/>
          <w:highlight w:val="none"/>
        </w:rPr>
        <w:t>合同总金额及付款方式</w:t>
      </w:r>
    </w:p>
    <w:p w14:paraId="69EF14E6">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1.合同总金额为</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人民币(￥</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元)。包括但不限于税费、运输、质量保障、售后服务和合同中规定乙方应承担的其他义务的费用均已由乙方计入本合同总金额中。本次价格一次性包死，不受市场变动影响。</w:t>
      </w:r>
    </w:p>
    <w:p w14:paraId="614809C7">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2.付款方式：</w:t>
      </w:r>
      <w:r>
        <w:rPr>
          <w:rFonts w:hint="eastAsia" w:ascii="宋体" w:hAnsi="宋体" w:cs="宋体"/>
          <w:sz w:val="24"/>
          <w:szCs w:val="24"/>
          <w:highlight w:val="none"/>
        </w:rPr>
        <w:t>合同生效后，待货物到达指定地点、验收合格、发放完成后，按照送货批次以实际发放数量付清合同货款</w:t>
      </w:r>
      <w:r>
        <w:rPr>
          <w:rFonts w:hint="eastAsia" w:ascii="宋体" w:hAnsi="宋体" w:cs="宋体"/>
          <w:kern w:val="0"/>
          <w:sz w:val="24"/>
          <w:szCs w:val="24"/>
          <w:highlight w:val="none"/>
        </w:rPr>
        <w:t>。</w:t>
      </w:r>
    </w:p>
    <w:p w14:paraId="51CD61CB">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3.乙方指定以下账户为唯一收款账户（与发票账户信息一致）：</w:t>
      </w:r>
    </w:p>
    <w:p w14:paraId="47731DCB">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账户名称：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3F08B52C">
      <w:pPr>
        <w:adjustRightInd w:val="0"/>
        <w:snapToGrid w:val="0"/>
        <w:spacing w:line="360" w:lineRule="auto"/>
        <w:ind w:firstLine="480" w:firstLineChars="200"/>
        <w:rPr>
          <w:rFonts w:ascii="宋体" w:hAnsi="宋体" w:cs="宋体"/>
          <w:kern w:val="0"/>
          <w:sz w:val="24"/>
          <w:szCs w:val="24"/>
          <w:highlight w:val="none"/>
          <w:u w:val="single"/>
        </w:rPr>
      </w:pPr>
      <w:r>
        <w:rPr>
          <w:rFonts w:hint="eastAsia" w:ascii="宋体" w:hAnsi="宋体" w:cs="宋体"/>
          <w:kern w:val="0"/>
          <w:sz w:val="24"/>
          <w:szCs w:val="24"/>
          <w:highlight w:val="none"/>
        </w:rPr>
        <w:t>开户银行：</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59EFE8EE">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银行账号：</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2722499C">
      <w:pPr>
        <w:adjustRightInd w:val="0"/>
        <w:snapToGrid w:val="0"/>
        <w:spacing w:line="360" w:lineRule="auto"/>
        <w:ind w:firstLine="482" w:firstLineChars="200"/>
        <w:rPr>
          <w:rFonts w:ascii="宋体" w:hAnsi="宋体" w:cs="宋体"/>
          <w:b/>
          <w:bCs/>
          <w:kern w:val="0"/>
          <w:sz w:val="24"/>
          <w:szCs w:val="24"/>
          <w:highlight w:val="none"/>
        </w:rPr>
      </w:pPr>
      <w:r>
        <w:rPr>
          <w:rFonts w:hint="eastAsia" w:ascii="宋体" w:hAnsi="宋体" w:cs="宋体"/>
          <w:b/>
          <w:bCs/>
          <w:kern w:val="0"/>
          <w:sz w:val="24"/>
          <w:szCs w:val="24"/>
          <w:highlight w:val="none"/>
        </w:rPr>
        <w:t>二、质量要求</w:t>
      </w:r>
    </w:p>
    <w:p w14:paraId="221C8463">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1.乙方应保证所供货物是全新的、未使用过的，并完全符合或高于合同要求的质量、规格和技术性能的要求。</w:t>
      </w:r>
    </w:p>
    <w:p w14:paraId="5FEED9D7">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2.在货物最终交付验收后不少于合同规定或乙方承诺的质量保证期内，本保证保持有效。</w:t>
      </w:r>
    </w:p>
    <w:p w14:paraId="3C1F4028">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26067BE1">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4.在质量保证期内所发现的缺陷，甲方应尽快以书面形式通知乙方。</w:t>
      </w:r>
    </w:p>
    <w:p w14:paraId="10E518F6">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5.乙方收到通知后应在本合同规定的响应时间7天内免费更换有缺陷的货物。</w:t>
      </w:r>
    </w:p>
    <w:p w14:paraId="5C2EF3EC">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6.在质量保证期内，如果货物的质量或规格与合同不符，或证实货物是有缺陷的，包括潜在的缺陷或使用不符合要求的材料等，甲方可以根据本合同规定以书面形式向乙方提出补救措施或索赔。</w:t>
      </w:r>
    </w:p>
    <w:p w14:paraId="5563A9A7">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7.乙方在约定的时间内未能弥补缺陷，甲方可采取必要的补救措施，但其风险和费用将由乙方承担，甲方根据合同规定对乙方行使的其他权利不受影响。</w:t>
      </w:r>
    </w:p>
    <w:p w14:paraId="2049D72D">
      <w:pPr>
        <w:adjustRightInd w:val="0"/>
        <w:snapToGrid w:val="0"/>
        <w:spacing w:line="360" w:lineRule="auto"/>
        <w:ind w:firstLine="482" w:firstLineChars="200"/>
        <w:rPr>
          <w:rFonts w:ascii="宋体" w:hAnsi="宋体" w:cs="宋体"/>
          <w:b/>
          <w:bCs/>
          <w:kern w:val="0"/>
          <w:sz w:val="24"/>
          <w:szCs w:val="24"/>
          <w:highlight w:val="none"/>
        </w:rPr>
      </w:pPr>
      <w:r>
        <w:rPr>
          <w:rFonts w:hint="eastAsia" w:ascii="宋体" w:hAnsi="宋体" w:cs="宋体"/>
          <w:b/>
          <w:bCs/>
          <w:kern w:val="0"/>
          <w:sz w:val="24"/>
          <w:szCs w:val="24"/>
          <w:highlight w:val="none"/>
        </w:rPr>
        <w:t>三、交货</w:t>
      </w:r>
    </w:p>
    <w:p w14:paraId="28AAEE02">
      <w:pPr>
        <w:pStyle w:val="5"/>
        <w:adjustRightInd w:val="0"/>
        <w:snapToGrid w:val="0"/>
        <w:spacing w:line="360" w:lineRule="auto"/>
        <w:ind w:firstLine="480" w:firstLineChars="200"/>
        <w:rPr>
          <w:rFonts w:hAnsi="宋体" w:cs="宋体"/>
          <w:sz w:val="24"/>
          <w:szCs w:val="24"/>
          <w:highlight w:val="none"/>
        </w:rPr>
      </w:pPr>
      <w:r>
        <w:rPr>
          <w:rFonts w:hint="eastAsia" w:hAnsi="宋体" w:cs="宋体"/>
          <w:sz w:val="24"/>
          <w:szCs w:val="24"/>
          <w:highlight w:val="none"/>
        </w:rPr>
        <w:t>1.交货时间：按批次配送，供应商于</w:t>
      </w:r>
      <w:r>
        <w:rPr>
          <w:rFonts w:hint="eastAsia" w:hAnsi="宋体" w:cs="宋体"/>
          <w:sz w:val="24"/>
          <w:szCs w:val="24"/>
          <w:highlight w:val="none"/>
          <w:lang w:val="en-US" w:eastAsia="zh-CN"/>
        </w:rPr>
        <w:t>合同签订之日起</w:t>
      </w:r>
      <w:r>
        <w:rPr>
          <w:rFonts w:hint="eastAsia" w:hAnsi="宋体" w:cs="宋体"/>
          <w:sz w:val="24"/>
          <w:szCs w:val="24"/>
          <w:highlight w:val="none"/>
        </w:rPr>
        <w:t>5个日历日内，将货物配送至采购人指定地点，具体以采购人实际要求为准。</w:t>
      </w:r>
    </w:p>
    <w:p w14:paraId="0ECB23F0">
      <w:pPr>
        <w:pStyle w:val="5"/>
        <w:adjustRightInd w:val="0"/>
        <w:snapToGrid w:val="0"/>
        <w:spacing w:line="360" w:lineRule="auto"/>
        <w:ind w:firstLine="480" w:firstLineChars="200"/>
        <w:rPr>
          <w:rFonts w:hAnsi="宋体" w:cs="宋体"/>
          <w:sz w:val="24"/>
          <w:szCs w:val="24"/>
          <w:highlight w:val="none"/>
        </w:rPr>
      </w:pPr>
      <w:r>
        <w:rPr>
          <w:rFonts w:hint="eastAsia" w:hAnsi="宋体" w:cs="宋体"/>
          <w:sz w:val="24"/>
          <w:szCs w:val="24"/>
          <w:highlight w:val="none"/>
        </w:rPr>
        <w:t>2．交货地点：甲方指定地点。</w:t>
      </w:r>
    </w:p>
    <w:p w14:paraId="17610816">
      <w:pPr>
        <w:pStyle w:val="5"/>
        <w:adjustRightInd w:val="0"/>
        <w:snapToGrid w:val="0"/>
        <w:spacing w:line="360" w:lineRule="auto"/>
        <w:ind w:firstLine="480" w:firstLineChars="200"/>
        <w:rPr>
          <w:rFonts w:hAnsi="宋体" w:cs="宋体"/>
          <w:sz w:val="24"/>
          <w:szCs w:val="24"/>
          <w:highlight w:val="none"/>
          <w:u w:val="single"/>
        </w:rPr>
      </w:pPr>
      <w:r>
        <w:rPr>
          <w:rFonts w:hint="eastAsia" w:hAnsi="宋体" w:cs="宋体"/>
          <w:sz w:val="24"/>
          <w:szCs w:val="24"/>
          <w:highlight w:val="none"/>
        </w:rPr>
        <w:t>3.甲方收货联系人：</w:t>
      </w:r>
      <w:r>
        <w:rPr>
          <w:rFonts w:hint="eastAsia" w:hAnsi="宋体" w:cs="宋体"/>
          <w:sz w:val="24"/>
          <w:szCs w:val="24"/>
          <w:highlight w:val="none"/>
          <w:u w:val="single"/>
        </w:rPr>
        <w:t xml:space="preserve">          </w:t>
      </w:r>
      <w:r>
        <w:rPr>
          <w:rFonts w:hint="eastAsia" w:hAnsi="宋体" w:cs="宋体"/>
          <w:sz w:val="24"/>
          <w:szCs w:val="24"/>
          <w:highlight w:val="none"/>
        </w:rPr>
        <w:t>；联系电话：</w:t>
      </w:r>
      <w:r>
        <w:rPr>
          <w:rFonts w:hint="eastAsia" w:hAnsi="宋体" w:cs="宋体"/>
          <w:sz w:val="24"/>
          <w:szCs w:val="24"/>
          <w:highlight w:val="none"/>
          <w:u w:val="single"/>
        </w:rPr>
        <w:t xml:space="preserve">           </w:t>
      </w:r>
      <w:r>
        <w:rPr>
          <w:rFonts w:hint="eastAsia" w:hAnsi="宋体" w:cs="宋体"/>
          <w:sz w:val="24"/>
          <w:szCs w:val="24"/>
          <w:highlight w:val="none"/>
        </w:rPr>
        <w:t>；</w:t>
      </w:r>
    </w:p>
    <w:p w14:paraId="6BE5FD9F">
      <w:pPr>
        <w:pStyle w:val="5"/>
        <w:adjustRightInd w:val="0"/>
        <w:snapToGrid w:val="0"/>
        <w:spacing w:line="360" w:lineRule="auto"/>
        <w:ind w:firstLine="720" w:firstLineChars="300"/>
        <w:rPr>
          <w:rFonts w:hAnsi="宋体" w:cs="宋体"/>
          <w:sz w:val="24"/>
          <w:szCs w:val="24"/>
          <w:highlight w:val="none"/>
        </w:rPr>
      </w:pPr>
      <w:r>
        <w:rPr>
          <w:rFonts w:hint="eastAsia" w:hAnsi="宋体" w:cs="宋体"/>
          <w:sz w:val="24"/>
          <w:szCs w:val="24"/>
          <w:highlight w:val="none"/>
        </w:rPr>
        <w:t>乙方送货联系人：</w:t>
      </w:r>
      <w:r>
        <w:rPr>
          <w:rFonts w:hint="eastAsia" w:hAnsi="宋体" w:cs="宋体"/>
          <w:sz w:val="24"/>
          <w:szCs w:val="24"/>
          <w:highlight w:val="none"/>
          <w:u w:val="single"/>
        </w:rPr>
        <w:t xml:space="preserve">          </w:t>
      </w:r>
      <w:r>
        <w:rPr>
          <w:rFonts w:hint="eastAsia" w:hAnsi="宋体" w:cs="宋体"/>
          <w:sz w:val="24"/>
          <w:szCs w:val="24"/>
          <w:highlight w:val="none"/>
        </w:rPr>
        <w:t>；联系电话：</w:t>
      </w:r>
      <w:r>
        <w:rPr>
          <w:rFonts w:hint="eastAsia" w:hAnsi="宋体" w:cs="宋体"/>
          <w:sz w:val="24"/>
          <w:szCs w:val="24"/>
          <w:highlight w:val="none"/>
          <w:u w:val="single"/>
        </w:rPr>
        <w:t xml:space="preserve">           </w:t>
      </w:r>
      <w:r>
        <w:rPr>
          <w:rFonts w:hint="eastAsia" w:hAnsi="宋体" w:cs="宋体"/>
          <w:sz w:val="24"/>
          <w:szCs w:val="24"/>
          <w:highlight w:val="none"/>
        </w:rPr>
        <w:t>；</w:t>
      </w:r>
    </w:p>
    <w:p w14:paraId="7D753DE6">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4.交货时，如发现破损、变质、潮湿等质量问题由乙方负责包退包换，由此产生的一切食品安全责任由乙方负责。</w:t>
      </w:r>
    </w:p>
    <w:p w14:paraId="11244BD1">
      <w:pPr>
        <w:adjustRightInd w:val="0"/>
        <w:snapToGrid w:val="0"/>
        <w:spacing w:line="360" w:lineRule="auto"/>
        <w:ind w:firstLine="482" w:firstLineChars="200"/>
        <w:rPr>
          <w:rFonts w:ascii="宋体" w:hAnsi="宋体" w:cs="宋体"/>
          <w:sz w:val="24"/>
          <w:szCs w:val="24"/>
          <w:highlight w:val="none"/>
        </w:rPr>
      </w:pPr>
      <w:r>
        <w:rPr>
          <w:rFonts w:hint="eastAsia" w:ascii="宋体" w:hAnsi="宋体" w:cs="宋体"/>
          <w:b/>
          <w:bCs/>
          <w:sz w:val="24"/>
          <w:szCs w:val="24"/>
          <w:highlight w:val="none"/>
        </w:rPr>
        <w:t>四、验收标准</w:t>
      </w:r>
    </w:p>
    <w:p w14:paraId="726FB4EF">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1．甲方按国家相关质量标准以及招投标时乙方向甲方提供的样品标准验收，货物质量品质、重量应等于或高于样品的质量品质、重量标准。</w:t>
      </w:r>
    </w:p>
    <w:p w14:paraId="120DD2CE">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甲方验收合格的结果仅视为货物在外观、数量、型号、规格上符合约定的证明，检验合格文件的签署不使甲方丧失因质量问题而向乙方索赔和求偿的权利，同时不免除乙方对于货物质量缺陷或瑕疵负有的相应责任。</w:t>
      </w:r>
    </w:p>
    <w:p w14:paraId="0BE55E05">
      <w:pPr>
        <w:adjustRightInd w:val="0"/>
        <w:snapToGrid w:val="0"/>
        <w:spacing w:line="360" w:lineRule="auto"/>
        <w:ind w:firstLine="482" w:firstLineChars="200"/>
        <w:outlineLvl w:val="0"/>
        <w:rPr>
          <w:rFonts w:ascii="宋体" w:hAnsi="宋体" w:cs="宋体"/>
          <w:b/>
          <w:bCs/>
          <w:sz w:val="24"/>
          <w:szCs w:val="24"/>
          <w:highlight w:val="none"/>
        </w:rPr>
      </w:pPr>
      <w:r>
        <w:rPr>
          <w:rFonts w:hint="eastAsia" w:ascii="宋体" w:hAnsi="宋体" w:cs="宋体"/>
          <w:b/>
          <w:bCs/>
          <w:sz w:val="24"/>
          <w:szCs w:val="24"/>
          <w:highlight w:val="none"/>
        </w:rPr>
        <w:t>五、误期赔偿费约定</w:t>
      </w:r>
    </w:p>
    <w:p w14:paraId="2594ABF4">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如果乙方没有按照合同规定的时间交货和提供服务，甲方有权从货款中扣除误期赔偿费而不影响合同项下的其他补救方法。赔偿费按每日加收合同金额的0.5%计收，直至交货或提供服务为止。但误期赔偿费的最高限额不超过合同价的15%。</w:t>
      </w:r>
    </w:p>
    <w:p w14:paraId="6C021061">
      <w:pPr>
        <w:pStyle w:val="3"/>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2.质保期内，乙方所提交的货物出现质量问题的，乙方承诺在收到甲方通知后7天进行响应，乙方无条件为甲方退换；如乙方出现逾期响应或怠于退换的，视为违约，每次须承担合同金额15%的违约金，违约金不足以弥补甲方损失的，乙方须承担全部赔偿责任。全部赔偿责任的范围包括但不限于直接损失、赔偿金、违约金、诉讼费用、仲裁费、鉴定费、保全费、保全担保费、律师费等 。</w:t>
      </w:r>
    </w:p>
    <w:p w14:paraId="7DE16CE2">
      <w:pPr>
        <w:pStyle w:val="6"/>
        <w:snapToGrid w:val="0"/>
        <w:spacing w:line="360" w:lineRule="auto"/>
        <w:ind w:firstLine="480" w:firstLineChars="200"/>
        <w:rPr>
          <w:rFonts w:ascii="宋体" w:hAnsi="宋体" w:cs="宋体"/>
          <w:sz w:val="24"/>
          <w:szCs w:val="24"/>
          <w:highlight w:val="none"/>
        </w:rPr>
      </w:pPr>
      <w:r>
        <w:rPr>
          <w:rFonts w:hint="eastAsia" w:ascii="宋体" w:hAnsi="宋体" w:cs="宋体"/>
          <w:kern w:val="2"/>
          <w:sz w:val="24"/>
          <w:szCs w:val="24"/>
          <w:highlight w:val="none"/>
        </w:rPr>
        <w:t>3.乙</w:t>
      </w:r>
      <w:r>
        <w:rPr>
          <w:rFonts w:hint="eastAsia" w:ascii="宋体" w:hAnsi="宋体" w:cs="宋体"/>
          <w:kern w:val="2"/>
          <w:sz w:val="24"/>
          <w:szCs w:val="24"/>
          <w:highlight w:val="none"/>
          <w:lang w:eastAsia="zh-Hans"/>
        </w:rPr>
        <w:t>方所供货物造成他人损害的，乙方应承担全部责任</w:t>
      </w:r>
      <w:r>
        <w:rPr>
          <w:rFonts w:hint="eastAsia" w:ascii="宋体" w:hAnsi="宋体" w:cs="宋体"/>
          <w:kern w:val="2"/>
          <w:sz w:val="24"/>
          <w:szCs w:val="24"/>
          <w:highlight w:val="none"/>
        </w:rPr>
        <w:t>。</w:t>
      </w:r>
    </w:p>
    <w:p w14:paraId="4FD1BF97">
      <w:pPr>
        <w:adjustRightInd w:val="0"/>
        <w:snapToGrid w:val="0"/>
        <w:spacing w:line="360" w:lineRule="auto"/>
        <w:ind w:firstLine="482" w:firstLineChars="200"/>
        <w:rPr>
          <w:rFonts w:ascii="宋体" w:hAnsi="宋体" w:cs="宋体"/>
          <w:sz w:val="24"/>
          <w:szCs w:val="24"/>
          <w:highlight w:val="none"/>
        </w:rPr>
      </w:pPr>
      <w:r>
        <w:rPr>
          <w:rFonts w:hint="eastAsia" w:ascii="宋体" w:hAnsi="宋体" w:cs="宋体"/>
          <w:b/>
          <w:bCs/>
          <w:sz w:val="24"/>
          <w:szCs w:val="24"/>
          <w:highlight w:val="none"/>
        </w:rPr>
        <w:t>六、不可抗力</w:t>
      </w:r>
    </w:p>
    <w:p w14:paraId="00B779A5">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由于不能预见、不能避免和不能克服的客观的自然原因或社会原因，致使本合同不能履行或者不能完全履行时，遇到上述不可抗力事件的一方，在不可抗力事件发生后，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2DBF4DF">
      <w:pPr>
        <w:adjustRightInd w:val="0"/>
        <w:snapToGrid w:val="0"/>
        <w:spacing w:line="360" w:lineRule="auto"/>
        <w:ind w:firstLine="482" w:firstLineChars="200"/>
        <w:rPr>
          <w:rFonts w:ascii="宋体" w:hAnsi="宋体" w:cs="宋体"/>
          <w:b/>
          <w:bCs/>
          <w:sz w:val="24"/>
          <w:szCs w:val="24"/>
          <w:highlight w:val="none"/>
        </w:rPr>
      </w:pPr>
      <w:r>
        <w:rPr>
          <w:rFonts w:hint="eastAsia" w:ascii="宋体" w:hAnsi="宋体" w:cs="宋体"/>
          <w:b/>
          <w:bCs/>
          <w:sz w:val="24"/>
          <w:szCs w:val="24"/>
          <w:highlight w:val="none"/>
        </w:rPr>
        <w:t>七、其他</w:t>
      </w:r>
    </w:p>
    <w:p w14:paraId="16299456">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1.合同履行期限：自合同生效之日起至合同全部权利义务履行完毕之日止。</w:t>
      </w:r>
    </w:p>
    <w:p w14:paraId="30F42CD0">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2.合同纠纷的解决方式：</w:t>
      </w:r>
    </w:p>
    <w:p w14:paraId="25DC6902">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首先通过双方协商解决，协商解决不成，向甲方所在地人民法院提起诉讼。</w:t>
      </w:r>
    </w:p>
    <w:p w14:paraId="6F096A5A">
      <w:pPr>
        <w:adjustRightInd w:val="0"/>
        <w:snapToGrid w:val="0"/>
        <w:spacing w:line="360" w:lineRule="auto"/>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3.合同生效</w:t>
      </w:r>
    </w:p>
    <w:p w14:paraId="1FD259D8">
      <w:pPr>
        <w:adjustRightInd w:val="0"/>
        <w:snapToGrid w:val="0"/>
        <w:spacing w:line="360" w:lineRule="auto"/>
        <w:ind w:firstLine="480" w:firstLineChars="200"/>
        <w:rPr>
          <w:rFonts w:ascii="宋体" w:hAnsi="宋体" w:cs="宋体"/>
          <w:sz w:val="24"/>
          <w:szCs w:val="24"/>
          <w:highlight w:val="none"/>
        </w:rPr>
      </w:pPr>
      <w:r>
        <w:rPr>
          <w:rFonts w:hint="eastAsia" w:ascii="宋体" w:hAnsi="宋体" w:cs="宋体"/>
          <w:kern w:val="0"/>
          <w:sz w:val="24"/>
          <w:szCs w:val="24"/>
          <w:highlight w:val="none"/>
        </w:rPr>
        <w:t>本合同一式叁份，甲方执贰份、乙方执壹份。在甲、乙双</w:t>
      </w:r>
      <w:r>
        <w:rPr>
          <w:rFonts w:hint="eastAsia" w:ascii="宋体" w:hAnsi="宋体" w:cs="宋体"/>
          <w:color w:val="000000"/>
          <w:kern w:val="0"/>
          <w:sz w:val="24"/>
          <w:szCs w:val="24"/>
          <w:highlight w:val="none"/>
        </w:rPr>
        <w:t>方签字并盖章后</w:t>
      </w:r>
      <w:r>
        <w:rPr>
          <w:rFonts w:hint="eastAsia" w:ascii="宋体" w:hAnsi="宋体" w:cs="宋体"/>
          <w:kern w:val="0"/>
          <w:sz w:val="24"/>
          <w:szCs w:val="24"/>
          <w:highlight w:val="none"/>
        </w:rPr>
        <w:t>生效。</w:t>
      </w:r>
    </w:p>
    <w:tbl>
      <w:tblPr>
        <w:tblStyle w:val="7"/>
        <w:tblW w:w="0" w:type="auto"/>
        <w:tblInd w:w="0" w:type="dxa"/>
        <w:tblLayout w:type="autofit"/>
        <w:tblCellMar>
          <w:top w:w="0" w:type="dxa"/>
          <w:left w:w="108" w:type="dxa"/>
          <w:bottom w:w="0" w:type="dxa"/>
          <w:right w:w="108" w:type="dxa"/>
        </w:tblCellMar>
      </w:tblPr>
      <w:tblGrid>
        <w:gridCol w:w="4576"/>
        <w:gridCol w:w="3946"/>
      </w:tblGrid>
      <w:tr w14:paraId="11B6811E">
        <w:tc>
          <w:tcPr>
            <w:tcW w:w="4576" w:type="dxa"/>
            <w:tcBorders>
              <w:top w:val="nil"/>
              <w:left w:val="nil"/>
              <w:bottom w:val="nil"/>
              <w:right w:val="nil"/>
            </w:tcBorders>
            <w:noWrap w:val="0"/>
            <w:vAlign w:val="top"/>
          </w:tcPr>
          <w:p w14:paraId="555E0CFE">
            <w:pPr>
              <w:widowControl/>
              <w:adjustRightInd w:val="0"/>
              <w:snapToGrid w:val="0"/>
              <w:spacing w:line="360" w:lineRule="auto"/>
              <w:jc w:val="left"/>
              <w:rPr>
                <w:rFonts w:ascii="宋体" w:hAnsi="宋体" w:cs="宋体"/>
                <w:sz w:val="24"/>
                <w:szCs w:val="24"/>
                <w:highlight w:val="none"/>
              </w:rPr>
            </w:pPr>
            <w:r>
              <w:rPr>
                <w:rFonts w:hint="eastAsia" w:ascii="宋体" w:hAnsi="宋体" w:cs="宋体"/>
                <w:bCs/>
                <w:kern w:val="0"/>
                <w:sz w:val="24"/>
                <w:szCs w:val="24"/>
                <w:highlight w:val="none"/>
              </w:rPr>
              <w:br w:type="page"/>
            </w:r>
            <w:r>
              <w:rPr>
                <w:rFonts w:hint="eastAsia" w:ascii="宋体" w:hAnsi="宋体" w:cs="宋体"/>
                <w:sz w:val="24"/>
                <w:szCs w:val="24"/>
                <w:highlight w:val="none"/>
              </w:rPr>
              <w:t xml:space="preserve">需方（甲方）： </w:t>
            </w:r>
          </w:p>
        </w:tc>
        <w:tc>
          <w:tcPr>
            <w:tcW w:w="3946" w:type="dxa"/>
            <w:tcBorders>
              <w:top w:val="nil"/>
              <w:left w:val="nil"/>
              <w:bottom w:val="nil"/>
              <w:right w:val="nil"/>
            </w:tcBorders>
            <w:noWrap w:val="0"/>
            <w:vAlign w:val="top"/>
          </w:tcPr>
          <w:p w14:paraId="32BC31A7">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供方（乙方）：</w:t>
            </w:r>
          </w:p>
        </w:tc>
      </w:tr>
      <w:tr w14:paraId="692C1FED">
        <w:tblPrEx>
          <w:tblCellMar>
            <w:top w:w="0" w:type="dxa"/>
            <w:left w:w="108" w:type="dxa"/>
            <w:bottom w:w="0" w:type="dxa"/>
            <w:right w:w="108" w:type="dxa"/>
          </w:tblCellMar>
        </w:tblPrEx>
        <w:tc>
          <w:tcPr>
            <w:tcW w:w="4576" w:type="dxa"/>
            <w:tcBorders>
              <w:top w:val="nil"/>
              <w:left w:val="nil"/>
              <w:bottom w:val="nil"/>
              <w:right w:val="nil"/>
            </w:tcBorders>
            <w:noWrap w:val="0"/>
            <w:vAlign w:val="top"/>
          </w:tcPr>
          <w:p w14:paraId="5F2F152A">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法定代表人：</w:t>
            </w:r>
          </w:p>
        </w:tc>
        <w:tc>
          <w:tcPr>
            <w:tcW w:w="3946" w:type="dxa"/>
            <w:tcBorders>
              <w:top w:val="nil"/>
              <w:left w:val="nil"/>
              <w:bottom w:val="nil"/>
              <w:right w:val="nil"/>
            </w:tcBorders>
            <w:noWrap w:val="0"/>
            <w:vAlign w:val="top"/>
          </w:tcPr>
          <w:p w14:paraId="25B94E80">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法定代表人：</w:t>
            </w:r>
          </w:p>
        </w:tc>
      </w:tr>
      <w:tr w14:paraId="281E5B8F">
        <w:tblPrEx>
          <w:tblCellMar>
            <w:top w:w="0" w:type="dxa"/>
            <w:left w:w="108" w:type="dxa"/>
            <w:bottom w:w="0" w:type="dxa"/>
            <w:right w:w="108" w:type="dxa"/>
          </w:tblCellMar>
        </w:tblPrEx>
        <w:tc>
          <w:tcPr>
            <w:tcW w:w="4576" w:type="dxa"/>
            <w:tcBorders>
              <w:top w:val="nil"/>
              <w:left w:val="nil"/>
              <w:bottom w:val="nil"/>
              <w:right w:val="nil"/>
            </w:tcBorders>
            <w:noWrap w:val="0"/>
            <w:vAlign w:val="top"/>
          </w:tcPr>
          <w:p w14:paraId="06FE34CD">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授权代表：</w:t>
            </w:r>
          </w:p>
        </w:tc>
        <w:tc>
          <w:tcPr>
            <w:tcW w:w="3946" w:type="dxa"/>
            <w:tcBorders>
              <w:top w:val="nil"/>
              <w:left w:val="nil"/>
              <w:bottom w:val="nil"/>
              <w:right w:val="nil"/>
            </w:tcBorders>
            <w:noWrap w:val="0"/>
            <w:vAlign w:val="top"/>
          </w:tcPr>
          <w:p w14:paraId="1DB62B2C">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授权代表：</w:t>
            </w:r>
          </w:p>
        </w:tc>
      </w:tr>
      <w:tr w14:paraId="07F50397">
        <w:tblPrEx>
          <w:tblCellMar>
            <w:top w:w="0" w:type="dxa"/>
            <w:left w:w="108" w:type="dxa"/>
            <w:bottom w:w="0" w:type="dxa"/>
            <w:right w:w="108" w:type="dxa"/>
          </w:tblCellMar>
        </w:tblPrEx>
        <w:tc>
          <w:tcPr>
            <w:tcW w:w="4576" w:type="dxa"/>
            <w:tcBorders>
              <w:top w:val="nil"/>
              <w:left w:val="nil"/>
              <w:bottom w:val="nil"/>
              <w:right w:val="nil"/>
            </w:tcBorders>
            <w:noWrap w:val="0"/>
            <w:vAlign w:val="top"/>
          </w:tcPr>
          <w:p w14:paraId="73728217">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 xml:space="preserve">电话： </w:t>
            </w:r>
          </w:p>
        </w:tc>
        <w:tc>
          <w:tcPr>
            <w:tcW w:w="3946" w:type="dxa"/>
            <w:tcBorders>
              <w:top w:val="nil"/>
              <w:left w:val="nil"/>
              <w:bottom w:val="nil"/>
              <w:right w:val="nil"/>
            </w:tcBorders>
            <w:noWrap w:val="0"/>
            <w:vAlign w:val="top"/>
          </w:tcPr>
          <w:p w14:paraId="46A39236">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电话：</w:t>
            </w:r>
          </w:p>
        </w:tc>
      </w:tr>
      <w:tr w14:paraId="25C9756C">
        <w:tblPrEx>
          <w:tblCellMar>
            <w:top w:w="0" w:type="dxa"/>
            <w:left w:w="108" w:type="dxa"/>
            <w:bottom w:w="0" w:type="dxa"/>
            <w:right w:w="108" w:type="dxa"/>
          </w:tblCellMar>
        </w:tblPrEx>
        <w:tc>
          <w:tcPr>
            <w:tcW w:w="4576" w:type="dxa"/>
            <w:tcBorders>
              <w:top w:val="nil"/>
              <w:left w:val="nil"/>
              <w:bottom w:val="nil"/>
              <w:right w:val="nil"/>
            </w:tcBorders>
            <w:noWrap w:val="0"/>
            <w:vAlign w:val="top"/>
          </w:tcPr>
          <w:p w14:paraId="70256F01">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 xml:space="preserve">开户银行： </w:t>
            </w:r>
          </w:p>
        </w:tc>
        <w:tc>
          <w:tcPr>
            <w:tcW w:w="3946" w:type="dxa"/>
            <w:tcBorders>
              <w:top w:val="nil"/>
              <w:left w:val="nil"/>
              <w:bottom w:val="nil"/>
              <w:right w:val="nil"/>
            </w:tcBorders>
            <w:noWrap w:val="0"/>
            <w:vAlign w:val="top"/>
          </w:tcPr>
          <w:p w14:paraId="7F342634">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开户银行：</w:t>
            </w:r>
          </w:p>
        </w:tc>
      </w:tr>
      <w:tr w14:paraId="4D5D61B8">
        <w:tblPrEx>
          <w:tblCellMar>
            <w:top w:w="0" w:type="dxa"/>
            <w:left w:w="108" w:type="dxa"/>
            <w:bottom w:w="0" w:type="dxa"/>
            <w:right w:w="108" w:type="dxa"/>
          </w:tblCellMar>
        </w:tblPrEx>
        <w:tc>
          <w:tcPr>
            <w:tcW w:w="4576" w:type="dxa"/>
            <w:tcBorders>
              <w:top w:val="nil"/>
              <w:left w:val="nil"/>
              <w:bottom w:val="nil"/>
              <w:right w:val="nil"/>
            </w:tcBorders>
            <w:noWrap w:val="0"/>
            <w:vAlign w:val="top"/>
          </w:tcPr>
          <w:p w14:paraId="6BE8AD68">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帐号：</w:t>
            </w:r>
          </w:p>
        </w:tc>
        <w:tc>
          <w:tcPr>
            <w:tcW w:w="3946" w:type="dxa"/>
            <w:tcBorders>
              <w:top w:val="nil"/>
              <w:left w:val="nil"/>
              <w:bottom w:val="nil"/>
              <w:right w:val="nil"/>
            </w:tcBorders>
            <w:noWrap w:val="0"/>
            <w:vAlign w:val="top"/>
          </w:tcPr>
          <w:p w14:paraId="446651AA">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帐号：</w:t>
            </w:r>
          </w:p>
        </w:tc>
      </w:tr>
      <w:tr w14:paraId="31CB98FC">
        <w:tblPrEx>
          <w:tblCellMar>
            <w:top w:w="0" w:type="dxa"/>
            <w:left w:w="108" w:type="dxa"/>
            <w:bottom w:w="0" w:type="dxa"/>
            <w:right w:w="108" w:type="dxa"/>
          </w:tblCellMar>
        </w:tblPrEx>
        <w:tc>
          <w:tcPr>
            <w:tcW w:w="4576" w:type="dxa"/>
            <w:tcBorders>
              <w:top w:val="nil"/>
              <w:left w:val="nil"/>
              <w:bottom w:val="nil"/>
              <w:right w:val="nil"/>
            </w:tcBorders>
            <w:noWrap w:val="0"/>
            <w:vAlign w:val="top"/>
          </w:tcPr>
          <w:p w14:paraId="4CE741EB">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统一社会信用代码：</w:t>
            </w:r>
          </w:p>
        </w:tc>
        <w:tc>
          <w:tcPr>
            <w:tcW w:w="3946" w:type="dxa"/>
            <w:tcBorders>
              <w:top w:val="nil"/>
              <w:left w:val="nil"/>
              <w:bottom w:val="nil"/>
              <w:right w:val="nil"/>
            </w:tcBorders>
            <w:noWrap w:val="0"/>
            <w:vAlign w:val="top"/>
          </w:tcPr>
          <w:p w14:paraId="109E03BE">
            <w:pPr>
              <w:adjustRightInd w:val="0"/>
              <w:snapToGrid w:val="0"/>
              <w:spacing w:line="360" w:lineRule="auto"/>
              <w:rPr>
                <w:rFonts w:ascii="宋体" w:hAnsi="宋体" w:cs="宋体"/>
                <w:sz w:val="24"/>
                <w:szCs w:val="24"/>
                <w:highlight w:val="none"/>
              </w:rPr>
            </w:pPr>
          </w:p>
        </w:tc>
      </w:tr>
      <w:tr w14:paraId="7C0C9FAC">
        <w:tblPrEx>
          <w:tblCellMar>
            <w:top w:w="0" w:type="dxa"/>
            <w:left w:w="108" w:type="dxa"/>
            <w:bottom w:w="0" w:type="dxa"/>
            <w:right w:w="108" w:type="dxa"/>
          </w:tblCellMar>
        </w:tblPrEx>
        <w:tc>
          <w:tcPr>
            <w:tcW w:w="4576" w:type="dxa"/>
            <w:tcBorders>
              <w:top w:val="nil"/>
              <w:left w:val="nil"/>
              <w:bottom w:val="nil"/>
              <w:right w:val="nil"/>
            </w:tcBorders>
            <w:noWrap w:val="0"/>
            <w:vAlign w:val="top"/>
          </w:tcPr>
          <w:p w14:paraId="4B926B3A">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 xml:space="preserve">地址： </w:t>
            </w:r>
          </w:p>
        </w:tc>
        <w:tc>
          <w:tcPr>
            <w:tcW w:w="3946" w:type="dxa"/>
            <w:tcBorders>
              <w:top w:val="nil"/>
              <w:left w:val="nil"/>
              <w:bottom w:val="nil"/>
              <w:right w:val="nil"/>
            </w:tcBorders>
            <w:noWrap w:val="0"/>
            <w:vAlign w:val="top"/>
          </w:tcPr>
          <w:p w14:paraId="0C4AEA01">
            <w:pPr>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地址：</w:t>
            </w:r>
          </w:p>
        </w:tc>
      </w:tr>
    </w:tbl>
    <w:p w14:paraId="3C7826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D469C5"/>
    <w:rsid w:val="05D46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1"/>
    <w:rPr>
      <w:rFonts w:ascii="宋体" w:hAnsi="宋体" w:eastAsia="宋体" w:cs="宋体"/>
      <w:sz w:val="24"/>
      <w:lang w:val="zh-CN" w:bidi="zh-CN"/>
    </w:rPr>
  </w:style>
  <w:style w:type="paragraph" w:styleId="5">
    <w:name w:val="Plain Text"/>
    <w:basedOn w:val="1"/>
    <w:qFormat/>
    <w:uiPriority w:val="99"/>
    <w:pPr>
      <w:spacing w:line="324" w:lineRule="auto"/>
    </w:pPr>
    <w:rPr>
      <w:rFonts w:ascii="宋体" w:hAnsi="Courier New" w:cs="Times New Roman"/>
      <w:kern w:val="0"/>
      <w:sz w:val="20"/>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2025-10-29T02:47:00Z</dcterms:created>
  <dc:creator>秋落</dc:creator>
  <cp:lastModifiedBy>秋落</cp:lastModifiedBy>
  <dcterms:modified xsi:type="dcterms:W3CDTF">2025-10-29T02:48:07Z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1A46F1F00D4D436CBA9A1E8D6155D03A_11</vt:lpwstr>
  </property>
  <property fmtid="{D5CDD505-2E9C-101B-9397-08002B2CF9AE}" pid="4" name="KSOTemplateDocerSaveRecord">
    <vt:lpwstr>eyJoZGlkIjoiZjM2ZDIxZmI4MGVlZmE3OWFjMzEzMTM3ZGU0MTI2MzEiLCJ1c2VySWQiOiIxMzQwNDEyOTI3In0=</vt:lpwstr>
  </property>
</Properties>
</file>