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97D896">
      <w:pPr>
        <w:rPr>
          <w:rFonts w:hint="eastAsia" w:ascii="宋体" w:hAnsi="宋体"/>
          <w:b/>
          <w:color w:val="auto"/>
          <w:sz w:val="32"/>
          <w:szCs w:val="32"/>
          <w:highlight w:val="none"/>
        </w:rPr>
      </w:pPr>
      <w:r>
        <w:rPr>
          <w:rFonts w:ascii="仿宋_GB2312" w:hAnsi="仿宋_GB2312" w:eastAsia="仿宋_GB2312" w:cs="仿宋_GB2312"/>
          <w:color w:val="auto"/>
          <w:highlight w:val="none"/>
        </w:rPr>
        <w:t xml:space="preserve"> </w:t>
      </w:r>
      <w:r>
        <w:rPr>
          <w:rFonts w:hint="eastAsia" w:ascii="宋体" w:hAnsi="宋体"/>
          <w:b/>
          <w:color w:val="auto"/>
          <w:sz w:val="32"/>
          <w:szCs w:val="32"/>
          <w:highlight w:val="none"/>
        </w:rPr>
        <w:t>政府采购项目</w:t>
      </w:r>
    </w:p>
    <w:p w14:paraId="75B6ED56">
      <w:pPr>
        <w:rPr>
          <w:rFonts w:hint="eastAsia" w:ascii="宋体" w:hAnsi="宋体"/>
          <w:color w:val="auto"/>
          <w:sz w:val="52"/>
          <w:szCs w:val="52"/>
          <w:highlight w:val="none"/>
        </w:rPr>
      </w:pPr>
    </w:p>
    <w:p w14:paraId="2FEF5BD7">
      <w:pPr>
        <w:ind w:firstLine="1898" w:firstLineChars="350"/>
        <w:rPr>
          <w:rFonts w:hint="eastAsia" w:ascii="宋体" w:hAnsi="宋体"/>
          <w:b/>
          <w:color w:val="auto"/>
          <w:spacing w:val="-20"/>
          <w:sz w:val="58"/>
          <w:szCs w:val="58"/>
          <w:highlight w:val="none"/>
        </w:rPr>
      </w:pPr>
      <w:r>
        <w:rPr>
          <w:rFonts w:hint="eastAsia" w:ascii="宋体" w:hAnsi="宋体"/>
          <w:b/>
          <w:color w:val="auto"/>
          <w:spacing w:val="-20"/>
          <w:sz w:val="58"/>
          <w:szCs w:val="58"/>
          <w:highlight w:val="none"/>
        </w:rPr>
        <w:t>X X X X X X（项目名称）</w:t>
      </w:r>
    </w:p>
    <w:p w14:paraId="556BD5A4">
      <w:pPr>
        <w:jc w:val="center"/>
        <w:rPr>
          <w:rFonts w:hint="eastAsia" w:ascii="宋体" w:hAnsi="宋体"/>
          <w:b/>
          <w:color w:val="auto"/>
          <w:sz w:val="72"/>
          <w:szCs w:val="72"/>
          <w:highlight w:val="none"/>
        </w:rPr>
      </w:pPr>
    </w:p>
    <w:p w14:paraId="1747CBB2">
      <w:pPr>
        <w:jc w:val="center"/>
        <w:rPr>
          <w:rFonts w:hint="eastAsia" w:ascii="宋体" w:hAnsi="宋体"/>
          <w:b/>
          <w:color w:val="auto"/>
          <w:sz w:val="72"/>
          <w:szCs w:val="72"/>
          <w:highlight w:val="none"/>
        </w:rPr>
      </w:pPr>
    </w:p>
    <w:p w14:paraId="422A8E7C">
      <w:pPr>
        <w:jc w:val="center"/>
        <w:rPr>
          <w:rFonts w:hint="eastAsia" w:ascii="宋体" w:hAnsi="宋体"/>
          <w:b/>
          <w:color w:val="auto"/>
          <w:sz w:val="72"/>
          <w:szCs w:val="72"/>
          <w:highlight w:val="none"/>
        </w:rPr>
      </w:pPr>
      <w:r>
        <w:rPr>
          <w:rFonts w:hint="eastAsia" w:ascii="宋体" w:hAnsi="宋体"/>
          <w:b/>
          <w:color w:val="auto"/>
          <w:sz w:val="72"/>
          <w:szCs w:val="72"/>
          <w:highlight w:val="none"/>
        </w:rPr>
        <w:t>供 货 合 同</w:t>
      </w:r>
    </w:p>
    <w:p w14:paraId="0B2CE953">
      <w:pPr>
        <w:jc w:val="center"/>
        <w:rPr>
          <w:rFonts w:hint="eastAsia" w:ascii="宋体" w:hAnsi="宋体"/>
          <w:color w:val="auto"/>
          <w:sz w:val="30"/>
          <w:szCs w:val="30"/>
          <w:highlight w:val="none"/>
        </w:rPr>
      </w:pPr>
      <w:r>
        <w:rPr>
          <w:rFonts w:hint="eastAsia" w:ascii="宋体" w:hAnsi="宋体"/>
          <w:color w:val="auto"/>
          <w:sz w:val="30"/>
          <w:szCs w:val="30"/>
          <w:highlight w:val="none"/>
        </w:rPr>
        <w:t>（编号：        ）</w:t>
      </w:r>
    </w:p>
    <w:p w14:paraId="495B6E1E">
      <w:pPr>
        <w:jc w:val="center"/>
        <w:rPr>
          <w:rFonts w:hint="eastAsia" w:ascii="宋体" w:hAnsi="宋体"/>
          <w:color w:val="auto"/>
          <w:sz w:val="30"/>
          <w:szCs w:val="30"/>
          <w:highlight w:val="none"/>
        </w:rPr>
      </w:pPr>
      <w:r>
        <w:rPr>
          <w:rFonts w:hint="eastAsia" w:ascii="宋体" w:hAnsi="宋体"/>
          <w:color w:val="auto"/>
          <w:sz w:val="30"/>
          <w:szCs w:val="30"/>
          <w:highlight w:val="none"/>
        </w:rPr>
        <w:t xml:space="preserve"> </w:t>
      </w:r>
    </w:p>
    <w:p w14:paraId="119D0F95">
      <w:pPr>
        <w:jc w:val="center"/>
        <w:rPr>
          <w:rFonts w:hint="eastAsia" w:ascii="宋体" w:hAnsi="宋体"/>
          <w:color w:val="auto"/>
          <w:sz w:val="30"/>
          <w:szCs w:val="30"/>
          <w:highlight w:val="none"/>
        </w:rPr>
      </w:pPr>
    </w:p>
    <w:p w14:paraId="5EE2C8FE">
      <w:pPr>
        <w:jc w:val="center"/>
        <w:rPr>
          <w:rFonts w:hint="eastAsia" w:ascii="宋体" w:hAnsi="宋体"/>
          <w:color w:val="auto"/>
          <w:sz w:val="30"/>
          <w:szCs w:val="30"/>
          <w:highlight w:val="none"/>
        </w:rPr>
      </w:pPr>
    </w:p>
    <w:p w14:paraId="7D6AB91D">
      <w:pPr>
        <w:rPr>
          <w:rFonts w:hint="eastAsia" w:ascii="宋体" w:hAnsi="宋体"/>
          <w:color w:val="auto"/>
          <w:sz w:val="30"/>
          <w:szCs w:val="30"/>
          <w:highlight w:val="none"/>
        </w:rPr>
      </w:pPr>
    </w:p>
    <w:p w14:paraId="06111ECF">
      <w:pPr>
        <w:jc w:val="center"/>
        <w:rPr>
          <w:rFonts w:hint="eastAsia" w:ascii="宋体" w:hAnsi="宋体"/>
          <w:color w:val="auto"/>
          <w:sz w:val="30"/>
          <w:szCs w:val="30"/>
          <w:highlight w:val="none"/>
        </w:rPr>
      </w:pPr>
    </w:p>
    <w:p w14:paraId="1A1EEDA0">
      <w:pPr>
        <w:ind w:firstLine="2124" w:firstLineChars="664"/>
        <w:rPr>
          <w:rFonts w:hint="eastAsia" w:ascii="宋体" w:hAnsi="宋体"/>
          <w:color w:val="auto"/>
          <w:sz w:val="32"/>
          <w:szCs w:val="32"/>
          <w:highlight w:val="none"/>
        </w:rPr>
      </w:pPr>
      <w:r>
        <w:rPr>
          <w:rFonts w:hint="eastAsia" w:ascii="宋体" w:hAnsi="宋体"/>
          <w:color w:val="auto"/>
          <w:sz w:val="32"/>
          <w:szCs w:val="32"/>
          <w:highlight w:val="none"/>
        </w:rPr>
        <w:t>甲  方：XXXXXXX</w:t>
      </w:r>
    </w:p>
    <w:p w14:paraId="16B95A1B">
      <w:pPr>
        <w:tabs>
          <w:tab w:val="left" w:pos="480"/>
        </w:tabs>
        <w:ind w:firstLine="2124" w:firstLineChars="664"/>
        <w:rPr>
          <w:rFonts w:hint="eastAsia" w:ascii="宋体" w:hAnsi="宋体"/>
          <w:color w:val="auto"/>
          <w:sz w:val="32"/>
          <w:szCs w:val="32"/>
          <w:highlight w:val="none"/>
        </w:rPr>
      </w:pPr>
      <w:r>
        <w:rPr>
          <w:rFonts w:hint="eastAsia" w:ascii="宋体" w:hAnsi="宋体"/>
          <w:color w:val="auto"/>
          <w:sz w:val="32"/>
          <w:szCs w:val="32"/>
          <w:highlight w:val="none"/>
        </w:rPr>
        <w:t>乙  方：XXXXXXX</w:t>
      </w:r>
    </w:p>
    <w:p w14:paraId="24124B8C">
      <w:pPr>
        <w:jc w:val="center"/>
        <w:rPr>
          <w:rFonts w:hint="eastAsia" w:ascii="宋体" w:hAnsi="宋体"/>
          <w:color w:val="auto"/>
          <w:sz w:val="30"/>
          <w:szCs w:val="30"/>
          <w:highlight w:val="none"/>
        </w:rPr>
      </w:pPr>
    </w:p>
    <w:p w14:paraId="698F2247">
      <w:pPr>
        <w:jc w:val="center"/>
        <w:rPr>
          <w:rFonts w:hint="eastAsia" w:ascii="宋体" w:hAnsi="宋体"/>
          <w:color w:val="auto"/>
          <w:sz w:val="32"/>
          <w:szCs w:val="32"/>
          <w:highlight w:val="none"/>
        </w:rPr>
      </w:pPr>
      <w:r>
        <w:rPr>
          <w:rFonts w:hint="eastAsia" w:ascii="宋体" w:hAnsi="宋体"/>
          <w:color w:val="auto"/>
          <w:sz w:val="32"/>
          <w:szCs w:val="32"/>
          <w:highlight w:val="none"/>
        </w:rPr>
        <w:t>202X年XX月</w:t>
      </w:r>
    </w:p>
    <w:p w14:paraId="567E5408">
      <w:pPr>
        <w:jc w:val="center"/>
        <w:rPr>
          <w:rFonts w:hint="eastAsia" w:ascii="宋体" w:hAnsi="宋体"/>
          <w:b/>
          <w:color w:val="auto"/>
          <w:sz w:val="36"/>
          <w:szCs w:val="36"/>
          <w:highlight w:val="none"/>
        </w:rPr>
      </w:pPr>
      <w:r>
        <w:rPr>
          <w:rFonts w:hint="eastAsia" w:ascii="宋体" w:hAnsi="宋体"/>
          <w:color w:val="auto"/>
          <w:sz w:val="32"/>
          <w:szCs w:val="32"/>
          <w:highlight w:val="none"/>
        </w:rPr>
        <w:t>中国  西安</w:t>
      </w:r>
    </w:p>
    <w:p w14:paraId="27314AD5">
      <w:pPr>
        <w:spacing w:before="312" w:beforeLines="100" w:line="360" w:lineRule="auto"/>
        <w:rPr>
          <w:rFonts w:hint="eastAsia" w:ascii="宋体" w:hAnsi="宋体" w:cs="宋体"/>
          <w:color w:val="auto"/>
          <w:sz w:val="24"/>
          <w:highlight w:val="none"/>
        </w:rPr>
        <w:sectPr>
          <w:pgSz w:w="11906" w:h="16838"/>
          <w:pgMar w:top="1440" w:right="1800" w:bottom="1440" w:left="1800" w:header="851" w:footer="992" w:gutter="0"/>
          <w:cols w:space="425" w:num="1"/>
          <w:docGrid w:type="lines" w:linePitch="312" w:charSpace="0"/>
        </w:sectPr>
      </w:pPr>
    </w:p>
    <w:p w14:paraId="297B287E">
      <w:pPr>
        <w:spacing w:before="312" w:beforeLines="100" w:line="360" w:lineRule="auto"/>
        <w:rPr>
          <w:rFonts w:hint="eastAsia" w:ascii="宋体" w:hAnsi="宋体" w:cs="宋体"/>
          <w:color w:val="auto"/>
          <w:sz w:val="24"/>
          <w:highlight w:val="none"/>
        </w:rPr>
      </w:pPr>
      <w:r>
        <w:rPr>
          <w:rFonts w:hint="eastAsia" w:ascii="宋体" w:hAnsi="宋体" w:cs="宋体"/>
          <w:color w:val="auto"/>
          <w:sz w:val="24"/>
          <w:highlight w:val="none"/>
        </w:rPr>
        <w:t>合同编号：</w:t>
      </w:r>
    </w:p>
    <w:p w14:paraId="49AECCC9">
      <w:pPr>
        <w:spacing w:line="360" w:lineRule="auto"/>
        <w:rPr>
          <w:rFonts w:hint="eastAsia" w:ascii="宋体" w:hAnsi="宋体" w:cs="宋体"/>
          <w:color w:val="auto"/>
          <w:sz w:val="24"/>
          <w:highlight w:val="none"/>
        </w:rPr>
      </w:pPr>
      <w:r>
        <w:rPr>
          <w:rFonts w:hint="eastAsia" w:ascii="宋体" w:hAnsi="宋体" w:cs="宋体"/>
          <w:color w:val="auto"/>
          <w:sz w:val="24"/>
          <w:highlight w:val="none"/>
        </w:rPr>
        <w:t>签订地点：</w:t>
      </w:r>
    </w:p>
    <w:p w14:paraId="3278D67B">
      <w:pPr>
        <w:spacing w:line="360" w:lineRule="auto"/>
        <w:rPr>
          <w:rFonts w:hint="eastAsia" w:ascii="宋体" w:hAnsi="宋体" w:cs="宋体"/>
          <w:color w:val="auto"/>
          <w:sz w:val="24"/>
          <w:highlight w:val="none"/>
        </w:rPr>
      </w:pPr>
      <w:r>
        <w:rPr>
          <w:rFonts w:hint="eastAsia" w:ascii="宋体" w:hAnsi="宋体" w:cs="宋体"/>
          <w:color w:val="auto"/>
          <w:sz w:val="24"/>
          <w:highlight w:val="none"/>
        </w:rPr>
        <w:t>签订时间：</w:t>
      </w:r>
    </w:p>
    <w:p w14:paraId="4DE80137">
      <w:pPr>
        <w:spacing w:line="360" w:lineRule="auto"/>
        <w:rPr>
          <w:rFonts w:hint="eastAsia" w:ascii="宋体" w:hAnsi="宋体" w:cs="宋体"/>
          <w:color w:val="auto"/>
          <w:sz w:val="24"/>
          <w:highlight w:val="none"/>
        </w:rPr>
      </w:pPr>
      <w:r>
        <w:rPr>
          <w:rFonts w:hint="eastAsia" w:ascii="宋体" w:hAnsi="宋体" w:cs="宋体"/>
          <w:color w:val="auto"/>
          <w:sz w:val="24"/>
          <w:highlight w:val="none"/>
        </w:rPr>
        <w:t>采购人 (甲方)：</w:t>
      </w:r>
    </w:p>
    <w:p w14:paraId="3D24B761">
      <w:pPr>
        <w:spacing w:line="360" w:lineRule="auto"/>
        <w:rPr>
          <w:rFonts w:hint="eastAsia" w:ascii="宋体" w:hAnsi="宋体" w:cs="宋体"/>
          <w:color w:val="auto"/>
          <w:sz w:val="24"/>
          <w:highlight w:val="none"/>
        </w:rPr>
      </w:pPr>
      <w:r>
        <w:rPr>
          <w:rFonts w:hint="eastAsia" w:ascii="宋体" w:hAnsi="宋体" w:cs="宋体"/>
          <w:color w:val="auto"/>
          <w:sz w:val="24"/>
          <w:highlight w:val="none"/>
        </w:rPr>
        <w:t>中标人 (乙方)：</w:t>
      </w:r>
    </w:p>
    <w:p w14:paraId="4544C43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根据《中华人民共和国政府采购法》及实施条例、《中华人民共和国民法典》</w:t>
      </w:r>
    </w:p>
    <w:p w14:paraId="1BD0FE4F">
      <w:pPr>
        <w:spacing w:line="360" w:lineRule="auto"/>
        <w:rPr>
          <w:rFonts w:hint="eastAsia" w:ascii="宋体" w:hAnsi="宋体" w:cs="宋体"/>
          <w:color w:val="auto"/>
          <w:sz w:val="24"/>
          <w:highlight w:val="none"/>
        </w:rPr>
      </w:pPr>
      <w:r>
        <w:rPr>
          <w:rFonts w:hint="eastAsia" w:ascii="宋体" w:hAnsi="宋体" w:cs="宋体"/>
          <w:color w:val="auto"/>
          <w:sz w:val="24"/>
          <w:highlight w:val="none"/>
        </w:rPr>
        <w:t>和甲方</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rPr>
        <w:t>采购项目 (项目编号：</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的招标文件、响应文件等有关规定，为确保甲方采购项目的顺利实施，甲、乙双方在平等自愿原则下签订本合同，并共同遵守如下条款：</w:t>
      </w:r>
    </w:p>
    <w:p w14:paraId="3A345A3E">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第一条 合同标的及数量</w:t>
      </w:r>
    </w:p>
    <w:p w14:paraId="72B076BF">
      <w:pPr>
        <w:spacing w:line="360" w:lineRule="auto"/>
        <w:rPr>
          <w:rFonts w:hint="eastAsia" w:ascii="宋体" w:hAnsi="宋体" w:cs="宋体"/>
          <w:color w:val="auto"/>
          <w:sz w:val="24"/>
          <w:highlight w:val="none"/>
        </w:rPr>
      </w:pPr>
      <w:r>
        <w:rPr>
          <w:rFonts w:hint="eastAsia" w:ascii="宋体" w:hAnsi="宋体" w:cs="宋体"/>
          <w:color w:val="auto"/>
          <w:sz w:val="24"/>
          <w:highlight w:val="none"/>
          <w:lang w:val="en-US" w:eastAsia="zh-CN"/>
        </w:rPr>
        <w:t>1.</w:t>
      </w:r>
      <w:r>
        <w:rPr>
          <w:rFonts w:hint="eastAsia" w:ascii="宋体" w:hAnsi="宋体" w:cs="宋体"/>
          <w:color w:val="auto"/>
          <w:sz w:val="24"/>
          <w:highlight w:val="none"/>
        </w:rPr>
        <w:t>乙方向甲方提供下列货物 (产品)：</w:t>
      </w:r>
    </w:p>
    <w:p w14:paraId="7AA81638">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供货一览表</w:t>
      </w:r>
    </w:p>
    <w:tbl>
      <w:tblPr>
        <w:tblStyle w:val="5"/>
        <w:tblW w:w="8809" w:type="dxa"/>
        <w:tblInd w:w="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44"/>
        <w:gridCol w:w="1328"/>
        <w:gridCol w:w="759"/>
        <w:gridCol w:w="1477"/>
        <w:gridCol w:w="531"/>
        <w:gridCol w:w="713"/>
        <w:gridCol w:w="727"/>
        <w:gridCol w:w="1058"/>
        <w:gridCol w:w="1472"/>
      </w:tblGrid>
      <w:tr w14:paraId="283BFB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7" w:hRule="atLeast"/>
        </w:trPr>
        <w:tc>
          <w:tcPr>
            <w:tcW w:w="744" w:type="dxa"/>
            <w:tcBorders>
              <w:left w:val="single" w:color="000000" w:sz="10" w:space="0"/>
            </w:tcBorders>
            <w:noWrap w:val="0"/>
            <w:vAlign w:val="center"/>
          </w:tcPr>
          <w:p w14:paraId="5A1BE66E">
            <w:pPr>
              <w:spacing w:line="360" w:lineRule="auto"/>
              <w:jc w:val="center"/>
              <w:rPr>
                <w:rFonts w:hint="eastAsia" w:ascii="宋体" w:hAnsi="宋体" w:cs="宋体"/>
                <w:color w:val="auto"/>
                <w:sz w:val="24"/>
                <w:highlight w:val="none"/>
              </w:rPr>
            </w:pPr>
          </w:p>
          <w:p w14:paraId="426F710B">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序号</w:t>
            </w:r>
          </w:p>
        </w:tc>
        <w:tc>
          <w:tcPr>
            <w:tcW w:w="1328" w:type="dxa"/>
            <w:noWrap w:val="0"/>
            <w:vAlign w:val="center"/>
          </w:tcPr>
          <w:p w14:paraId="7BF90231">
            <w:pPr>
              <w:spacing w:line="360" w:lineRule="auto"/>
              <w:jc w:val="center"/>
              <w:rPr>
                <w:rFonts w:hint="eastAsia" w:ascii="宋体" w:hAnsi="宋体" w:cs="宋体"/>
                <w:color w:val="auto"/>
                <w:sz w:val="24"/>
                <w:highlight w:val="none"/>
              </w:rPr>
            </w:pPr>
          </w:p>
          <w:p w14:paraId="438C911F">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货物名称</w:t>
            </w:r>
          </w:p>
        </w:tc>
        <w:tc>
          <w:tcPr>
            <w:tcW w:w="759" w:type="dxa"/>
            <w:noWrap w:val="0"/>
            <w:vAlign w:val="center"/>
          </w:tcPr>
          <w:p w14:paraId="7877704B">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品目</w:t>
            </w:r>
          </w:p>
          <w:p w14:paraId="4DE0BCDA">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代码</w:t>
            </w:r>
          </w:p>
        </w:tc>
        <w:tc>
          <w:tcPr>
            <w:tcW w:w="1477" w:type="dxa"/>
            <w:noWrap w:val="0"/>
            <w:vAlign w:val="center"/>
          </w:tcPr>
          <w:p w14:paraId="0EEA55AD">
            <w:pPr>
              <w:spacing w:line="360" w:lineRule="auto"/>
              <w:jc w:val="center"/>
              <w:rPr>
                <w:rFonts w:hint="eastAsia" w:ascii="宋体" w:hAnsi="宋体" w:cs="宋体"/>
                <w:color w:val="auto"/>
                <w:sz w:val="24"/>
                <w:highlight w:val="none"/>
              </w:rPr>
            </w:pPr>
          </w:p>
          <w:p w14:paraId="32707035">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品牌/型号</w:t>
            </w:r>
          </w:p>
        </w:tc>
        <w:tc>
          <w:tcPr>
            <w:tcW w:w="531" w:type="dxa"/>
            <w:noWrap w:val="0"/>
            <w:textDirection w:val="tbRlV"/>
            <w:vAlign w:val="center"/>
          </w:tcPr>
          <w:p w14:paraId="31F3E6A0">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规 格</w:t>
            </w:r>
          </w:p>
        </w:tc>
        <w:tc>
          <w:tcPr>
            <w:tcW w:w="713" w:type="dxa"/>
            <w:noWrap w:val="0"/>
            <w:vAlign w:val="center"/>
          </w:tcPr>
          <w:p w14:paraId="6D04C7B8">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计量</w:t>
            </w:r>
          </w:p>
          <w:p w14:paraId="071B5DB8">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单位</w:t>
            </w:r>
          </w:p>
        </w:tc>
        <w:tc>
          <w:tcPr>
            <w:tcW w:w="727" w:type="dxa"/>
            <w:noWrap w:val="0"/>
            <w:vAlign w:val="center"/>
          </w:tcPr>
          <w:p w14:paraId="4799452F">
            <w:pPr>
              <w:spacing w:line="360" w:lineRule="auto"/>
              <w:jc w:val="center"/>
              <w:rPr>
                <w:rFonts w:hint="eastAsia" w:ascii="宋体" w:hAnsi="宋体" w:cs="宋体"/>
                <w:color w:val="auto"/>
                <w:sz w:val="24"/>
                <w:highlight w:val="none"/>
              </w:rPr>
            </w:pPr>
          </w:p>
          <w:p w14:paraId="276A5936">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数量</w:t>
            </w:r>
          </w:p>
        </w:tc>
        <w:tc>
          <w:tcPr>
            <w:tcW w:w="1058" w:type="dxa"/>
            <w:noWrap w:val="0"/>
            <w:vAlign w:val="center"/>
          </w:tcPr>
          <w:p w14:paraId="46FF4E7D">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单价</w:t>
            </w:r>
          </w:p>
          <w:p w14:paraId="2773C5E9">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(元)</w:t>
            </w:r>
          </w:p>
        </w:tc>
        <w:tc>
          <w:tcPr>
            <w:tcW w:w="1472" w:type="dxa"/>
            <w:tcBorders>
              <w:right w:val="single" w:color="000000" w:sz="10" w:space="0"/>
            </w:tcBorders>
            <w:noWrap w:val="0"/>
            <w:vAlign w:val="center"/>
          </w:tcPr>
          <w:p w14:paraId="41CBDF4B">
            <w:pPr>
              <w:spacing w:line="360" w:lineRule="auto"/>
              <w:jc w:val="center"/>
              <w:rPr>
                <w:rFonts w:hint="eastAsia" w:ascii="宋体" w:hAnsi="宋体" w:cs="宋体"/>
                <w:color w:val="auto"/>
                <w:sz w:val="24"/>
                <w:highlight w:val="none"/>
              </w:rPr>
            </w:pPr>
          </w:p>
          <w:p w14:paraId="2FFC7F58">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金额 (元)</w:t>
            </w:r>
          </w:p>
        </w:tc>
      </w:tr>
      <w:tr w14:paraId="233DF6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trPr>
        <w:tc>
          <w:tcPr>
            <w:tcW w:w="744" w:type="dxa"/>
            <w:tcBorders>
              <w:left w:val="single" w:color="000000" w:sz="10" w:space="0"/>
            </w:tcBorders>
            <w:noWrap w:val="0"/>
            <w:vAlign w:val="center"/>
          </w:tcPr>
          <w:p w14:paraId="00AEEDAB">
            <w:pPr>
              <w:spacing w:line="360" w:lineRule="auto"/>
              <w:jc w:val="center"/>
              <w:rPr>
                <w:rFonts w:hint="eastAsia" w:ascii="宋体" w:hAnsi="宋体" w:cs="宋体"/>
                <w:color w:val="auto"/>
                <w:sz w:val="24"/>
                <w:highlight w:val="none"/>
              </w:rPr>
            </w:pPr>
          </w:p>
        </w:tc>
        <w:tc>
          <w:tcPr>
            <w:tcW w:w="1328" w:type="dxa"/>
            <w:noWrap w:val="0"/>
            <w:vAlign w:val="center"/>
          </w:tcPr>
          <w:p w14:paraId="77C4CC44">
            <w:pPr>
              <w:spacing w:line="360" w:lineRule="auto"/>
              <w:jc w:val="center"/>
              <w:rPr>
                <w:rFonts w:hint="eastAsia" w:ascii="宋体" w:hAnsi="宋体" w:cs="宋体"/>
                <w:color w:val="auto"/>
                <w:sz w:val="24"/>
                <w:highlight w:val="none"/>
              </w:rPr>
            </w:pPr>
          </w:p>
        </w:tc>
        <w:tc>
          <w:tcPr>
            <w:tcW w:w="759" w:type="dxa"/>
            <w:noWrap w:val="0"/>
            <w:vAlign w:val="center"/>
          </w:tcPr>
          <w:p w14:paraId="260074EF">
            <w:pPr>
              <w:spacing w:line="360" w:lineRule="auto"/>
              <w:jc w:val="center"/>
              <w:rPr>
                <w:rFonts w:hint="eastAsia" w:ascii="宋体" w:hAnsi="宋体" w:cs="宋体"/>
                <w:color w:val="auto"/>
                <w:sz w:val="24"/>
                <w:highlight w:val="none"/>
              </w:rPr>
            </w:pPr>
          </w:p>
        </w:tc>
        <w:tc>
          <w:tcPr>
            <w:tcW w:w="1477" w:type="dxa"/>
            <w:noWrap w:val="0"/>
            <w:vAlign w:val="center"/>
          </w:tcPr>
          <w:p w14:paraId="1CDFC8A0">
            <w:pPr>
              <w:spacing w:line="360" w:lineRule="auto"/>
              <w:jc w:val="center"/>
              <w:rPr>
                <w:rFonts w:hint="eastAsia" w:ascii="宋体" w:hAnsi="宋体" w:cs="宋体"/>
                <w:color w:val="auto"/>
                <w:sz w:val="24"/>
                <w:highlight w:val="none"/>
              </w:rPr>
            </w:pPr>
          </w:p>
        </w:tc>
        <w:tc>
          <w:tcPr>
            <w:tcW w:w="531" w:type="dxa"/>
            <w:noWrap w:val="0"/>
            <w:vAlign w:val="center"/>
          </w:tcPr>
          <w:p w14:paraId="246EA97B">
            <w:pPr>
              <w:spacing w:line="360" w:lineRule="auto"/>
              <w:jc w:val="center"/>
              <w:rPr>
                <w:rFonts w:hint="eastAsia" w:ascii="宋体" w:hAnsi="宋体" w:cs="宋体"/>
                <w:color w:val="auto"/>
                <w:sz w:val="24"/>
                <w:highlight w:val="none"/>
              </w:rPr>
            </w:pPr>
          </w:p>
        </w:tc>
        <w:tc>
          <w:tcPr>
            <w:tcW w:w="713" w:type="dxa"/>
            <w:noWrap w:val="0"/>
            <w:vAlign w:val="center"/>
          </w:tcPr>
          <w:p w14:paraId="3291B163">
            <w:pPr>
              <w:spacing w:line="360" w:lineRule="auto"/>
              <w:jc w:val="center"/>
              <w:rPr>
                <w:rFonts w:hint="eastAsia" w:ascii="宋体" w:hAnsi="宋体" w:cs="宋体"/>
                <w:color w:val="auto"/>
                <w:sz w:val="24"/>
                <w:highlight w:val="none"/>
              </w:rPr>
            </w:pPr>
          </w:p>
        </w:tc>
        <w:tc>
          <w:tcPr>
            <w:tcW w:w="727" w:type="dxa"/>
            <w:noWrap w:val="0"/>
            <w:vAlign w:val="center"/>
          </w:tcPr>
          <w:p w14:paraId="39BA76F2">
            <w:pPr>
              <w:spacing w:line="360" w:lineRule="auto"/>
              <w:jc w:val="center"/>
              <w:rPr>
                <w:rFonts w:hint="eastAsia" w:ascii="宋体" w:hAnsi="宋体" w:cs="宋体"/>
                <w:color w:val="auto"/>
                <w:sz w:val="24"/>
                <w:highlight w:val="none"/>
              </w:rPr>
            </w:pPr>
          </w:p>
        </w:tc>
        <w:tc>
          <w:tcPr>
            <w:tcW w:w="1058" w:type="dxa"/>
            <w:noWrap w:val="0"/>
            <w:vAlign w:val="center"/>
          </w:tcPr>
          <w:p w14:paraId="57F446C9">
            <w:pPr>
              <w:spacing w:line="360" w:lineRule="auto"/>
              <w:jc w:val="center"/>
              <w:rPr>
                <w:rFonts w:hint="eastAsia" w:ascii="宋体" w:hAnsi="宋体" w:cs="宋体"/>
                <w:color w:val="auto"/>
                <w:sz w:val="24"/>
                <w:highlight w:val="none"/>
              </w:rPr>
            </w:pPr>
          </w:p>
        </w:tc>
        <w:tc>
          <w:tcPr>
            <w:tcW w:w="1472" w:type="dxa"/>
            <w:tcBorders>
              <w:right w:val="single" w:color="000000" w:sz="10" w:space="0"/>
            </w:tcBorders>
            <w:noWrap w:val="0"/>
            <w:vAlign w:val="center"/>
          </w:tcPr>
          <w:p w14:paraId="1410C43F">
            <w:pPr>
              <w:spacing w:line="360" w:lineRule="auto"/>
              <w:jc w:val="center"/>
              <w:rPr>
                <w:rFonts w:hint="eastAsia" w:ascii="宋体" w:hAnsi="宋体" w:cs="宋体"/>
                <w:color w:val="auto"/>
                <w:sz w:val="24"/>
                <w:highlight w:val="none"/>
              </w:rPr>
            </w:pPr>
          </w:p>
        </w:tc>
      </w:tr>
      <w:tr w14:paraId="05677B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4" w:hRule="atLeast"/>
        </w:trPr>
        <w:tc>
          <w:tcPr>
            <w:tcW w:w="744" w:type="dxa"/>
            <w:tcBorders>
              <w:left w:val="single" w:color="000000" w:sz="10" w:space="0"/>
            </w:tcBorders>
            <w:noWrap w:val="0"/>
            <w:vAlign w:val="center"/>
          </w:tcPr>
          <w:p w14:paraId="2A4612B5">
            <w:pPr>
              <w:spacing w:line="360" w:lineRule="auto"/>
              <w:jc w:val="center"/>
              <w:rPr>
                <w:rFonts w:hint="eastAsia" w:ascii="宋体" w:hAnsi="宋体" w:cs="宋体"/>
                <w:color w:val="auto"/>
                <w:sz w:val="24"/>
                <w:highlight w:val="none"/>
              </w:rPr>
            </w:pPr>
          </w:p>
        </w:tc>
        <w:tc>
          <w:tcPr>
            <w:tcW w:w="1328" w:type="dxa"/>
            <w:noWrap w:val="0"/>
            <w:vAlign w:val="center"/>
          </w:tcPr>
          <w:p w14:paraId="49EB3DF4">
            <w:pPr>
              <w:spacing w:line="360" w:lineRule="auto"/>
              <w:jc w:val="center"/>
              <w:rPr>
                <w:rFonts w:hint="eastAsia" w:ascii="宋体" w:hAnsi="宋体" w:cs="宋体"/>
                <w:color w:val="auto"/>
                <w:sz w:val="24"/>
                <w:highlight w:val="none"/>
              </w:rPr>
            </w:pPr>
          </w:p>
        </w:tc>
        <w:tc>
          <w:tcPr>
            <w:tcW w:w="759" w:type="dxa"/>
            <w:noWrap w:val="0"/>
            <w:vAlign w:val="center"/>
          </w:tcPr>
          <w:p w14:paraId="7FD69000">
            <w:pPr>
              <w:spacing w:line="360" w:lineRule="auto"/>
              <w:jc w:val="center"/>
              <w:rPr>
                <w:rFonts w:hint="eastAsia" w:ascii="宋体" w:hAnsi="宋体" w:cs="宋体"/>
                <w:color w:val="auto"/>
                <w:sz w:val="24"/>
                <w:highlight w:val="none"/>
              </w:rPr>
            </w:pPr>
          </w:p>
        </w:tc>
        <w:tc>
          <w:tcPr>
            <w:tcW w:w="1477" w:type="dxa"/>
            <w:noWrap w:val="0"/>
            <w:vAlign w:val="center"/>
          </w:tcPr>
          <w:p w14:paraId="42008A1A">
            <w:pPr>
              <w:spacing w:line="360" w:lineRule="auto"/>
              <w:jc w:val="center"/>
              <w:rPr>
                <w:rFonts w:hint="eastAsia" w:ascii="宋体" w:hAnsi="宋体" w:cs="宋体"/>
                <w:color w:val="auto"/>
                <w:sz w:val="24"/>
                <w:highlight w:val="none"/>
              </w:rPr>
            </w:pPr>
          </w:p>
        </w:tc>
        <w:tc>
          <w:tcPr>
            <w:tcW w:w="531" w:type="dxa"/>
            <w:noWrap w:val="0"/>
            <w:vAlign w:val="center"/>
          </w:tcPr>
          <w:p w14:paraId="75C69920">
            <w:pPr>
              <w:spacing w:line="360" w:lineRule="auto"/>
              <w:jc w:val="center"/>
              <w:rPr>
                <w:rFonts w:hint="eastAsia" w:ascii="宋体" w:hAnsi="宋体" w:cs="宋体"/>
                <w:color w:val="auto"/>
                <w:sz w:val="24"/>
                <w:highlight w:val="none"/>
              </w:rPr>
            </w:pPr>
          </w:p>
        </w:tc>
        <w:tc>
          <w:tcPr>
            <w:tcW w:w="713" w:type="dxa"/>
            <w:noWrap w:val="0"/>
            <w:vAlign w:val="center"/>
          </w:tcPr>
          <w:p w14:paraId="02092A3A">
            <w:pPr>
              <w:spacing w:line="360" w:lineRule="auto"/>
              <w:jc w:val="center"/>
              <w:rPr>
                <w:rFonts w:hint="eastAsia" w:ascii="宋体" w:hAnsi="宋体" w:cs="宋体"/>
                <w:color w:val="auto"/>
                <w:sz w:val="24"/>
                <w:highlight w:val="none"/>
              </w:rPr>
            </w:pPr>
          </w:p>
        </w:tc>
        <w:tc>
          <w:tcPr>
            <w:tcW w:w="727" w:type="dxa"/>
            <w:noWrap w:val="0"/>
            <w:vAlign w:val="center"/>
          </w:tcPr>
          <w:p w14:paraId="2F3D8B63">
            <w:pPr>
              <w:spacing w:line="360" w:lineRule="auto"/>
              <w:jc w:val="center"/>
              <w:rPr>
                <w:rFonts w:hint="eastAsia" w:ascii="宋体" w:hAnsi="宋体" w:cs="宋体"/>
                <w:color w:val="auto"/>
                <w:sz w:val="24"/>
                <w:highlight w:val="none"/>
              </w:rPr>
            </w:pPr>
          </w:p>
        </w:tc>
        <w:tc>
          <w:tcPr>
            <w:tcW w:w="1058" w:type="dxa"/>
            <w:noWrap w:val="0"/>
            <w:vAlign w:val="center"/>
          </w:tcPr>
          <w:p w14:paraId="06412420">
            <w:pPr>
              <w:spacing w:line="360" w:lineRule="auto"/>
              <w:jc w:val="center"/>
              <w:rPr>
                <w:rFonts w:hint="eastAsia" w:ascii="宋体" w:hAnsi="宋体" w:cs="宋体"/>
                <w:color w:val="auto"/>
                <w:sz w:val="24"/>
                <w:highlight w:val="none"/>
              </w:rPr>
            </w:pPr>
          </w:p>
        </w:tc>
        <w:tc>
          <w:tcPr>
            <w:tcW w:w="1472" w:type="dxa"/>
            <w:tcBorders>
              <w:right w:val="single" w:color="000000" w:sz="10" w:space="0"/>
            </w:tcBorders>
            <w:noWrap w:val="0"/>
            <w:vAlign w:val="center"/>
          </w:tcPr>
          <w:p w14:paraId="52E74D4B">
            <w:pPr>
              <w:spacing w:line="360" w:lineRule="auto"/>
              <w:jc w:val="center"/>
              <w:rPr>
                <w:rFonts w:hint="eastAsia" w:ascii="宋体" w:hAnsi="宋体" w:cs="宋体"/>
                <w:color w:val="auto"/>
                <w:sz w:val="24"/>
                <w:highlight w:val="none"/>
              </w:rPr>
            </w:pPr>
          </w:p>
        </w:tc>
      </w:tr>
      <w:tr w14:paraId="7E3528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8" w:hRule="atLeast"/>
        </w:trPr>
        <w:tc>
          <w:tcPr>
            <w:tcW w:w="744" w:type="dxa"/>
            <w:tcBorders>
              <w:left w:val="single" w:color="000000" w:sz="10" w:space="0"/>
            </w:tcBorders>
            <w:noWrap w:val="0"/>
            <w:vAlign w:val="center"/>
          </w:tcPr>
          <w:p w14:paraId="17CF1AD2">
            <w:pPr>
              <w:spacing w:line="360" w:lineRule="auto"/>
              <w:jc w:val="center"/>
              <w:rPr>
                <w:rFonts w:hint="eastAsia" w:ascii="宋体" w:hAnsi="宋体" w:cs="宋体"/>
                <w:color w:val="auto"/>
                <w:sz w:val="24"/>
                <w:highlight w:val="none"/>
              </w:rPr>
            </w:pPr>
          </w:p>
        </w:tc>
        <w:tc>
          <w:tcPr>
            <w:tcW w:w="2087" w:type="dxa"/>
            <w:gridSpan w:val="2"/>
            <w:noWrap w:val="0"/>
            <w:vAlign w:val="center"/>
          </w:tcPr>
          <w:p w14:paraId="494B2A8C">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合计</w:t>
            </w:r>
          </w:p>
        </w:tc>
        <w:tc>
          <w:tcPr>
            <w:tcW w:w="3448" w:type="dxa"/>
            <w:gridSpan w:val="4"/>
            <w:noWrap w:val="0"/>
            <w:vAlign w:val="center"/>
          </w:tcPr>
          <w:p w14:paraId="7CDB0EC5">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大写</w:t>
            </w:r>
          </w:p>
        </w:tc>
        <w:tc>
          <w:tcPr>
            <w:tcW w:w="2530" w:type="dxa"/>
            <w:gridSpan w:val="2"/>
            <w:tcBorders>
              <w:right w:val="single" w:color="000000" w:sz="10" w:space="0"/>
            </w:tcBorders>
            <w:noWrap w:val="0"/>
            <w:vAlign w:val="center"/>
          </w:tcPr>
          <w:p w14:paraId="0E73A4E1">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w:t>
            </w:r>
          </w:p>
        </w:tc>
      </w:tr>
    </w:tbl>
    <w:p w14:paraId="22519C62">
      <w:pPr>
        <w:keepNext w:val="0"/>
        <w:keepLines w:val="0"/>
        <w:pageBreakBefore w:val="0"/>
        <w:widowControl w:val="0"/>
        <w:kinsoku/>
        <w:wordWrap/>
        <w:overflowPunct/>
        <w:topLinePunct w:val="0"/>
        <w:autoSpaceDE/>
        <w:autoSpaceDN/>
        <w:bidi w:val="0"/>
        <w:adjustRightInd/>
        <w:snapToGrid/>
        <w:spacing w:before="0" w:beforeLines="50" w:after="0" w:afterLines="50" w:line="360" w:lineRule="auto"/>
        <w:textAlignment w:val="auto"/>
        <w:rPr>
          <w:rFonts w:hint="default" w:ascii="宋体" w:hAnsi="宋体" w:eastAsia="宋体" w:cs="宋体"/>
          <w:b/>
          <w:bCs/>
          <w:color w:val="auto"/>
          <w:sz w:val="24"/>
          <w:highlight w:val="none"/>
          <w:lang w:val="en-US" w:eastAsia="zh-CN"/>
        </w:rPr>
      </w:pPr>
      <w:r>
        <w:rPr>
          <w:rFonts w:hint="eastAsia" w:ascii="宋体" w:hAnsi="宋体" w:cs="宋体"/>
          <w:b w:val="0"/>
          <w:bCs w:val="0"/>
          <w:color w:val="auto"/>
          <w:sz w:val="24"/>
          <w:highlight w:val="none"/>
          <w:lang w:val="en-US" w:eastAsia="zh-CN"/>
        </w:rPr>
        <w:t>2.</w:t>
      </w:r>
      <w:r>
        <w:rPr>
          <w:rFonts w:hint="eastAsia" w:ascii="宋体" w:hAnsi="宋体" w:cs="宋体"/>
          <w:b w:val="0"/>
          <w:bCs w:val="0"/>
          <w:color w:val="auto"/>
          <w:sz w:val="24"/>
          <w:highlight w:val="none"/>
          <w:lang w:eastAsia="zh-CN"/>
        </w:rPr>
        <w:t>数量、金额</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szCs w:val="24"/>
          <w:highlight w:val="none"/>
        </w:rPr>
        <w:t>具</w:t>
      </w:r>
      <w:r>
        <w:rPr>
          <w:rFonts w:hint="eastAsia" w:ascii="宋体" w:hAnsi="宋体" w:eastAsia="宋体" w:cs="宋体"/>
          <w:color w:val="auto"/>
          <w:sz w:val="24"/>
          <w:szCs w:val="24"/>
          <w:highlight w:val="none"/>
        </w:rPr>
        <w:t>体以双方交货确认数量为准，金额根据单价数量核算为准。</w:t>
      </w:r>
    </w:p>
    <w:p w14:paraId="67F40CE8">
      <w:pPr>
        <w:keepNext w:val="0"/>
        <w:keepLines w:val="0"/>
        <w:pageBreakBefore w:val="0"/>
        <w:widowControl w:val="0"/>
        <w:kinsoku/>
        <w:wordWrap/>
        <w:overflowPunct/>
        <w:topLinePunct w:val="0"/>
        <w:autoSpaceDE/>
        <w:autoSpaceDN/>
        <w:bidi w:val="0"/>
        <w:adjustRightInd/>
        <w:snapToGrid/>
        <w:spacing w:before="0" w:beforeLines="50" w:after="0" w:afterLines="50" w:line="360" w:lineRule="auto"/>
        <w:textAlignment w:val="auto"/>
        <w:rPr>
          <w:rFonts w:hint="eastAsia" w:ascii="宋体" w:hAnsi="宋体" w:eastAsia="宋体" w:cs="宋体"/>
          <w:b/>
          <w:bCs/>
          <w:color w:val="auto"/>
          <w:sz w:val="24"/>
          <w:szCs w:val="24"/>
          <w:highlight w:val="none"/>
        </w:rPr>
      </w:pPr>
      <w:r>
        <w:rPr>
          <w:rFonts w:hint="eastAsia" w:ascii="宋体" w:hAnsi="宋体" w:cs="宋体"/>
          <w:b/>
          <w:bCs/>
          <w:color w:val="auto"/>
          <w:sz w:val="24"/>
          <w:highlight w:val="none"/>
        </w:rPr>
        <w:t xml:space="preserve">第二条 </w:t>
      </w:r>
      <w:r>
        <w:rPr>
          <w:rFonts w:hint="eastAsia" w:ascii="宋体" w:hAnsi="宋体" w:eastAsia="宋体" w:cs="宋体"/>
          <w:b/>
          <w:bCs/>
          <w:color w:val="auto"/>
          <w:sz w:val="24"/>
          <w:szCs w:val="24"/>
          <w:highlight w:val="none"/>
        </w:rPr>
        <w:t>履约期限、地点及方式</w:t>
      </w:r>
    </w:p>
    <w:p w14:paraId="7E3BD845">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rPr>
        <w:t>1、履约期限半年：</w:t>
      </w:r>
      <w:r>
        <w:rPr>
          <w:rFonts w:hint="eastAsia" w:ascii="宋体" w:hAnsi="宋体" w:eastAsia="宋体" w:cs="宋体"/>
          <w:b w:val="0"/>
          <w:bCs w:val="0"/>
          <w:color w:val="auto"/>
          <w:sz w:val="24"/>
          <w:highlight w:val="none"/>
          <w:u w:val="single"/>
          <w:shd w:val="clear" w:color="auto" w:fill="FFFFFF"/>
        </w:rPr>
        <w:t xml:space="preserve">    年   月   日至    年    月    日止</w:t>
      </w:r>
      <w:r>
        <w:rPr>
          <w:rFonts w:hint="eastAsia" w:ascii="宋体" w:hAnsi="宋体" w:eastAsia="宋体" w:cs="宋体"/>
          <w:b w:val="0"/>
          <w:bCs w:val="0"/>
          <w:color w:val="auto"/>
          <w:sz w:val="24"/>
          <w:highlight w:val="none"/>
          <w:shd w:val="clear" w:color="auto" w:fill="FFFFFF"/>
        </w:rPr>
        <w:t>。</w:t>
      </w:r>
    </w:p>
    <w:p w14:paraId="6E9BFBB1">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rPr>
        <w:t>2、履约地点：甲方指定地点，费用由乙方承担。</w:t>
      </w:r>
    </w:p>
    <w:p w14:paraId="371C89B0">
      <w:pPr>
        <w:tabs>
          <w:tab w:val="left" w:pos="3972"/>
        </w:tabs>
        <w:spacing w:line="440" w:lineRule="exact"/>
        <w:ind w:firstLine="482"/>
        <w:rPr>
          <w:rFonts w:hint="eastAsia" w:ascii="宋体" w:hAnsi="宋体" w:cs="宋体"/>
          <w:color w:val="auto"/>
          <w:sz w:val="24"/>
          <w:highlight w:val="none"/>
        </w:rPr>
      </w:pPr>
      <w:r>
        <w:rPr>
          <w:rFonts w:hint="eastAsia" w:ascii="宋体" w:hAnsi="宋体" w:eastAsia="宋体" w:cs="宋体"/>
          <w:b w:val="0"/>
          <w:bCs w:val="0"/>
          <w:color w:val="auto"/>
          <w:sz w:val="24"/>
          <w:highlight w:val="none"/>
          <w:shd w:val="clear" w:color="auto" w:fill="FFFFFF"/>
        </w:rPr>
        <w:t>3、 甲方将提前三个工作日向乙方下达正式订单。乙方按照甲方指定送达地点、时间送货，交付时双方当即验收并完善手续，运输费用及搬运费由乙方负担。</w:t>
      </w:r>
    </w:p>
    <w:p w14:paraId="516844AE">
      <w:pPr>
        <w:spacing w:line="360" w:lineRule="auto"/>
        <w:rPr>
          <w:rFonts w:hint="eastAsia" w:ascii="宋体" w:hAnsi="宋体" w:eastAsia="宋体" w:cs="宋体"/>
          <w:b/>
          <w:bCs/>
          <w:color w:val="auto"/>
          <w:sz w:val="24"/>
          <w:highlight w:val="none"/>
          <w:lang w:eastAsia="zh-CN"/>
        </w:rPr>
      </w:pPr>
      <w:r>
        <w:rPr>
          <w:rFonts w:hint="eastAsia" w:ascii="宋体" w:hAnsi="宋体" w:cs="宋体"/>
          <w:b/>
          <w:bCs/>
          <w:color w:val="auto"/>
          <w:sz w:val="24"/>
          <w:highlight w:val="none"/>
        </w:rPr>
        <w:t>第三条 结算</w:t>
      </w:r>
      <w:r>
        <w:rPr>
          <w:rFonts w:hint="eastAsia" w:ascii="宋体" w:hAnsi="宋体" w:cs="宋体"/>
          <w:b/>
          <w:bCs/>
          <w:color w:val="auto"/>
          <w:sz w:val="24"/>
          <w:highlight w:val="none"/>
          <w:lang w:eastAsia="zh-CN"/>
        </w:rPr>
        <w:t>方式</w:t>
      </w:r>
    </w:p>
    <w:p w14:paraId="3C119520">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rPr>
        <w:t>结算方式：货到后凭税务发票转款。甲方付款采用转账支付至乙方提供公司账户，货款每月 20 日结算，结算后 1</w:t>
      </w:r>
      <w:r>
        <w:rPr>
          <w:rFonts w:hint="eastAsia" w:ascii="宋体" w:hAnsi="宋体" w:cs="宋体"/>
          <w:b w:val="0"/>
          <w:bCs w:val="0"/>
          <w:color w:val="auto"/>
          <w:sz w:val="24"/>
          <w:highlight w:val="none"/>
          <w:shd w:val="clear" w:color="auto" w:fill="FFFFFF"/>
          <w:lang w:val="en-US" w:eastAsia="zh-CN"/>
        </w:rPr>
        <w:t>0</w:t>
      </w:r>
      <w:r>
        <w:rPr>
          <w:rFonts w:hint="eastAsia" w:ascii="宋体" w:hAnsi="宋体" w:eastAsia="宋体" w:cs="宋体"/>
          <w:b w:val="0"/>
          <w:bCs w:val="0"/>
          <w:color w:val="auto"/>
          <w:sz w:val="24"/>
          <w:highlight w:val="none"/>
          <w:shd w:val="clear" w:color="auto" w:fill="FFFFFF"/>
        </w:rPr>
        <w:t>日内及时转账给乙方。</w:t>
      </w:r>
    </w:p>
    <w:p w14:paraId="16ECBD76">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rPr>
        <w:t>户  名：</w:t>
      </w:r>
    </w:p>
    <w:p w14:paraId="7D471A90">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rPr>
        <w:t>开户行：</w:t>
      </w:r>
    </w:p>
    <w:p w14:paraId="03FA823C">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rPr>
        <w:t>账  号：</w:t>
      </w:r>
    </w:p>
    <w:p w14:paraId="4DC74EE0">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rPr>
        <w:t>行  号：</w:t>
      </w:r>
    </w:p>
    <w:p w14:paraId="058485BC">
      <w:pPr>
        <w:keepNext w:val="0"/>
        <w:keepLines w:val="0"/>
        <w:pageBreakBefore w:val="0"/>
        <w:widowControl w:val="0"/>
        <w:kinsoku/>
        <w:wordWrap/>
        <w:overflowPunct/>
        <w:topLinePunct w:val="0"/>
        <w:autoSpaceDE/>
        <w:autoSpaceDN/>
        <w:bidi w:val="0"/>
        <w:adjustRightInd/>
        <w:snapToGrid/>
        <w:spacing w:before="0" w:beforeLines="50" w:after="0" w:afterLines="50" w:line="360" w:lineRule="auto"/>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第四条  货物验收</w:t>
      </w:r>
    </w:p>
    <w:p w14:paraId="15AF0021">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rPr>
        <w:t>1、乙方送货时，必须出具当天配送货物的检验合格证，确保向甲方提供的食材完全 符合国家食品卫生的有关规定。</w:t>
      </w:r>
    </w:p>
    <w:p w14:paraId="6D5D8CCC">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rPr>
        <w:t>2、 甲方验收组成员与乙方配送员共同对所购食材的质量、数量进行核对验收，核对验收合格，在配送明细单上签字，并将相关票据、清单留存归档。验收中如出现质量问题，甲方有权拒收货物，乙方须无条件退货，并在规定时间内重新供货，由此产生的所有责任 和损失由乙方承担。</w:t>
      </w:r>
    </w:p>
    <w:p w14:paraId="053B9393">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rPr>
        <w:t>3、为保障双方权益，甲方签收前应与乙方配送人员当面核对货品是否与订单一致，是否符合货物质量标准，在确认无误后再签收；若甲方授权将订单交由他人签收，签收人享有与甲方等同的权利，乙方将视为甲方本人签收。</w:t>
      </w:r>
    </w:p>
    <w:p w14:paraId="5E965766">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rPr>
        <w:t>4、 甲方根据质量标准，由验收组共同验收，验收合格后履行入库手续。</w:t>
      </w:r>
    </w:p>
    <w:p w14:paraId="5498D17D">
      <w:pPr>
        <w:tabs>
          <w:tab w:val="left" w:pos="3972"/>
        </w:tabs>
        <w:spacing w:line="440" w:lineRule="exact"/>
        <w:rPr>
          <w:rFonts w:hint="eastAsia" w:ascii="宋体" w:hAnsi="宋体" w:eastAsia="宋体" w:cs="宋体"/>
          <w:b/>
          <w:bCs/>
          <w:color w:val="auto"/>
          <w:sz w:val="24"/>
          <w:highlight w:val="none"/>
          <w:shd w:val="clear" w:color="auto" w:fill="FFFFFF"/>
        </w:rPr>
      </w:pPr>
      <w:r>
        <w:rPr>
          <w:rFonts w:hint="eastAsia" w:ascii="宋体" w:hAnsi="宋体" w:eastAsia="宋体" w:cs="宋体"/>
          <w:b/>
          <w:bCs/>
          <w:color w:val="auto"/>
          <w:sz w:val="24"/>
          <w:highlight w:val="none"/>
          <w:shd w:val="clear" w:color="auto" w:fill="FFFFFF"/>
        </w:rPr>
        <w:t>第五条  货物质量标准要求</w:t>
      </w:r>
    </w:p>
    <w:p w14:paraId="6CE71B3F">
      <w:pPr>
        <w:tabs>
          <w:tab w:val="left" w:pos="3972"/>
        </w:tabs>
        <w:spacing w:line="440" w:lineRule="exact"/>
        <w:ind w:firstLine="482"/>
        <w:rPr>
          <w:rFonts w:hint="eastAsia" w:ascii="宋体" w:hAnsi="宋体" w:eastAsia="宋体" w:cs="宋体"/>
          <w:b w:val="0"/>
          <w:bCs w:val="0"/>
          <w:color w:val="auto"/>
          <w:sz w:val="24"/>
          <w:highlight w:val="none"/>
          <w:shd w:val="clear" w:color="auto" w:fill="FFFFFF"/>
          <w:lang w:eastAsia="zh-CN"/>
        </w:rPr>
      </w:pPr>
      <w:r>
        <w:rPr>
          <w:rFonts w:hint="eastAsia" w:ascii="宋体" w:hAnsi="宋体" w:eastAsia="宋体" w:cs="宋体"/>
          <w:b w:val="0"/>
          <w:bCs w:val="0"/>
          <w:color w:val="auto"/>
          <w:sz w:val="24"/>
          <w:highlight w:val="none"/>
          <w:shd w:val="clear" w:color="auto" w:fill="FFFFFF"/>
        </w:rPr>
        <w:t>乙方应按照《中华人民共和国食品卫生安全法》的规定，向甲方供应完全符合相应的</w:t>
      </w:r>
      <w:r>
        <w:rPr>
          <w:rFonts w:hint="eastAsia" w:ascii="宋体" w:hAnsi="宋体" w:cs="宋体"/>
          <w:b w:val="0"/>
          <w:bCs w:val="0"/>
          <w:color w:val="auto"/>
          <w:sz w:val="24"/>
          <w:highlight w:val="none"/>
          <w:shd w:val="clear" w:color="auto" w:fill="FFFFFF"/>
          <w:lang w:val="en-US" w:eastAsia="zh-CN"/>
        </w:rPr>
        <w:t>现行、最新</w:t>
      </w:r>
      <w:r>
        <w:rPr>
          <w:rFonts w:hint="eastAsia" w:ascii="宋体" w:hAnsi="宋体" w:eastAsia="宋体" w:cs="宋体"/>
          <w:b w:val="0"/>
          <w:bCs w:val="0"/>
          <w:color w:val="auto"/>
          <w:sz w:val="24"/>
          <w:highlight w:val="none"/>
          <w:shd w:val="clear" w:color="auto" w:fill="FFFFFF"/>
        </w:rPr>
        <w:t>食品安全国家标准要求的货品，并提供产品合格证，卫生许可证以及质检合格证等相关手续。并保证所供食材均符合国家卫生质量检验标准的正规产品，且完全符合甲方要求，不得出现过期霉变、以次充好等情况。</w:t>
      </w:r>
    </w:p>
    <w:p w14:paraId="63C32D59">
      <w:pPr>
        <w:tabs>
          <w:tab w:val="left" w:pos="3972"/>
        </w:tabs>
        <w:spacing w:line="440" w:lineRule="exact"/>
        <w:ind w:firstLine="482"/>
        <w:rPr>
          <w:rFonts w:hint="default" w:ascii="宋体" w:hAnsi="宋体" w:eastAsia="宋体" w:cs="宋体"/>
          <w:b/>
          <w:bCs/>
          <w:color w:val="auto"/>
          <w:sz w:val="24"/>
          <w:highlight w:val="none"/>
          <w:shd w:val="clear" w:color="auto" w:fill="FFFFFF"/>
          <w:lang w:val="en-US" w:eastAsia="zh-CN"/>
        </w:rPr>
      </w:pPr>
      <w:r>
        <w:rPr>
          <w:rFonts w:hint="eastAsia" w:ascii="宋体" w:hAnsi="宋体" w:cs="宋体"/>
          <w:b/>
          <w:bCs/>
          <w:color w:val="auto"/>
          <w:sz w:val="24"/>
          <w:highlight w:val="none"/>
          <w:shd w:val="clear" w:color="auto" w:fill="FFFFFF"/>
          <w:lang w:val="en-US" w:eastAsia="zh-CN"/>
        </w:rPr>
        <w:t>大米质量标准要求：</w:t>
      </w:r>
    </w:p>
    <w:p w14:paraId="67FEA0BF">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rPr>
        <w:t>（1）大米执行标准：质量符合国家标准GB</w:t>
      </w:r>
      <w:r>
        <w:rPr>
          <w:rFonts w:hint="eastAsia" w:ascii="宋体" w:hAnsi="宋体" w:eastAsia="宋体" w:cs="宋体"/>
          <w:b w:val="0"/>
          <w:bCs w:val="0"/>
          <w:color w:val="auto"/>
          <w:sz w:val="24"/>
          <w:highlight w:val="none"/>
          <w:shd w:val="clear" w:color="auto" w:fill="FFFFFF"/>
          <w:lang w:val="en-US" w:eastAsia="zh-CN"/>
        </w:rPr>
        <w:t xml:space="preserve">/T </w:t>
      </w:r>
      <w:r>
        <w:rPr>
          <w:rFonts w:hint="eastAsia" w:ascii="宋体" w:hAnsi="宋体" w:eastAsia="宋体" w:cs="宋体"/>
          <w:b w:val="0"/>
          <w:bCs w:val="0"/>
          <w:color w:val="auto"/>
          <w:sz w:val="24"/>
          <w:highlight w:val="none"/>
          <w:shd w:val="clear" w:color="auto" w:fill="FFFFFF"/>
        </w:rPr>
        <w:t>1354</w:t>
      </w:r>
      <w:r>
        <w:rPr>
          <w:rFonts w:hint="eastAsia" w:ascii="宋体" w:hAnsi="宋体" w:eastAsia="宋体" w:cs="宋体"/>
          <w:b w:val="0"/>
          <w:bCs w:val="0"/>
          <w:color w:val="auto"/>
          <w:sz w:val="24"/>
          <w:highlight w:val="none"/>
          <w:shd w:val="clear" w:color="auto" w:fill="FFFFFF"/>
          <w:lang w:val="en-US" w:eastAsia="zh-CN"/>
        </w:rPr>
        <w:t>-2018</w:t>
      </w:r>
      <w:r>
        <w:rPr>
          <w:rFonts w:hint="eastAsia" w:ascii="宋体" w:hAnsi="宋体" w:eastAsia="宋体" w:cs="宋体"/>
          <w:b w:val="0"/>
          <w:bCs w:val="0"/>
          <w:color w:val="auto"/>
          <w:sz w:val="24"/>
          <w:highlight w:val="none"/>
          <w:shd w:val="clear" w:color="auto" w:fill="FFFFFF"/>
        </w:rPr>
        <w:t>标准，一级</w:t>
      </w:r>
      <w:r>
        <w:rPr>
          <w:rFonts w:hint="eastAsia" w:ascii="宋体" w:hAnsi="宋体" w:eastAsia="宋体" w:cs="宋体"/>
          <w:b w:val="0"/>
          <w:bCs w:val="0"/>
          <w:color w:val="auto"/>
          <w:sz w:val="24"/>
          <w:highlight w:val="none"/>
          <w:shd w:val="clear" w:color="auto" w:fill="FFFFFF"/>
          <w:lang w:eastAsia="zh-CN"/>
        </w:rPr>
        <w:t>粳</w:t>
      </w:r>
      <w:r>
        <w:rPr>
          <w:rFonts w:hint="eastAsia" w:ascii="宋体" w:hAnsi="宋体" w:eastAsia="宋体" w:cs="宋体"/>
          <w:b w:val="0"/>
          <w:bCs w:val="0"/>
          <w:color w:val="auto"/>
          <w:sz w:val="24"/>
          <w:highlight w:val="none"/>
          <w:shd w:val="clear" w:color="auto" w:fill="FFFFFF"/>
        </w:rPr>
        <w:t>米标准要求（须提供由国家指定质量检测机构出具的检验报告）。</w:t>
      </w:r>
    </w:p>
    <w:p w14:paraId="48FFE59B">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rPr>
        <w:t>（2）质量要求：具有大米固有色泽与香味，无污染、虫害，色泽、气味、口味正常；无异味、霉味；无虫蛀、结块、挂丝或杂质等，符合国家粮食卫生标准。</w:t>
      </w:r>
    </w:p>
    <w:p w14:paraId="1DFF55E1">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rPr>
        <w:t>（3）包装要求：</w:t>
      </w:r>
      <w:r>
        <w:rPr>
          <w:rFonts w:hint="eastAsia" w:ascii="宋体" w:hAnsi="宋体" w:eastAsia="宋体" w:cs="宋体"/>
          <w:b w:val="0"/>
          <w:bCs w:val="0"/>
          <w:color w:val="auto"/>
          <w:sz w:val="24"/>
          <w:highlight w:val="none"/>
          <w:shd w:val="clear" w:color="auto" w:fill="FFFFFF"/>
          <w:lang w:eastAsia="zh-CN"/>
        </w:rPr>
        <w:t>粳米</w:t>
      </w:r>
      <w:r>
        <w:rPr>
          <w:rFonts w:hint="eastAsia" w:ascii="宋体" w:hAnsi="宋体" w:eastAsia="宋体" w:cs="宋体"/>
          <w:b w:val="0"/>
          <w:bCs w:val="0"/>
          <w:color w:val="auto"/>
          <w:sz w:val="24"/>
          <w:highlight w:val="none"/>
          <w:shd w:val="clear" w:color="auto" w:fill="FFFFFF"/>
        </w:rPr>
        <w:t>25kg/袋，应符合《粮食销售包装》（GB/T17109）</w:t>
      </w:r>
      <w:r>
        <w:rPr>
          <w:rFonts w:hint="eastAsia" w:ascii="宋体" w:hAnsi="宋体" w:cs="宋体"/>
          <w:b w:val="0"/>
          <w:bCs w:val="0"/>
          <w:color w:val="auto"/>
          <w:sz w:val="24"/>
          <w:highlight w:val="none"/>
          <w:shd w:val="clear" w:color="auto" w:fill="FFFFFF"/>
          <w:lang w:val="en-US" w:eastAsia="zh-CN"/>
        </w:rPr>
        <w:t>及相关最新</w:t>
      </w:r>
      <w:r>
        <w:rPr>
          <w:rFonts w:hint="eastAsia" w:ascii="宋体" w:hAnsi="宋体" w:eastAsia="宋体" w:cs="宋体"/>
          <w:b w:val="0"/>
          <w:bCs w:val="0"/>
          <w:color w:val="auto"/>
          <w:sz w:val="24"/>
          <w:highlight w:val="none"/>
          <w:shd w:val="clear" w:color="auto" w:fill="FFFFFF"/>
        </w:rPr>
        <w:t>要求，包装袋清洁无污渍、无破损、无渗漏。</w:t>
      </w:r>
    </w:p>
    <w:p w14:paraId="22E0127E">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rPr>
        <w:t>（4）标识要求：有生产许可证号，执行标准；标明产品名称、净含量、质量等级、生产企业名称、电话、地址、生产日期、保质期及营养成分表。</w:t>
      </w:r>
    </w:p>
    <w:p w14:paraId="724C5240">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rPr>
        <w:t>（5）供货时剩余保质期不少于标注保质期三分之二。</w:t>
      </w:r>
    </w:p>
    <w:p w14:paraId="3F97371C">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lang w:eastAsia="zh-CN"/>
        </w:rPr>
        <w:t>（</w:t>
      </w:r>
      <w:r>
        <w:rPr>
          <w:rFonts w:hint="eastAsia" w:ascii="宋体" w:hAnsi="宋体" w:eastAsia="宋体" w:cs="宋体"/>
          <w:b w:val="0"/>
          <w:bCs w:val="0"/>
          <w:color w:val="auto"/>
          <w:sz w:val="24"/>
          <w:highlight w:val="none"/>
          <w:shd w:val="clear" w:color="auto" w:fill="FFFFFF"/>
          <w:lang w:val="en-US" w:eastAsia="zh-CN"/>
        </w:rPr>
        <w:t>6</w:t>
      </w:r>
      <w:r>
        <w:rPr>
          <w:rFonts w:hint="eastAsia" w:ascii="宋体" w:hAnsi="宋体" w:eastAsia="宋体" w:cs="宋体"/>
          <w:b w:val="0"/>
          <w:bCs w:val="0"/>
          <w:color w:val="auto"/>
          <w:sz w:val="24"/>
          <w:highlight w:val="none"/>
          <w:shd w:val="clear" w:color="auto" w:fill="FFFFFF"/>
          <w:lang w:eastAsia="zh-CN"/>
        </w:rPr>
        <w:t>）</w:t>
      </w:r>
      <w:r>
        <w:rPr>
          <w:rFonts w:hint="eastAsia" w:ascii="宋体" w:hAnsi="宋体" w:eastAsia="宋体" w:cs="宋体"/>
          <w:b w:val="0"/>
          <w:bCs w:val="0"/>
          <w:color w:val="auto"/>
          <w:sz w:val="24"/>
          <w:highlight w:val="none"/>
          <w:shd w:val="clear" w:color="auto" w:fill="FFFFFF"/>
        </w:rPr>
        <w:t>若发现食材腐败变质、生虫、不洁、混有异物或异常现象，均不得入库</w:t>
      </w:r>
      <w:r>
        <w:rPr>
          <w:rFonts w:hint="eastAsia" w:ascii="宋体" w:hAnsi="宋体" w:eastAsia="宋体" w:cs="宋体"/>
          <w:b w:val="0"/>
          <w:bCs w:val="0"/>
          <w:color w:val="auto"/>
          <w:sz w:val="24"/>
          <w:highlight w:val="none"/>
          <w:shd w:val="clear" w:color="auto" w:fill="FFFFFF"/>
          <w:lang w:eastAsia="zh-CN"/>
        </w:rPr>
        <w:t>。</w:t>
      </w:r>
    </w:p>
    <w:p w14:paraId="3E78B50D">
      <w:pPr>
        <w:tabs>
          <w:tab w:val="left" w:pos="3972"/>
        </w:tabs>
        <w:spacing w:line="440" w:lineRule="exact"/>
        <w:ind w:firstLine="482"/>
        <w:rPr>
          <w:rFonts w:hint="eastAsia" w:ascii="宋体" w:hAnsi="宋体" w:cs="宋体"/>
          <w:b/>
          <w:bCs/>
          <w:color w:val="auto"/>
          <w:sz w:val="24"/>
          <w:highlight w:val="none"/>
          <w:shd w:val="clear" w:color="auto" w:fill="FFFFFF"/>
          <w:lang w:val="en-US" w:eastAsia="zh-CN"/>
        </w:rPr>
      </w:pPr>
      <w:r>
        <w:rPr>
          <w:rFonts w:hint="eastAsia" w:ascii="宋体" w:hAnsi="宋体" w:cs="宋体"/>
          <w:b/>
          <w:bCs/>
          <w:color w:val="auto"/>
          <w:sz w:val="24"/>
          <w:highlight w:val="none"/>
          <w:shd w:val="clear" w:color="auto" w:fill="FFFFFF"/>
          <w:lang w:val="en-US" w:eastAsia="zh-CN"/>
        </w:rPr>
        <w:t>面粉质量标准要求：</w:t>
      </w:r>
    </w:p>
    <w:p w14:paraId="33B73AC6">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rPr>
        <w:t>（1）面粉执行标准：质量符合国家标准 GB/T 1355-2021 精制粉标准要求（须提供由国家指定质量检测机构出具的检验报告）。</w:t>
      </w:r>
    </w:p>
    <w:p w14:paraId="574B56BD">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rPr>
        <w:t>（2）质量要求：无污染、虫害，色泽、气味、口味正常；无异味、霉味；无虫蛀、结块、挂丝或杂质异物；色泽呈白色或微黄色；外观呈细粉末状，无杂质，手指捻捏时无粗粒感，放开后不成团；具有面粉正常气味，无异味。符合国家粮食卫生标准。</w:t>
      </w:r>
    </w:p>
    <w:p w14:paraId="465B1AD5">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rPr>
        <w:t>（3）包装要求：25kg/袋，应符合《粮食销售包装》（GB/T17109）</w:t>
      </w:r>
      <w:r>
        <w:rPr>
          <w:rFonts w:hint="eastAsia" w:ascii="宋体" w:hAnsi="宋体" w:cs="宋体"/>
          <w:b w:val="0"/>
          <w:bCs w:val="0"/>
          <w:color w:val="auto"/>
          <w:sz w:val="24"/>
          <w:highlight w:val="none"/>
          <w:shd w:val="clear" w:color="auto" w:fill="FFFFFF"/>
          <w:lang w:val="en-US" w:eastAsia="zh-CN"/>
        </w:rPr>
        <w:t>及相关最新</w:t>
      </w:r>
      <w:r>
        <w:rPr>
          <w:rFonts w:hint="eastAsia" w:ascii="宋体" w:hAnsi="宋体" w:eastAsia="宋体" w:cs="宋体"/>
          <w:b w:val="0"/>
          <w:bCs w:val="0"/>
          <w:color w:val="auto"/>
          <w:sz w:val="24"/>
          <w:highlight w:val="none"/>
          <w:shd w:val="clear" w:color="auto" w:fill="FFFFFF"/>
        </w:rPr>
        <w:t>要求，包装袋清洁无污渍，无破损、无渗漏。</w:t>
      </w:r>
    </w:p>
    <w:p w14:paraId="515F7081">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rPr>
        <w:t>（4）标识要求：有生产许可证号，执行标准；标明产品名称、净含量、质量等级、生产企业名称、电话、地址、生产日期、保质期及营养成分表。</w:t>
      </w:r>
    </w:p>
    <w:p w14:paraId="52A3DCFB">
      <w:pPr>
        <w:tabs>
          <w:tab w:val="left" w:pos="3972"/>
        </w:tabs>
        <w:spacing w:line="440" w:lineRule="exact"/>
        <w:ind w:firstLine="482"/>
        <w:rPr>
          <w:rFonts w:hint="eastAsia" w:eastAsia="宋体"/>
          <w:color w:val="auto"/>
          <w:highlight w:val="none"/>
          <w:lang w:val="en-US" w:eastAsia="zh-CN"/>
        </w:rPr>
      </w:pPr>
      <w:r>
        <w:rPr>
          <w:rFonts w:hint="eastAsia" w:ascii="宋体" w:hAnsi="宋体" w:eastAsia="宋体" w:cs="宋体"/>
          <w:b w:val="0"/>
          <w:bCs w:val="0"/>
          <w:color w:val="auto"/>
          <w:sz w:val="24"/>
          <w:highlight w:val="none"/>
          <w:shd w:val="clear" w:color="auto" w:fill="FFFFFF"/>
        </w:rPr>
        <w:t>（5）供货时剩余保质期不少于标注保质期三分之二</w:t>
      </w:r>
      <w:r>
        <w:rPr>
          <w:rFonts w:hint="eastAsia" w:ascii="宋体" w:hAnsi="宋体" w:cs="宋体"/>
          <w:b w:val="0"/>
          <w:bCs w:val="0"/>
          <w:color w:val="auto"/>
          <w:sz w:val="24"/>
          <w:highlight w:val="none"/>
          <w:shd w:val="clear" w:color="auto" w:fill="FFFFFF"/>
          <w:lang w:eastAsia="zh-CN"/>
        </w:rPr>
        <w:t>。</w:t>
      </w:r>
    </w:p>
    <w:p w14:paraId="64A92968">
      <w:pPr>
        <w:tabs>
          <w:tab w:val="left" w:pos="3972"/>
        </w:tabs>
        <w:spacing w:line="440" w:lineRule="exact"/>
        <w:ind w:firstLine="482"/>
        <w:rPr>
          <w:rFonts w:hint="eastAsia" w:ascii="宋体" w:hAnsi="宋体" w:cs="宋体"/>
          <w:b/>
          <w:bCs/>
          <w:color w:val="auto"/>
          <w:sz w:val="24"/>
          <w:highlight w:val="none"/>
          <w:shd w:val="clear" w:color="auto" w:fill="FFFFFF"/>
          <w:lang w:val="en-US" w:eastAsia="zh-CN"/>
        </w:rPr>
      </w:pPr>
      <w:r>
        <w:rPr>
          <w:rFonts w:hint="eastAsia" w:ascii="宋体" w:hAnsi="宋体" w:cs="宋体"/>
          <w:b/>
          <w:bCs/>
          <w:color w:val="auto"/>
          <w:sz w:val="24"/>
          <w:highlight w:val="none"/>
          <w:shd w:val="clear" w:color="auto" w:fill="FFFFFF"/>
          <w:lang w:val="en-US" w:eastAsia="zh-CN"/>
        </w:rPr>
        <w:t>食用油质量标准要求：</w:t>
      </w:r>
    </w:p>
    <w:p w14:paraId="122DBF20">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rPr>
        <w:t>（1）</w:t>
      </w:r>
      <w:r>
        <w:rPr>
          <w:rFonts w:hint="eastAsia" w:ascii="宋体" w:hAnsi="宋体" w:eastAsia="宋体" w:cs="宋体"/>
          <w:b w:val="0"/>
          <w:bCs w:val="0"/>
          <w:color w:val="auto"/>
          <w:sz w:val="24"/>
          <w:highlight w:val="none"/>
          <w:shd w:val="clear" w:color="auto" w:fill="FFFFFF"/>
          <w:lang w:val="en-US" w:eastAsia="zh-CN"/>
        </w:rPr>
        <w:t>食用油</w:t>
      </w:r>
      <w:r>
        <w:rPr>
          <w:rFonts w:hint="eastAsia" w:ascii="宋体" w:hAnsi="宋体" w:eastAsia="宋体" w:cs="宋体"/>
          <w:b w:val="0"/>
          <w:bCs w:val="0"/>
          <w:color w:val="auto"/>
          <w:sz w:val="24"/>
          <w:highlight w:val="none"/>
          <w:shd w:val="clear" w:color="auto" w:fill="FFFFFF"/>
        </w:rPr>
        <w:t>执行标准：质量符合食用油国家标准一级﹙非转基因压榨菜籽油﹚或以上的标准要求（须提供由国家指定质量检测机构出具的检验报告）。</w:t>
      </w:r>
    </w:p>
    <w:p w14:paraId="4966D85B">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rPr>
        <w:t>（2）质量要求：整体呈淡黄色至橙黄色，澄清透明，油质均匀一致，无悬浮物或沉淀物；具有油菜籽的特殊气味，无异味。</w:t>
      </w:r>
    </w:p>
    <w:p w14:paraId="43B61D98">
      <w:pPr>
        <w:tabs>
          <w:tab w:val="left" w:pos="3972"/>
        </w:tabs>
        <w:spacing w:line="440" w:lineRule="exact"/>
        <w:ind w:firstLine="482"/>
        <w:rPr>
          <w:rFonts w:hint="eastAsia" w:ascii="宋体" w:hAnsi="宋体" w:eastAsia="宋体" w:cs="宋体"/>
          <w:b w:val="0"/>
          <w:bCs w:val="0"/>
          <w:color w:val="auto"/>
          <w:sz w:val="24"/>
          <w:highlight w:val="none"/>
          <w:shd w:val="clear" w:color="auto" w:fill="FFFFFF"/>
          <w:lang w:eastAsia="zh-CN"/>
        </w:rPr>
      </w:pPr>
      <w:r>
        <w:rPr>
          <w:rFonts w:hint="eastAsia" w:ascii="宋体" w:hAnsi="宋体" w:cs="宋体"/>
          <w:b w:val="0"/>
          <w:bCs w:val="0"/>
          <w:color w:val="auto"/>
          <w:sz w:val="24"/>
          <w:highlight w:val="none"/>
          <w:shd w:val="clear" w:color="auto" w:fill="FFFFFF"/>
          <w:lang w:eastAsia="zh-CN"/>
        </w:rPr>
        <w:t>（</w:t>
      </w:r>
      <w:r>
        <w:rPr>
          <w:rFonts w:hint="eastAsia" w:ascii="宋体" w:hAnsi="宋体" w:cs="宋体"/>
          <w:b w:val="0"/>
          <w:bCs w:val="0"/>
          <w:color w:val="auto"/>
          <w:sz w:val="24"/>
          <w:highlight w:val="none"/>
          <w:shd w:val="clear" w:color="auto" w:fill="FFFFFF"/>
          <w:lang w:val="en-US" w:eastAsia="zh-CN"/>
        </w:rPr>
        <w:t>3</w:t>
      </w:r>
      <w:r>
        <w:rPr>
          <w:rFonts w:hint="eastAsia" w:ascii="宋体" w:hAnsi="宋体" w:cs="宋体"/>
          <w:b w:val="0"/>
          <w:bCs w:val="0"/>
          <w:color w:val="auto"/>
          <w:sz w:val="24"/>
          <w:highlight w:val="none"/>
          <w:shd w:val="clear" w:color="auto" w:fill="FFFFFF"/>
          <w:lang w:eastAsia="zh-CN"/>
        </w:rPr>
        <w:t>）</w:t>
      </w:r>
      <w:r>
        <w:rPr>
          <w:rFonts w:hint="eastAsia" w:ascii="宋体" w:hAnsi="宋体" w:eastAsia="宋体" w:cs="宋体"/>
          <w:b w:val="0"/>
          <w:bCs w:val="0"/>
          <w:color w:val="auto"/>
          <w:sz w:val="24"/>
          <w:highlight w:val="none"/>
          <w:shd w:val="clear" w:color="auto" w:fill="FFFFFF"/>
        </w:rPr>
        <w:t>包装要求：</w:t>
      </w:r>
      <w:r>
        <w:rPr>
          <w:rFonts w:hint="eastAsia" w:ascii="宋体" w:hAnsi="宋体" w:cs="宋体"/>
          <w:b w:val="0"/>
          <w:bCs w:val="0"/>
          <w:color w:val="auto"/>
          <w:sz w:val="24"/>
          <w:highlight w:val="none"/>
          <w:shd w:val="clear" w:color="auto" w:fill="FFFFFF"/>
          <w:lang w:val="en-US" w:eastAsia="zh-CN"/>
        </w:rPr>
        <w:t>16.4L</w:t>
      </w:r>
      <w:r>
        <w:rPr>
          <w:rFonts w:hint="eastAsia" w:ascii="宋体" w:hAnsi="宋体" w:eastAsia="宋体" w:cs="宋体"/>
          <w:b w:val="0"/>
          <w:bCs w:val="0"/>
          <w:color w:val="auto"/>
          <w:sz w:val="24"/>
          <w:highlight w:val="none"/>
          <w:shd w:val="clear" w:color="auto" w:fill="FFFFFF"/>
        </w:rPr>
        <w:t>/</w:t>
      </w:r>
      <w:r>
        <w:rPr>
          <w:rFonts w:hint="eastAsia" w:ascii="宋体" w:hAnsi="宋体" w:eastAsia="宋体" w:cs="宋体"/>
          <w:b w:val="0"/>
          <w:bCs w:val="0"/>
          <w:color w:val="auto"/>
          <w:sz w:val="24"/>
          <w:highlight w:val="none"/>
          <w:shd w:val="clear" w:color="auto" w:fill="FFFFFF"/>
          <w:lang w:val="en-US" w:eastAsia="zh-CN"/>
        </w:rPr>
        <w:t>桶</w:t>
      </w:r>
      <w:r>
        <w:rPr>
          <w:rFonts w:hint="eastAsia" w:ascii="宋体" w:hAnsi="宋体" w:eastAsia="宋体" w:cs="宋体"/>
          <w:b w:val="0"/>
          <w:bCs w:val="0"/>
          <w:color w:val="auto"/>
          <w:sz w:val="24"/>
          <w:highlight w:val="none"/>
          <w:shd w:val="clear" w:color="auto" w:fill="FFFFFF"/>
        </w:rPr>
        <w:t>，独立包装，包装桶清洁透明、无污渍，无破损、无渗漏，符合国家现行</w:t>
      </w:r>
      <w:r>
        <w:rPr>
          <w:rFonts w:hint="eastAsia" w:ascii="宋体" w:hAnsi="宋体" w:eastAsia="宋体" w:cs="宋体"/>
          <w:b w:val="0"/>
          <w:bCs w:val="0"/>
          <w:color w:val="auto"/>
          <w:sz w:val="24"/>
          <w:highlight w:val="none"/>
          <w:shd w:val="clear" w:color="auto" w:fill="FFFFFF"/>
          <w:lang w:val="en-US" w:eastAsia="zh-CN"/>
        </w:rPr>
        <w:t>相关</w:t>
      </w:r>
      <w:r>
        <w:rPr>
          <w:rFonts w:hint="eastAsia" w:ascii="宋体" w:hAnsi="宋体" w:eastAsia="宋体" w:cs="宋体"/>
          <w:b w:val="0"/>
          <w:bCs w:val="0"/>
          <w:color w:val="auto"/>
          <w:sz w:val="24"/>
          <w:highlight w:val="none"/>
          <w:shd w:val="clear" w:color="auto" w:fill="FFFFFF"/>
        </w:rPr>
        <w:t>食品卫生标准的规定</w:t>
      </w:r>
      <w:r>
        <w:rPr>
          <w:rFonts w:hint="eastAsia" w:ascii="宋体" w:hAnsi="宋体" w:cs="宋体"/>
          <w:b w:val="0"/>
          <w:bCs w:val="0"/>
          <w:color w:val="auto"/>
          <w:sz w:val="24"/>
          <w:highlight w:val="none"/>
          <w:shd w:val="clear" w:color="auto" w:fill="FFFFFF"/>
          <w:lang w:eastAsia="zh-CN"/>
        </w:rPr>
        <w:t>。</w:t>
      </w:r>
    </w:p>
    <w:p w14:paraId="77CE481C">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cs="宋体"/>
          <w:b w:val="0"/>
          <w:bCs w:val="0"/>
          <w:color w:val="auto"/>
          <w:sz w:val="24"/>
          <w:highlight w:val="none"/>
          <w:shd w:val="clear" w:color="auto" w:fill="FFFFFF"/>
          <w:lang w:eastAsia="zh-CN"/>
        </w:rPr>
        <w:t>（</w:t>
      </w:r>
      <w:r>
        <w:rPr>
          <w:rFonts w:hint="eastAsia" w:ascii="宋体" w:hAnsi="宋体" w:cs="宋体"/>
          <w:b w:val="0"/>
          <w:bCs w:val="0"/>
          <w:color w:val="auto"/>
          <w:sz w:val="24"/>
          <w:highlight w:val="none"/>
          <w:shd w:val="clear" w:color="auto" w:fill="FFFFFF"/>
          <w:lang w:val="en-US" w:eastAsia="zh-CN"/>
        </w:rPr>
        <w:t>4</w:t>
      </w:r>
      <w:r>
        <w:rPr>
          <w:rFonts w:hint="eastAsia" w:ascii="宋体" w:hAnsi="宋体" w:cs="宋体"/>
          <w:b w:val="0"/>
          <w:bCs w:val="0"/>
          <w:color w:val="auto"/>
          <w:sz w:val="24"/>
          <w:highlight w:val="none"/>
          <w:shd w:val="clear" w:color="auto" w:fill="FFFFFF"/>
          <w:lang w:eastAsia="zh-CN"/>
        </w:rPr>
        <w:t>）</w:t>
      </w:r>
      <w:r>
        <w:rPr>
          <w:rFonts w:hint="eastAsia" w:ascii="宋体" w:hAnsi="宋体" w:eastAsia="宋体" w:cs="宋体"/>
          <w:b w:val="0"/>
          <w:bCs w:val="0"/>
          <w:color w:val="auto"/>
          <w:sz w:val="24"/>
          <w:highlight w:val="none"/>
          <w:shd w:val="clear" w:color="auto" w:fill="FFFFFF"/>
        </w:rPr>
        <w:t>标识要求：有生产许可证号，执行标准；标明产品名称、净含量、质量等级、生产企业名称、电话、地址、生产日期、保质期及营养成分表。</w:t>
      </w:r>
    </w:p>
    <w:p w14:paraId="2413F8E2">
      <w:pPr>
        <w:tabs>
          <w:tab w:val="left" w:pos="3972"/>
        </w:tabs>
        <w:spacing w:line="440" w:lineRule="exact"/>
        <w:ind w:firstLine="482"/>
        <w:rPr>
          <w:rFonts w:hint="eastAsia"/>
          <w:color w:val="auto"/>
          <w:highlight w:val="none"/>
          <w:lang w:val="en-US" w:eastAsia="zh-CN"/>
        </w:rPr>
      </w:pPr>
      <w:r>
        <w:rPr>
          <w:rFonts w:hint="eastAsia" w:ascii="宋体" w:hAnsi="宋体" w:eastAsia="宋体" w:cs="宋体"/>
          <w:b w:val="0"/>
          <w:bCs w:val="0"/>
          <w:color w:val="auto"/>
          <w:sz w:val="24"/>
          <w:highlight w:val="none"/>
          <w:shd w:val="clear" w:color="auto" w:fill="FFFFFF"/>
        </w:rPr>
        <w:t>（5）供货时剩余保质期不少于标注保质期三分之二。</w:t>
      </w:r>
    </w:p>
    <w:p w14:paraId="2B3E0DCA">
      <w:pPr>
        <w:tabs>
          <w:tab w:val="left" w:pos="3972"/>
        </w:tabs>
        <w:spacing w:line="440" w:lineRule="exact"/>
        <w:rPr>
          <w:rFonts w:hint="eastAsia" w:ascii="宋体" w:hAnsi="宋体" w:eastAsia="宋体" w:cs="宋体"/>
          <w:b/>
          <w:bCs/>
          <w:color w:val="auto"/>
          <w:sz w:val="24"/>
          <w:highlight w:val="none"/>
          <w:shd w:val="clear" w:color="auto" w:fill="FFFFFF"/>
        </w:rPr>
      </w:pPr>
      <w:r>
        <w:rPr>
          <w:rFonts w:hint="eastAsia" w:ascii="宋体" w:hAnsi="宋体" w:eastAsia="宋体" w:cs="宋体"/>
          <w:b/>
          <w:bCs/>
          <w:color w:val="auto"/>
          <w:sz w:val="24"/>
          <w:highlight w:val="none"/>
          <w:shd w:val="clear" w:color="auto" w:fill="FFFFFF"/>
        </w:rPr>
        <w:t>第六条  甲方权利及义务</w:t>
      </w:r>
    </w:p>
    <w:p w14:paraId="35E024A5">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rPr>
        <w:t>1、提前向乙方报送采购订单，注明所需产品的种类、数量、配送日期、配送地点等内容。按需要求乙方进行日配送、周配送、月配送，确保食材新鲜。甲方有权根据实际需求量随时调整采购计划及供货时间段。</w:t>
      </w:r>
    </w:p>
    <w:p w14:paraId="1E418655">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rPr>
        <w:t>2、 甲方收到货物后向乙方出具收货凭证，并以收货凭证作为双方唯一的结算依据。收获凭证应注明产品种类、单价、数量等结算数据。</w:t>
      </w:r>
    </w:p>
    <w:p w14:paraId="1C9C04F0">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rPr>
        <w:t>3、按照合同约定甲方支付乙方合同费用。</w:t>
      </w:r>
    </w:p>
    <w:p w14:paraId="64F78F43">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rPr>
        <w:t>4、甲方对采购产品的质量进行监督和检查。</w:t>
      </w:r>
    </w:p>
    <w:p w14:paraId="01B3ABFE">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rPr>
        <w:t>5、由于甲方工作人员工作失误导致下单延误或不及时，或者由于甲方工作人员下单数量有误，下单品名有误，由此而引起的损失，乙方不承担损失。</w:t>
      </w:r>
    </w:p>
    <w:p w14:paraId="07F19954">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rPr>
        <w:t>6、甲方食材询价小组对乙方供货价格进行监督。</w:t>
      </w:r>
    </w:p>
    <w:p w14:paraId="0BB7CCAE">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rPr>
        <w:t>7、采购产品在验收时有不符合要求的，一律退回，乙方无条件重新更换配送货物，更换后仍不符合标准的，甲方有权向第三方进货，并由乙方承担甲方由此产生的费用及损失。</w:t>
      </w:r>
    </w:p>
    <w:p w14:paraId="06C05A38">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rPr>
        <w:t>8、特殊情况发生产品紧缺或断货，甲方有权临时借调其它产品。如因乙方原因不能保证产品及时有效供应，或其它如产品发生质量问题或不良反应，甲方有权单方终止合同并不承担违约责任。</w:t>
      </w:r>
    </w:p>
    <w:p w14:paraId="37206775">
      <w:pPr>
        <w:keepNext w:val="0"/>
        <w:keepLines w:val="0"/>
        <w:pageBreakBefore w:val="0"/>
        <w:widowControl w:val="0"/>
        <w:kinsoku/>
        <w:wordWrap/>
        <w:overflowPunct/>
        <w:topLinePunct w:val="0"/>
        <w:autoSpaceDE/>
        <w:autoSpaceDN/>
        <w:bidi w:val="0"/>
        <w:adjustRightInd/>
        <w:snapToGrid/>
        <w:spacing w:before="0" w:beforeLines="50" w:after="0" w:afterLines="50" w:line="360" w:lineRule="auto"/>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第七条  乙方权利及义务</w:t>
      </w:r>
    </w:p>
    <w:p w14:paraId="530D9369">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rPr>
        <w:t>1、技术方案：有具体的配送管理制度和管理办法；制定合理、可行的项目实施方案 及各种突发情况 (市场供求变化、天气、车辆故障等) 的应急预案，能够在承诺的时间内</w:t>
      </w:r>
      <w:bookmarkStart w:id="0" w:name="_GoBack"/>
      <w:bookmarkEnd w:id="0"/>
      <w:r>
        <w:rPr>
          <w:rFonts w:hint="eastAsia" w:ascii="宋体" w:hAnsi="宋体" w:eastAsia="宋体" w:cs="宋体"/>
          <w:b w:val="0"/>
          <w:bCs w:val="0"/>
          <w:color w:val="auto"/>
          <w:sz w:val="24"/>
          <w:highlight w:val="none"/>
          <w:shd w:val="clear" w:color="auto" w:fill="FFFFFF"/>
        </w:rPr>
        <w:t>按期交货，并按照甲方要求将产品运送至指定位置。</w:t>
      </w:r>
    </w:p>
    <w:p w14:paraId="6959006C">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rPr>
        <w:t>2、质量保障：配送产品种类、品牌齐全，质量可靠。符合国家质量标准和食品卫生安全要求。</w:t>
      </w:r>
    </w:p>
    <w:p w14:paraId="0648589A">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rPr>
        <w:t>3、确保供应：产品供应渠道正常、稳定且质量有保证，须备足货源，确保按甲方时限要求及时供货，无假货、次货, 不延误甲方工作。具备完善的管理制度流程，确保食品安全。供应商自备送货车 (冷藏或恒温) ，安排专人及时供货，装卸费、送货费用及运输安全由供货方承担；如遇甲方需要的小批量的紧急食材、紧急任务或加班备勤等突发状况，乙方须严格按照甲方要求，及时配送到位；乙方须如遇天气、堵车、车辆事故、市场断档等特殊情况无法按需供货，需要提前告知甲方并与甲方沟通解决方案，以便甲方调整清单。否则，视为延迟配送，须承担违约责任。</w:t>
      </w:r>
    </w:p>
    <w:p w14:paraId="01B1502A">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rPr>
        <w:t>4、售后能力：满足用户的配送要求，承诺最短响应时间，对服务期内所提供产品食品安全、质量等方面具有详细的服务承诺及保证措施。服务承诺及保证措施完善、具体可行。</w:t>
      </w:r>
    </w:p>
    <w:p w14:paraId="769375D1">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rPr>
        <w:t>5、乙方在送货期间应注意安全，不得损坏甲方设施，并保持现场清洁。</w:t>
      </w:r>
    </w:p>
    <w:p w14:paraId="19F7550E">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rPr>
        <w:t>6、乙方应将所供应食材在甲方指定位置码放整齐。</w:t>
      </w:r>
    </w:p>
    <w:p w14:paraId="14B9F42C">
      <w:pPr>
        <w:keepNext w:val="0"/>
        <w:keepLines w:val="0"/>
        <w:pageBreakBefore w:val="0"/>
        <w:widowControl w:val="0"/>
        <w:kinsoku/>
        <w:wordWrap/>
        <w:overflowPunct/>
        <w:topLinePunct w:val="0"/>
        <w:autoSpaceDE/>
        <w:autoSpaceDN/>
        <w:bidi w:val="0"/>
        <w:adjustRightInd/>
        <w:snapToGrid/>
        <w:spacing w:before="0" w:beforeLines="50" w:after="0" w:afterLines="50" w:line="360" w:lineRule="auto"/>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第八条 违约责任</w:t>
      </w:r>
    </w:p>
    <w:p w14:paraId="7340EC8E">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rPr>
        <w:t>1、乙方未按甲方供货通知书确定的日期交货，应承担逾期交货的违约责任，每逾期一日，按逾期交货部分价款的 1‰向甲方支付违约金。逾期超过三日，甲方有权取消该批订货或解除合同。</w:t>
      </w:r>
    </w:p>
    <w:p w14:paraId="43B04008">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rPr>
        <w:t>2、乙方在收取甲方款项之前应为甲方开具相同数额的发票，若乙方未按时开具发票，甲方有权拒绝或延期支付相应款项并不承担任何违约责任。</w:t>
      </w:r>
    </w:p>
    <w:p w14:paraId="4B0923C5">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rPr>
        <w:t>3、乙方保证卖出货物系乙方有权销售的财产，如属乙方原因致货物质量及权利原因被执法部门没收查处，给甲方造成的损失部分，由乙方按甲方实际损失向甲方赔偿。</w:t>
      </w:r>
    </w:p>
    <w:p w14:paraId="76CD2116">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rPr>
        <w:t>4、 甲方一旦发现乙方所供产品出现但不限于以下质量问题的，在收到甲方通知后 24 小时内没有弥补缺陷，甲方可采取必要的补救措施，但其风险和费用将由乙方承担。甲方有权从已供货款中扣回索赔金额，如果严重影响到甲方的正常工作秩序，甲方有权单方面立即解除合同。</w:t>
      </w:r>
    </w:p>
    <w:p w14:paraId="30E8E659">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rPr>
        <w:t>(1) 乙方向甲方提供的产品达不到本合同约定的质量标准；</w:t>
      </w:r>
    </w:p>
    <w:p w14:paraId="6EACC7C8">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rPr>
        <w:t>食材腐败变质、油脂酸败、生虫、污秽不洁、混有异物或其它异常情况；含有毒、有害物质；含有致病性寄生虫、微生物或微生物含量超过国家限定标准；掺假、掺杂、伪造产品；用非食品原料加工，加入非食品用化学物质或者将非食品当作食品。</w:t>
      </w:r>
    </w:p>
    <w:p w14:paraId="3D47E6EE">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rPr>
        <w:t>(2) 乙方向甲方提供质量低下或者过期产品，不能及时退货或者换货；</w:t>
      </w:r>
    </w:p>
    <w:p w14:paraId="009E27CA">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rPr>
        <w:t>(3) 不经双方协商，乙方向甲方提供其他不符合合同规定的产品；</w:t>
      </w:r>
    </w:p>
    <w:p w14:paraId="72C0375C">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rPr>
        <w:t>(4) 乙方不能及时向甲方提供产品的检验合格证；</w:t>
      </w:r>
    </w:p>
    <w:p w14:paraId="77FED419">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rPr>
        <w:t>(5) 乙方接到甲方通知后，未将原材料按时按要求配送到位，影响甲方服刑人员餐 厅正常开餐的，以当日需求计划总量两倍价款赔付当日损失，同时乙方应承担违约责任， 甲方可从其货款中扣除相应违约金额，一月内出现三次及以上的甲方可直接解除合同。</w:t>
      </w:r>
    </w:p>
    <w:p w14:paraId="02418E7C">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rPr>
        <w:t>(6) 若乙方供货在地方质检部门或上级主管部门质量抽检不合格率达 5%，合同自动 解除。</w:t>
      </w:r>
    </w:p>
    <w:p w14:paraId="5AABF70B">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rPr>
        <w:t>5、乙方供应的产品不符合《中华人民共和国食品卫生安全法》的规定标准和本合同 第五条货物质量标准的，甲方可立即解除本合同，乙方还应向甲方支付合同期内已供货总金额10%的违约金；如发生食物中毒等食源性疾病或其他伤害，与乙方所供货品相关，由乙方承担全部法律责任与经济损失,如甲方因此先行垫付费用，有权向乙方全部追偿。同时甲方有权向乙方主张已结算总金额 30%或损失 30%的违约金。</w:t>
      </w:r>
    </w:p>
    <w:p w14:paraId="39468356">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rPr>
        <w:t>6、如因乙方原因不能保证产品及时有效供应，或其它如产品发生质量问题或不良反应，甲方有权单方终止合同并不承担违约责任。</w:t>
      </w:r>
    </w:p>
    <w:p w14:paraId="455F1EEB">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rPr>
        <w:t>7、本合同履行期内，如发生不可抗力因素需解除供货合同 (国家政策变化， 甲方机构改制，或经营模式变化等)，导致本合同无法履行的，甲方有权单方面解除本合同，不承担任何违约责任，但需提前七日通知乙方。</w:t>
      </w:r>
    </w:p>
    <w:p w14:paraId="24450C1A">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rPr>
        <w:t>8、 甲方一旦发现乙方所供产品如过期、假冒、伪劣、腐烂、发霉等质量问题，甲方有权要求乙方立即调换合格的产品，如乙方拒绝调换或者调换时间延误，不能符合甲方餐饮时间要求的，甲方有权在其他第三方采购，由此产生的第三方费用甲方有权在核算中直接予以扣除。合同期内发生该情况三次以上的，则甲方有权单方面解除本合同并不承担违约责任。</w:t>
      </w:r>
    </w:p>
    <w:p w14:paraId="1FE922C5">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rPr>
        <w:t>9、乙方未按时足量向甲方供应产品的，甲方有权向其他第三方采购，乙方应向甲方支付其在第三方采购的货品金额。如果一个月内发生两次以上的，甲方有权解除本合同并不承担违约责任，乙方承担本月已供货物金额 10%的违约金。</w:t>
      </w:r>
    </w:p>
    <w:p w14:paraId="6A7F1EC9">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rPr>
        <w:t>10、本合同期限内，除非甲方违约在先，乙方不得提前终止合同，否则，甲方有权要求乙方承担本季度已付货款金额 10%的违约金；若因乙方自身原因造成本合同解除或终止的，甲方有权扣除乙方全部货款，且乙方需赔偿甲方因此遭受的全部损失。</w:t>
      </w:r>
    </w:p>
    <w:p w14:paraId="6B2B980A">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rPr>
        <w:t>11、乙方如逾期供货给甲方造成不良后果时，甲方有权终止与乙方的所有供货业务关系，并要求乙方承担赔偿责任。</w:t>
      </w:r>
    </w:p>
    <w:p w14:paraId="4749DC03">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rPr>
        <w:t>12、如有一方违约，或未经守约方同意单方解除本合同的，违约一方应按本季度已付货款金额 10%向守约方支付违约金，并赔偿守约方因此遭受的全部损失包括但不限于守约方为维权所支出的差旅费、诉讼费、公证费、律师费等合理费用。</w:t>
      </w:r>
    </w:p>
    <w:p w14:paraId="35D8C3A9">
      <w:pPr>
        <w:keepNext w:val="0"/>
        <w:keepLines w:val="0"/>
        <w:pageBreakBefore w:val="0"/>
        <w:widowControl w:val="0"/>
        <w:kinsoku/>
        <w:wordWrap/>
        <w:overflowPunct/>
        <w:topLinePunct w:val="0"/>
        <w:autoSpaceDE/>
        <w:autoSpaceDN/>
        <w:bidi w:val="0"/>
        <w:adjustRightInd/>
        <w:snapToGrid/>
        <w:spacing w:before="0" w:beforeLines="50" w:after="0" w:afterLines="50" w:line="360" w:lineRule="auto"/>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第九条    解决合同纠纷方式</w:t>
      </w:r>
    </w:p>
    <w:p w14:paraId="3951E96B">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rPr>
        <w:t>1、产生纠纷首先协商，争取自行友好解决。</w:t>
      </w:r>
    </w:p>
    <w:p w14:paraId="3D6F180F">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rPr>
        <w:t>2、双方均有权向合同签订地有管辖权的人民法院提起民事诉讼。</w:t>
      </w:r>
    </w:p>
    <w:p w14:paraId="2B58B62B">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rPr>
        <w:t>3、双方互相留样，如产品在保质期内发现质量问题甲方应在 24 小时内以书面形式通知乙方，双方共同提取样品到相关质检部门抽检，以质检结论为准，明确责任。逾期未提出书面通知视为甲方对产品质量无异议。</w:t>
      </w:r>
    </w:p>
    <w:p w14:paraId="401991A4">
      <w:pPr>
        <w:keepNext w:val="0"/>
        <w:keepLines w:val="0"/>
        <w:pageBreakBefore w:val="0"/>
        <w:widowControl w:val="0"/>
        <w:kinsoku/>
        <w:wordWrap/>
        <w:overflowPunct/>
        <w:topLinePunct w:val="0"/>
        <w:autoSpaceDE/>
        <w:autoSpaceDN/>
        <w:bidi w:val="0"/>
        <w:adjustRightInd/>
        <w:snapToGrid/>
        <w:spacing w:before="0" w:beforeLines="50" w:after="0" w:afterLines="50" w:line="360" w:lineRule="auto"/>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第十条    其他</w:t>
      </w:r>
    </w:p>
    <w:p w14:paraId="73A52566">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rPr>
        <w:t>1、本合同未尽事宜，须经双方共同协商，作出补充约定，签订的补充协议属本合同的组成部分，具有同等法律效力。</w:t>
      </w:r>
    </w:p>
    <w:p w14:paraId="35146A85">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rPr>
        <w:t>2、本合同提供的产品销售价格如因市场因素发生较大变化，乙方应在决定作出后三日内通知甲方，甲方接到调价通知后，进行市场考察，双方协商后按新价格执行。</w:t>
      </w:r>
    </w:p>
    <w:p w14:paraId="26DD2262">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rPr>
        <w:t>3、双方有关人员在履行合同中涉及到对方资料及信息负有保密责任，不得向任何人披露，正常履行本合同义务除外。</w:t>
      </w:r>
    </w:p>
    <w:p w14:paraId="12A13D03">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rPr>
        <w:t>4、与履行合同有关的必要事项发生变化，应及时告知对方。</w:t>
      </w:r>
    </w:p>
    <w:p w14:paraId="3A208643">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rPr>
        <w:t>5、本合同一式</w:t>
      </w:r>
      <w:r>
        <w:rPr>
          <w:rFonts w:hint="eastAsia" w:ascii="宋体" w:hAnsi="宋体" w:eastAsia="宋体" w:cs="宋体"/>
          <w:b w:val="0"/>
          <w:bCs w:val="0"/>
          <w:color w:val="auto"/>
          <w:sz w:val="24"/>
          <w:highlight w:val="none"/>
          <w:u w:val="single"/>
          <w:shd w:val="clear" w:color="auto" w:fill="FFFFFF"/>
          <w:lang w:val="en-US" w:eastAsia="zh-CN"/>
        </w:rPr>
        <w:t xml:space="preserve">    </w:t>
      </w:r>
      <w:r>
        <w:rPr>
          <w:rFonts w:hint="eastAsia" w:ascii="宋体" w:hAnsi="宋体" w:eastAsia="宋体" w:cs="宋体"/>
          <w:b w:val="0"/>
          <w:bCs w:val="0"/>
          <w:color w:val="auto"/>
          <w:sz w:val="24"/>
          <w:highlight w:val="none"/>
          <w:shd w:val="clear" w:color="auto" w:fill="FFFFFF"/>
        </w:rPr>
        <w:t>份，具有同等法律效力，甲乙双方各执</w:t>
      </w:r>
      <w:r>
        <w:rPr>
          <w:rFonts w:hint="eastAsia" w:ascii="宋体" w:hAnsi="宋体" w:eastAsia="宋体" w:cs="宋体"/>
          <w:b w:val="0"/>
          <w:bCs w:val="0"/>
          <w:color w:val="auto"/>
          <w:sz w:val="24"/>
          <w:highlight w:val="none"/>
          <w:u w:val="single"/>
          <w:shd w:val="clear" w:color="auto" w:fill="FFFFFF"/>
          <w:lang w:val="en-US" w:eastAsia="zh-CN"/>
        </w:rPr>
        <w:t xml:space="preserve">   </w:t>
      </w:r>
      <w:r>
        <w:rPr>
          <w:rFonts w:hint="eastAsia" w:ascii="宋体" w:hAnsi="宋体" w:eastAsia="宋体" w:cs="宋体"/>
          <w:b w:val="0"/>
          <w:bCs w:val="0"/>
          <w:color w:val="auto"/>
          <w:sz w:val="24"/>
          <w:highlight w:val="none"/>
          <w:shd w:val="clear" w:color="auto" w:fill="FFFFFF"/>
        </w:rPr>
        <w:t>份，一份鉴证人存档。</w:t>
      </w:r>
    </w:p>
    <w:p w14:paraId="12711FC6">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rPr>
        <w:t>6、本合同自双方签字、盖章齐备之日生效。</w:t>
      </w:r>
    </w:p>
    <w:p w14:paraId="31D52A9B">
      <w:pPr>
        <w:tabs>
          <w:tab w:val="left" w:pos="3972"/>
        </w:tabs>
        <w:spacing w:line="440" w:lineRule="exact"/>
        <w:ind w:firstLine="482"/>
        <w:rPr>
          <w:rFonts w:hint="eastAsia" w:ascii="宋体" w:hAnsi="宋体" w:eastAsia="宋体" w:cs="宋体"/>
          <w:b w:val="0"/>
          <w:bCs w:val="0"/>
          <w:color w:val="auto"/>
          <w:sz w:val="24"/>
          <w:highlight w:val="none"/>
          <w:shd w:val="clear" w:color="auto" w:fill="FFFFFF"/>
        </w:rPr>
      </w:pPr>
      <w:r>
        <w:rPr>
          <w:rFonts w:hint="eastAsia" w:ascii="宋体" w:hAnsi="宋体" w:eastAsia="宋体" w:cs="宋体"/>
          <w:b w:val="0"/>
          <w:bCs w:val="0"/>
          <w:color w:val="auto"/>
          <w:sz w:val="24"/>
          <w:highlight w:val="none"/>
          <w:shd w:val="clear" w:color="auto" w:fill="FFFFFF"/>
        </w:rPr>
        <w:t>7、甲方收货后，应在具备食品存放条件场所置放货物， 以免在保质期内造成食品质量问题。</w:t>
      </w:r>
    </w:p>
    <w:tbl>
      <w:tblPr>
        <w:tblStyle w:val="5"/>
        <w:tblW w:w="4916" w:type="pct"/>
        <w:tblInd w:w="96"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172"/>
        <w:gridCol w:w="4207"/>
      </w:tblGrid>
      <w:tr w14:paraId="7BFBDEA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2489" w:type="pct"/>
            <w:noWrap/>
            <w:vAlign w:val="center"/>
          </w:tcPr>
          <w:p w14:paraId="2AF0F35C">
            <w:pPr>
              <w:tabs>
                <w:tab w:val="left" w:pos="347"/>
              </w:tabs>
              <w:autoSpaceDE w:val="0"/>
              <w:autoSpaceDN w:val="0"/>
              <w:adjustRightInd w:val="0"/>
              <w:spacing w:line="360" w:lineRule="auto"/>
              <w:jc w:val="center"/>
              <w:rPr>
                <w:rFonts w:hint="eastAsia" w:ascii="宋体" w:hAnsi="宋体" w:cs="宋体"/>
                <w:bCs/>
                <w:color w:val="auto"/>
                <w:sz w:val="24"/>
                <w:highlight w:val="none"/>
              </w:rPr>
            </w:pPr>
            <w:r>
              <w:rPr>
                <w:rFonts w:hint="eastAsia" w:ascii="宋体" w:hAnsi="宋体" w:cs="宋体"/>
                <w:bCs/>
                <w:color w:val="auto"/>
                <w:sz w:val="24"/>
                <w:highlight w:val="none"/>
              </w:rPr>
              <w:t>甲  方</w:t>
            </w:r>
          </w:p>
        </w:tc>
        <w:tc>
          <w:tcPr>
            <w:tcW w:w="2510" w:type="pct"/>
            <w:noWrap/>
            <w:vAlign w:val="center"/>
          </w:tcPr>
          <w:p w14:paraId="655FF3A1">
            <w:pPr>
              <w:tabs>
                <w:tab w:val="left" w:pos="347"/>
              </w:tabs>
              <w:autoSpaceDE w:val="0"/>
              <w:autoSpaceDN w:val="0"/>
              <w:adjustRightInd w:val="0"/>
              <w:spacing w:line="360" w:lineRule="auto"/>
              <w:jc w:val="center"/>
              <w:rPr>
                <w:rFonts w:hint="eastAsia" w:ascii="宋体" w:hAnsi="宋体" w:cs="宋体"/>
                <w:bCs/>
                <w:color w:val="auto"/>
                <w:sz w:val="24"/>
                <w:highlight w:val="none"/>
              </w:rPr>
            </w:pPr>
            <w:r>
              <w:rPr>
                <w:rFonts w:hint="eastAsia" w:ascii="宋体" w:hAnsi="宋体" w:cs="宋体"/>
                <w:bCs/>
                <w:color w:val="auto"/>
                <w:sz w:val="24"/>
                <w:highlight w:val="none"/>
              </w:rPr>
              <w:t>乙  方</w:t>
            </w:r>
          </w:p>
        </w:tc>
      </w:tr>
      <w:tr w14:paraId="6ED6A2F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23" w:hRule="atLeast"/>
        </w:trPr>
        <w:tc>
          <w:tcPr>
            <w:tcW w:w="2489" w:type="pct"/>
            <w:noWrap/>
            <w:vAlign w:val="center"/>
          </w:tcPr>
          <w:p w14:paraId="0B580119">
            <w:pPr>
              <w:autoSpaceDE w:val="0"/>
              <w:autoSpaceDN w:val="0"/>
              <w:adjustRightIn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 xml:space="preserve"> （公章）</w:t>
            </w:r>
          </w:p>
        </w:tc>
        <w:tc>
          <w:tcPr>
            <w:tcW w:w="2510" w:type="pct"/>
            <w:noWrap/>
            <w:vAlign w:val="center"/>
          </w:tcPr>
          <w:p w14:paraId="75921053">
            <w:pPr>
              <w:autoSpaceDE w:val="0"/>
              <w:autoSpaceDN w:val="0"/>
              <w:adjustRightIn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（公章）</w:t>
            </w:r>
          </w:p>
        </w:tc>
      </w:tr>
      <w:tr w14:paraId="6EF3FB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2489" w:type="pct"/>
            <w:noWrap/>
            <w:vAlign w:val="center"/>
          </w:tcPr>
          <w:p w14:paraId="2670B90F">
            <w:pPr>
              <w:autoSpaceDE w:val="0"/>
              <w:autoSpaceDN w:val="0"/>
              <w:adjustRightInd w:val="0"/>
              <w:spacing w:line="360" w:lineRule="auto"/>
              <w:rPr>
                <w:rFonts w:hint="eastAsia" w:ascii="宋体" w:hAnsi="宋体" w:cs="宋体"/>
                <w:bCs/>
                <w:color w:val="auto"/>
                <w:sz w:val="24"/>
                <w:highlight w:val="none"/>
              </w:rPr>
            </w:pPr>
            <w:r>
              <w:rPr>
                <w:rFonts w:hint="eastAsia" w:ascii="宋体" w:hAnsi="宋体" w:cs="宋体"/>
                <w:bCs/>
                <w:color w:val="auto"/>
                <w:sz w:val="24"/>
                <w:highlight w:val="none"/>
              </w:rPr>
              <w:t>地址：</w:t>
            </w:r>
          </w:p>
        </w:tc>
        <w:tc>
          <w:tcPr>
            <w:tcW w:w="2510" w:type="pct"/>
            <w:noWrap/>
            <w:vAlign w:val="top"/>
          </w:tcPr>
          <w:p w14:paraId="3F1A16EC">
            <w:pPr>
              <w:autoSpaceDE w:val="0"/>
              <w:autoSpaceDN w:val="0"/>
              <w:adjustRightInd w:val="0"/>
              <w:spacing w:line="360" w:lineRule="auto"/>
              <w:rPr>
                <w:rFonts w:hint="eastAsia" w:ascii="宋体" w:hAnsi="宋体" w:cs="宋体"/>
                <w:bCs/>
                <w:color w:val="auto"/>
                <w:sz w:val="24"/>
                <w:highlight w:val="none"/>
              </w:rPr>
            </w:pPr>
            <w:r>
              <w:rPr>
                <w:rFonts w:hint="eastAsia" w:ascii="宋体" w:hAnsi="宋体" w:cs="宋体"/>
                <w:bCs/>
                <w:color w:val="auto"/>
                <w:sz w:val="24"/>
                <w:highlight w:val="none"/>
              </w:rPr>
              <w:t>地址：</w:t>
            </w:r>
          </w:p>
        </w:tc>
      </w:tr>
      <w:tr w14:paraId="4072B6A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2489" w:type="pct"/>
            <w:noWrap/>
            <w:vAlign w:val="center"/>
          </w:tcPr>
          <w:p w14:paraId="65BE6AD5">
            <w:pPr>
              <w:autoSpaceDE w:val="0"/>
              <w:autoSpaceDN w:val="0"/>
              <w:adjustRightInd w:val="0"/>
              <w:spacing w:line="360" w:lineRule="auto"/>
              <w:rPr>
                <w:rFonts w:hint="eastAsia" w:ascii="宋体" w:hAnsi="宋体" w:cs="宋体"/>
                <w:bCs/>
                <w:color w:val="auto"/>
                <w:sz w:val="24"/>
                <w:highlight w:val="none"/>
              </w:rPr>
            </w:pPr>
            <w:r>
              <w:rPr>
                <w:rFonts w:hint="eastAsia" w:ascii="宋体" w:hAnsi="宋体" w:cs="宋体"/>
                <w:bCs/>
                <w:color w:val="auto"/>
                <w:sz w:val="24"/>
                <w:highlight w:val="none"/>
              </w:rPr>
              <w:t xml:space="preserve">邮编： </w:t>
            </w:r>
          </w:p>
        </w:tc>
        <w:tc>
          <w:tcPr>
            <w:tcW w:w="2510" w:type="pct"/>
            <w:noWrap/>
            <w:vAlign w:val="center"/>
          </w:tcPr>
          <w:p w14:paraId="0BD2B541">
            <w:pPr>
              <w:autoSpaceDE w:val="0"/>
              <w:autoSpaceDN w:val="0"/>
              <w:adjustRightInd w:val="0"/>
              <w:spacing w:line="360" w:lineRule="auto"/>
              <w:rPr>
                <w:rFonts w:hint="eastAsia" w:ascii="宋体" w:hAnsi="宋体" w:cs="宋体"/>
                <w:bCs/>
                <w:color w:val="auto"/>
                <w:sz w:val="24"/>
                <w:highlight w:val="none"/>
              </w:rPr>
            </w:pPr>
            <w:r>
              <w:rPr>
                <w:rFonts w:hint="eastAsia" w:ascii="宋体" w:hAnsi="宋体" w:cs="宋体"/>
                <w:bCs/>
                <w:color w:val="auto"/>
                <w:sz w:val="24"/>
                <w:highlight w:val="none"/>
              </w:rPr>
              <w:t>邮编：</w:t>
            </w:r>
          </w:p>
        </w:tc>
      </w:tr>
      <w:tr w14:paraId="2183E3A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2489" w:type="pct"/>
            <w:noWrap/>
            <w:vAlign w:val="center"/>
          </w:tcPr>
          <w:p w14:paraId="7BA8EA72">
            <w:pPr>
              <w:tabs>
                <w:tab w:val="left" w:pos="347"/>
              </w:tabs>
              <w:autoSpaceDE w:val="0"/>
              <w:autoSpaceDN w:val="0"/>
              <w:adjustRightInd w:val="0"/>
              <w:spacing w:line="360" w:lineRule="auto"/>
              <w:rPr>
                <w:rFonts w:hint="eastAsia" w:ascii="宋体" w:hAnsi="宋体" w:cs="宋体"/>
                <w:bCs/>
                <w:color w:val="auto"/>
                <w:sz w:val="24"/>
                <w:highlight w:val="none"/>
              </w:rPr>
            </w:pPr>
            <w:r>
              <w:rPr>
                <w:rFonts w:hint="eastAsia" w:ascii="宋体" w:hAnsi="宋体" w:cs="宋体"/>
                <w:bCs/>
                <w:color w:val="auto"/>
                <w:sz w:val="24"/>
                <w:highlight w:val="none"/>
              </w:rPr>
              <w:t>法定代表人：</w:t>
            </w:r>
          </w:p>
        </w:tc>
        <w:tc>
          <w:tcPr>
            <w:tcW w:w="2510" w:type="pct"/>
            <w:noWrap/>
            <w:vAlign w:val="center"/>
          </w:tcPr>
          <w:p w14:paraId="6C165411">
            <w:pPr>
              <w:tabs>
                <w:tab w:val="left" w:pos="347"/>
              </w:tabs>
              <w:autoSpaceDE w:val="0"/>
              <w:autoSpaceDN w:val="0"/>
              <w:adjustRightInd w:val="0"/>
              <w:spacing w:line="360" w:lineRule="auto"/>
              <w:rPr>
                <w:rFonts w:hint="eastAsia" w:ascii="宋体" w:hAnsi="宋体" w:cs="宋体"/>
                <w:bCs/>
                <w:color w:val="auto"/>
                <w:sz w:val="24"/>
                <w:highlight w:val="none"/>
              </w:rPr>
            </w:pPr>
            <w:r>
              <w:rPr>
                <w:rFonts w:hint="eastAsia" w:ascii="宋体" w:hAnsi="宋体" w:cs="宋体"/>
                <w:bCs/>
                <w:color w:val="auto"/>
                <w:sz w:val="24"/>
                <w:highlight w:val="none"/>
              </w:rPr>
              <w:t>法定代表人：</w:t>
            </w:r>
          </w:p>
        </w:tc>
      </w:tr>
      <w:tr w14:paraId="5F28AB9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2489" w:type="pct"/>
            <w:noWrap/>
            <w:vAlign w:val="center"/>
          </w:tcPr>
          <w:p w14:paraId="3B201306">
            <w:pPr>
              <w:tabs>
                <w:tab w:val="left" w:pos="347"/>
              </w:tabs>
              <w:autoSpaceDE w:val="0"/>
              <w:autoSpaceDN w:val="0"/>
              <w:adjustRightInd w:val="0"/>
              <w:spacing w:line="360" w:lineRule="auto"/>
              <w:rPr>
                <w:rFonts w:hint="eastAsia" w:ascii="宋体" w:hAnsi="宋体" w:cs="宋体"/>
                <w:bCs/>
                <w:color w:val="auto"/>
                <w:sz w:val="24"/>
                <w:highlight w:val="none"/>
              </w:rPr>
            </w:pPr>
            <w:r>
              <w:rPr>
                <w:rFonts w:hint="eastAsia" w:ascii="宋体" w:hAnsi="宋体" w:cs="宋体"/>
                <w:bCs/>
                <w:color w:val="auto"/>
                <w:sz w:val="24"/>
                <w:highlight w:val="none"/>
              </w:rPr>
              <w:t>负责人：</w:t>
            </w:r>
          </w:p>
        </w:tc>
        <w:tc>
          <w:tcPr>
            <w:tcW w:w="2510" w:type="pct"/>
            <w:noWrap/>
            <w:vAlign w:val="center"/>
          </w:tcPr>
          <w:p w14:paraId="4D538742">
            <w:pPr>
              <w:tabs>
                <w:tab w:val="left" w:pos="347"/>
              </w:tabs>
              <w:autoSpaceDE w:val="0"/>
              <w:autoSpaceDN w:val="0"/>
              <w:adjustRightInd w:val="0"/>
              <w:spacing w:line="360" w:lineRule="auto"/>
              <w:rPr>
                <w:rFonts w:hint="eastAsia" w:ascii="宋体" w:hAnsi="宋体" w:cs="宋体"/>
                <w:bCs/>
                <w:color w:val="auto"/>
                <w:sz w:val="24"/>
                <w:highlight w:val="none"/>
              </w:rPr>
            </w:pPr>
            <w:r>
              <w:rPr>
                <w:rFonts w:hint="eastAsia" w:ascii="宋体" w:hAnsi="宋体" w:cs="宋体"/>
                <w:bCs/>
                <w:color w:val="auto"/>
                <w:sz w:val="24"/>
                <w:highlight w:val="none"/>
              </w:rPr>
              <w:t>负责人：</w:t>
            </w:r>
          </w:p>
        </w:tc>
      </w:tr>
      <w:tr w14:paraId="0424CA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2489" w:type="pct"/>
            <w:noWrap/>
            <w:vAlign w:val="center"/>
          </w:tcPr>
          <w:p w14:paraId="3F8B63F4">
            <w:pPr>
              <w:tabs>
                <w:tab w:val="left" w:pos="347"/>
              </w:tabs>
              <w:autoSpaceDE w:val="0"/>
              <w:autoSpaceDN w:val="0"/>
              <w:adjustRightInd w:val="0"/>
              <w:spacing w:line="360" w:lineRule="auto"/>
              <w:rPr>
                <w:rFonts w:hint="eastAsia" w:ascii="宋体" w:hAnsi="宋体" w:cs="宋体"/>
                <w:bCs/>
                <w:color w:val="auto"/>
                <w:sz w:val="24"/>
                <w:highlight w:val="none"/>
              </w:rPr>
            </w:pPr>
            <w:r>
              <w:rPr>
                <w:rFonts w:hint="eastAsia" w:ascii="宋体" w:hAnsi="宋体" w:cs="宋体"/>
                <w:bCs/>
                <w:color w:val="auto"/>
                <w:sz w:val="24"/>
                <w:highlight w:val="none"/>
              </w:rPr>
              <w:t>电话：</w:t>
            </w:r>
          </w:p>
        </w:tc>
        <w:tc>
          <w:tcPr>
            <w:tcW w:w="2510" w:type="pct"/>
            <w:noWrap/>
            <w:vAlign w:val="center"/>
          </w:tcPr>
          <w:p w14:paraId="65D1769B">
            <w:pPr>
              <w:tabs>
                <w:tab w:val="left" w:pos="347"/>
              </w:tabs>
              <w:autoSpaceDE w:val="0"/>
              <w:autoSpaceDN w:val="0"/>
              <w:adjustRightInd w:val="0"/>
              <w:spacing w:line="360" w:lineRule="auto"/>
              <w:rPr>
                <w:rFonts w:hint="eastAsia" w:ascii="宋体" w:hAnsi="宋体" w:cs="宋体"/>
                <w:bCs/>
                <w:color w:val="auto"/>
                <w:sz w:val="24"/>
                <w:highlight w:val="none"/>
              </w:rPr>
            </w:pPr>
            <w:r>
              <w:rPr>
                <w:rFonts w:hint="eastAsia" w:ascii="宋体" w:hAnsi="宋体" w:cs="宋体"/>
                <w:bCs/>
                <w:color w:val="auto"/>
                <w:sz w:val="24"/>
                <w:highlight w:val="none"/>
              </w:rPr>
              <w:t>电话：</w:t>
            </w:r>
          </w:p>
        </w:tc>
      </w:tr>
      <w:tr w14:paraId="4712E86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2489" w:type="pct"/>
            <w:noWrap/>
            <w:vAlign w:val="center"/>
          </w:tcPr>
          <w:p w14:paraId="76B92427">
            <w:pPr>
              <w:tabs>
                <w:tab w:val="left" w:pos="347"/>
              </w:tabs>
              <w:autoSpaceDE w:val="0"/>
              <w:autoSpaceDN w:val="0"/>
              <w:adjustRightInd w:val="0"/>
              <w:spacing w:line="360" w:lineRule="auto"/>
              <w:rPr>
                <w:rFonts w:hint="eastAsia" w:ascii="宋体" w:hAnsi="宋体" w:cs="宋体"/>
                <w:bCs/>
                <w:color w:val="auto"/>
                <w:sz w:val="24"/>
                <w:highlight w:val="none"/>
              </w:rPr>
            </w:pPr>
          </w:p>
        </w:tc>
        <w:tc>
          <w:tcPr>
            <w:tcW w:w="2510" w:type="pct"/>
            <w:noWrap/>
            <w:vAlign w:val="top"/>
          </w:tcPr>
          <w:p w14:paraId="030E0DE8">
            <w:pPr>
              <w:tabs>
                <w:tab w:val="left" w:pos="347"/>
              </w:tabs>
              <w:autoSpaceDE w:val="0"/>
              <w:autoSpaceDN w:val="0"/>
              <w:adjustRightInd w:val="0"/>
              <w:spacing w:line="360" w:lineRule="auto"/>
              <w:rPr>
                <w:rFonts w:hint="eastAsia" w:ascii="宋体" w:hAnsi="宋体" w:cs="宋体"/>
                <w:bCs/>
                <w:color w:val="auto"/>
                <w:sz w:val="24"/>
                <w:highlight w:val="none"/>
              </w:rPr>
            </w:pPr>
            <w:r>
              <w:rPr>
                <w:rFonts w:hint="eastAsia" w:ascii="宋体" w:hAnsi="宋体" w:cs="宋体"/>
                <w:bCs/>
                <w:color w:val="auto"/>
                <w:sz w:val="24"/>
                <w:highlight w:val="none"/>
              </w:rPr>
              <w:t>开户银行：</w:t>
            </w:r>
          </w:p>
        </w:tc>
      </w:tr>
      <w:tr w14:paraId="6AC2085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2489" w:type="pct"/>
            <w:noWrap/>
            <w:vAlign w:val="center"/>
          </w:tcPr>
          <w:p w14:paraId="161A1A6C">
            <w:pPr>
              <w:tabs>
                <w:tab w:val="left" w:pos="347"/>
              </w:tabs>
              <w:autoSpaceDE w:val="0"/>
              <w:autoSpaceDN w:val="0"/>
              <w:adjustRightInd w:val="0"/>
              <w:spacing w:line="360" w:lineRule="auto"/>
              <w:rPr>
                <w:rFonts w:hint="eastAsia" w:ascii="宋体" w:hAnsi="宋体" w:cs="宋体"/>
                <w:bCs/>
                <w:color w:val="auto"/>
                <w:sz w:val="24"/>
                <w:highlight w:val="none"/>
              </w:rPr>
            </w:pPr>
          </w:p>
        </w:tc>
        <w:tc>
          <w:tcPr>
            <w:tcW w:w="2510" w:type="pct"/>
            <w:noWrap/>
            <w:vAlign w:val="center"/>
          </w:tcPr>
          <w:p w14:paraId="384651CE">
            <w:pPr>
              <w:tabs>
                <w:tab w:val="left" w:pos="347"/>
              </w:tabs>
              <w:autoSpaceDE w:val="0"/>
              <w:autoSpaceDN w:val="0"/>
              <w:adjustRightInd w:val="0"/>
              <w:spacing w:line="360" w:lineRule="auto"/>
              <w:rPr>
                <w:rFonts w:hint="eastAsia" w:ascii="宋体" w:hAnsi="宋体" w:cs="宋体"/>
                <w:bCs/>
                <w:color w:val="auto"/>
                <w:sz w:val="24"/>
                <w:highlight w:val="none"/>
              </w:rPr>
            </w:pPr>
            <w:r>
              <w:rPr>
                <w:rFonts w:hint="eastAsia" w:ascii="宋体" w:hAnsi="宋体" w:cs="宋体"/>
                <w:bCs/>
                <w:color w:val="auto"/>
                <w:sz w:val="24"/>
                <w:highlight w:val="none"/>
              </w:rPr>
              <w:t>账号：</w:t>
            </w:r>
          </w:p>
        </w:tc>
      </w:tr>
      <w:tr w14:paraId="6754090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2489" w:type="pct"/>
            <w:noWrap/>
            <w:vAlign w:val="center"/>
          </w:tcPr>
          <w:p w14:paraId="4093B27D">
            <w:pPr>
              <w:tabs>
                <w:tab w:val="left" w:pos="347"/>
              </w:tabs>
              <w:autoSpaceDE w:val="0"/>
              <w:autoSpaceDN w:val="0"/>
              <w:adjustRightInd w:val="0"/>
              <w:spacing w:line="360" w:lineRule="auto"/>
              <w:rPr>
                <w:rFonts w:hint="eastAsia" w:ascii="宋体" w:hAnsi="宋体" w:cs="宋体"/>
                <w:bCs/>
                <w:color w:val="auto"/>
                <w:sz w:val="24"/>
                <w:highlight w:val="none"/>
              </w:rPr>
            </w:pPr>
            <w:r>
              <w:rPr>
                <w:rFonts w:hint="eastAsia" w:ascii="宋体" w:hAnsi="宋体" w:cs="宋体"/>
                <w:bCs/>
                <w:color w:val="auto"/>
                <w:sz w:val="24"/>
                <w:highlight w:val="none"/>
              </w:rPr>
              <w:t>日期：   年   月   日</w:t>
            </w:r>
          </w:p>
        </w:tc>
        <w:tc>
          <w:tcPr>
            <w:tcW w:w="2510" w:type="pct"/>
            <w:noWrap/>
            <w:vAlign w:val="center"/>
          </w:tcPr>
          <w:p w14:paraId="247711D3">
            <w:pPr>
              <w:tabs>
                <w:tab w:val="left" w:pos="347"/>
              </w:tabs>
              <w:autoSpaceDE w:val="0"/>
              <w:autoSpaceDN w:val="0"/>
              <w:adjustRightInd w:val="0"/>
              <w:spacing w:line="360" w:lineRule="auto"/>
              <w:rPr>
                <w:rFonts w:hint="eastAsia" w:ascii="宋体" w:hAnsi="宋体" w:cs="宋体"/>
                <w:bCs/>
                <w:color w:val="auto"/>
                <w:sz w:val="24"/>
                <w:highlight w:val="none"/>
              </w:rPr>
            </w:pPr>
            <w:r>
              <w:rPr>
                <w:rFonts w:hint="eastAsia" w:ascii="宋体" w:hAnsi="宋体" w:cs="宋体"/>
                <w:bCs/>
                <w:color w:val="auto"/>
                <w:sz w:val="24"/>
                <w:highlight w:val="none"/>
              </w:rPr>
              <w:t>日期：   年   月   日</w:t>
            </w:r>
          </w:p>
        </w:tc>
      </w:tr>
    </w:tbl>
    <w:p w14:paraId="13977F2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p>
    <w:p w14:paraId="62A3552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p>
    <w:p w14:paraId="7D2A56C8">
      <w:pPr>
        <w:rPr>
          <w:color w:val="auto"/>
          <w:highlight w:val="none"/>
        </w:rPr>
      </w:pPr>
    </w:p>
    <w:sectPr>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A72A8A">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15C5496">
                          <w:pPr>
                            <w:pStyle w:val="3"/>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8</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15C5496">
                    <w:pPr>
                      <w:pStyle w:val="3"/>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8</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0613DD"/>
    <w:rsid w:val="1A0613DD"/>
    <w:rsid w:val="2D371D54"/>
    <w:rsid w:val="63447F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keepNext/>
      <w:keepLines/>
      <w:spacing w:before="280" w:beforeLines="0" w:after="290" w:afterLines="0" w:line="376" w:lineRule="auto"/>
      <w:outlineLvl w:val="3"/>
    </w:pPr>
    <w:rPr>
      <w:rFonts w:ascii="Arial" w:hAnsi="Arial" w:eastAsia="黑体"/>
      <w:b/>
      <w:sz w:val="28"/>
      <w:szCs w:val="28"/>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4935</Words>
  <Characters>5067</Characters>
  <Lines>0</Lines>
  <Paragraphs>0</Paragraphs>
  <TotalTime>0</TotalTime>
  <ScaleCrop>false</ScaleCrop>
  <LinksUpToDate>false</LinksUpToDate>
  <CharactersWithSpaces>5249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2025-10-27T03:29:00Z</dcterms:created>
  <dc:creator>刘菲</dc:creator>
  <cp:lastModifiedBy>刘菲</cp:lastModifiedBy>
  <dcterms:modified xsi:type="dcterms:W3CDTF">2025-10-30T03:52:51Z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A0ABA00AE3E34806B5A3A2A14C34CA04_11</vt:lpwstr>
  </property>
  <property fmtid="{D5CDD505-2E9C-101B-9397-08002B2CF9AE}" pid="4" name="KSOTemplateDocerSaveRecord">
    <vt:lpwstr>eyJoZGlkIjoiNjBjMTUwMjhmNmI2ZmVlMTBkYzRmYzI5MTBmNTk5ODUiLCJ1c2VySWQiOiIzNzMwMTc5MDgifQ==</vt:lpwstr>
  </property>
</Properties>
</file>