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版本号：ZJZBSX-250811-1095820251028001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高效液相色谱仪检测器（CAD+荧光检测器）采购项目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ZJZBSX-250811-10958</w:t>
      </w:r>
      <w:r>
        <w:br/>
      </w:r>
      <w:r>
        <w:br/>
      </w:r>
      <w:r>
        <w:br/>
      </w:r>
      <w:r>
        <w:br/>
      </w:r>
      <w:r>
        <w:br/>
      </w:r>
    </w:p>
    <w:p>
      <w:pPr>
        <w:pStyle w:val="null3"/>
        <w:jc w:val="center"/>
        <w:outlineLvl w:val="5"/>
      </w:pPr>
      <w:r>
        <w:rPr>
          <w:rFonts w:ascii="仿宋_GB2312" w:hAnsi="仿宋_GB2312" w:cs="仿宋_GB2312" w:eastAsia="仿宋_GB2312"/>
          <w:sz w:val="15"/>
          <w:b/>
        </w:rPr>
        <w:t>陕西科技大学</w:t>
      </w:r>
    </w:p>
    <w:p>
      <w:pPr>
        <w:pStyle w:val="null3"/>
        <w:jc w:val="center"/>
        <w:outlineLvl w:val="5"/>
      </w:pPr>
      <w:r>
        <w:rPr>
          <w:rFonts w:ascii="仿宋_GB2312" w:hAnsi="仿宋_GB2312" w:cs="仿宋_GB2312" w:eastAsia="仿宋_GB2312"/>
          <w:sz w:val="15"/>
          <w:b/>
        </w:rPr>
        <w:t>陕西中经招标有限公司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高效液相色谱仪检测器（CAD+荧光检测器）采购项目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ZJZBSX-250811-10958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高效液相色谱仪检测器（CAD+荧光检测器）采购项目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高效液相色谱仪检测器（CAD+荧光检测器）采购项目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p>
      <w:pPr>
        <w:pStyle w:val="null3"/>
      </w:pPr>
      <w:r>
        <w:rPr>
          <w:rFonts w:ascii="仿宋_GB2312" w:hAnsi="仿宋_GB2312" w:cs="仿宋_GB2312" w:eastAsia="仿宋_GB2312"/>
        </w:rPr>
        <w:t>3、财务状况报告 ：供应商提供2024年度经审计的完整财务审计报告（审计报告应当包含报告正文、资产负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 ：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 ：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 ：参加本次采购活动前3年内在经营活动中没有重大违纪，以及未被列入失信被执行人、重大税收违法案件当事人名单、政府采购严重违法失信行为记录名单的书面声明原件。</w:t>
      </w:r>
    </w:p>
    <w:p>
      <w:pPr>
        <w:pStyle w:val="null3"/>
      </w:pPr>
      <w:r>
        <w:rPr>
          <w:rFonts w:ascii="仿宋_GB2312" w:hAnsi="仿宋_GB2312" w:cs="仿宋_GB2312" w:eastAsia="仿宋_GB2312"/>
        </w:rPr>
        <w:t>7、承诺函 ：提供具有履行合同所必需的设备和专业技术能力的承诺；供应商需在项目电子化交易系统中按要求上传相应证明文件并进行电子签章。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8、产品授权 ：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西安市长安北路8B陕西高速大厦16楼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代理服务费收费标准：招标代理服务费（即成交服务费）由成交单位支付，收费标准: （1）30万元（不含）以上的项目收费参考国家计委计价格[2002]1980号文规定之收费标准下浮35%收取。 （2）30万元（含）以下的项目，按每个项目3000元包干收取（若为多标段项目，按照实际中标金额比例分别确定各标段成交服务费）。具体收费额以招标代理机构出具的发票为准。</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 xml:space="preserve"> 高效液相色谱仪检测器（CAD+荧光检测器）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高效液相色谱仪检测器（CAD+荧光检测器）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标的名称：高效液相色谱仪检测器（CAD+荧光检测器）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40"/>
              <w:gridCol w:w="320"/>
              <w:gridCol w:w="1487"/>
              <w:gridCol w:w="270"/>
              <w:gridCol w:w="235"/>
            </w:tblGrid>
            <w:tr>
              <w:tc>
                <w:tcPr>
                  <w:tcW w:type="dxa" w:w="240"/>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名称</w:t>
                  </w:r>
                </w:p>
              </w:tc>
              <w:tc>
                <w:tcPr>
                  <w:tcW w:type="dxa" w:w="1487"/>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技术参数</w:t>
                  </w:r>
                </w:p>
              </w:tc>
              <w:tc>
                <w:tcPr>
                  <w:tcW w:type="dxa" w:w="270"/>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数量</w:t>
                  </w:r>
                </w:p>
              </w:tc>
              <w:tc>
                <w:tcPr>
                  <w:tcW w:type="dxa" w:w="235"/>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备注</w:t>
                  </w:r>
                </w:p>
              </w:tc>
            </w:tr>
            <w:tr>
              <w:tc>
                <w:tcPr>
                  <w:tcW w:type="dxa" w:w="2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CAD检测器</w:t>
                  </w:r>
                </w:p>
              </w:tc>
              <w:tc>
                <w:tcPr>
                  <w:tcW w:type="dxa" w:w="1487"/>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4"/>
                      <w:b/>
                      <w:color w:val="000000"/>
                    </w:rPr>
                    <w:t>电雾式检测器</w:t>
                  </w:r>
                </w:p>
                <w:p>
                  <w:pPr>
                    <w:pStyle w:val="null3"/>
                    <w:numPr>
                      <w:ilvl w:val="0"/>
                      <w:numId w:val="1"/>
                    </w:numPr>
                    <w:jc w:val="left"/>
                  </w:pPr>
                  <w:r>
                    <w:rPr>
                      <w:rFonts w:ascii="仿宋_GB2312" w:hAnsi="仿宋_GB2312" w:cs="仿宋_GB2312" w:eastAsia="仿宋_GB2312"/>
                      <w:sz w:val="24"/>
                      <w:color w:val="000000"/>
                    </w:rPr>
                    <w:t>检测模式：电雾式检测</w:t>
                  </w:r>
                </w:p>
                <w:p>
                  <w:pPr>
                    <w:pStyle w:val="null3"/>
                    <w:numPr>
                      <w:ilvl w:val="0"/>
                      <w:numId w:val="1"/>
                    </w:numPr>
                    <w:jc w:val="left"/>
                  </w:pPr>
                  <w:r>
                    <w:rPr>
                      <w:rFonts w:ascii="仿宋_GB2312" w:hAnsi="仿宋_GB2312" w:cs="仿宋_GB2312" w:eastAsia="仿宋_GB2312"/>
                      <w:sz w:val="24"/>
                      <w:color w:val="000000"/>
                    </w:rPr>
                    <w:t>数据采集率：</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200 Hz</w:t>
                  </w:r>
                </w:p>
                <w:p>
                  <w:pPr>
                    <w:pStyle w:val="null3"/>
                    <w:numPr>
                      <w:ilvl w:val="0"/>
                      <w:numId w:val="1"/>
                    </w:numPr>
                    <w:jc w:val="left"/>
                  </w:pP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 个数量级</w:t>
                  </w:r>
                </w:p>
                <w:p>
                  <w:pPr>
                    <w:pStyle w:val="null3"/>
                    <w:numPr>
                      <w:ilvl w:val="0"/>
                      <w:numId w:val="1"/>
                    </w:numPr>
                    <w:jc w:val="left"/>
                  </w:pPr>
                  <w:r>
                    <w:rPr>
                      <w:rFonts w:ascii="仿宋_GB2312" w:hAnsi="仿宋_GB2312" w:cs="仿宋_GB2312" w:eastAsia="仿宋_GB2312"/>
                      <w:sz w:val="24"/>
                      <w:color w:val="000000"/>
                    </w:rPr>
                    <w:t>过滤</w:t>
                  </w:r>
                  <w:r>
                    <w:rPr>
                      <w:rFonts w:ascii="仿宋_GB2312" w:hAnsi="仿宋_GB2312" w:cs="仿宋_GB2312" w:eastAsia="仿宋_GB2312"/>
                      <w:sz w:val="24"/>
                      <w:color w:val="000000"/>
                    </w:rPr>
                    <w:t>:过滤器时间常数，4 阶低通 Bessel 数字过滤器，提供有基于时间限制的用户选择：0.1、0.2、0.5、1.0、2.0、3.6、5.0、10.0</w:t>
                  </w:r>
                </w:p>
                <w:p>
                  <w:pPr>
                    <w:pStyle w:val="null3"/>
                    <w:numPr>
                      <w:ilvl w:val="0"/>
                      <w:numId w:val="1"/>
                    </w:numPr>
                    <w:jc w:val="left"/>
                  </w:pPr>
                  <w:r>
                    <w:rPr>
                      <w:rFonts w:ascii="仿宋_GB2312" w:hAnsi="仿宋_GB2312" w:cs="仿宋_GB2312" w:eastAsia="仿宋_GB2312"/>
                      <w:sz w:val="24"/>
                      <w:color w:val="000000"/>
                    </w:rPr>
                    <w:t>气体要求：氮气或压缩空气</w:t>
                  </w:r>
                </w:p>
                <w:p>
                  <w:pPr>
                    <w:pStyle w:val="null3"/>
                    <w:numPr>
                      <w:ilvl w:val="0"/>
                      <w:numId w:val="1"/>
                    </w:numPr>
                    <w:jc w:val="left"/>
                  </w:pPr>
                  <w:r>
                    <w:rPr>
                      <w:rFonts w:ascii="仿宋_GB2312" w:hAnsi="仿宋_GB2312" w:cs="仿宋_GB2312" w:eastAsia="仿宋_GB2312"/>
                      <w:sz w:val="24"/>
                      <w:color w:val="000000"/>
                    </w:rPr>
                    <w:t>进气压力：</w:t>
                  </w:r>
                  <w:r>
                    <w:rPr>
                      <w:rFonts w:ascii="仿宋_GB2312" w:hAnsi="仿宋_GB2312" w:cs="仿宋_GB2312" w:eastAsia="仿宋_GB2312"/>
                      <w:sz w:val="24"/>
                      <w:color w:val="000000"/>
                    </w:rPr>
                    <w:t>482-551 kPa (4.8-5.5 bar, 70-80 psi)</w:t>
                  </w:r>
                </w:p>
                <w:p>
                  <w:pPr>
                    <w:pStyle w:val="null3"/>
                    <w:numPr>
                      <w:ilvl w:val="0"/>
                      <w:numId w:val="1"/>
                    </w:numPr>
                    <w:jc w:val="left"/>
                  </w:pPr>
                  <w:r>
                    <w:rPr>
                      <w:rFonts w:ascii="仿宋_GB2312" w:hAnsi="仿宋_GB2312" w:cs="仿宋_GB2312" w:eastAsia="仿宋_GB2312"/>
                      <w:sz w:val="24"/>
                      <w:color w:val="000000"/>
                    </w:rPr>
                    <w:t>进气压力控制：电子控制压力调节系统</w:t>
                  </w:r>
                </w:p>
                <w:p>
                  <w:pPr>
                    <w:pStyle w:val="null3"/>
                    <w:numPr>
                      <w:ilvl w:val="0"/>
                      <w:numId w:val="1"/>
                    </w:numPr>
                    <w:jc w:val="left"/>
                  </w:pPr>
                  <w:r>
                    <w:rPr>
                      <w:rFonts w:ascii="仿宋_GB2312" w:hAnsi="仿宋_GB2312" w:cs="仿宋_GB2312" w:eastAsia="仿宋_GB2312"/>
                      <w:sz w:val="24"/>
                      <w:color w:val="000000"/>
                    </w:rPr>
                    <w:t>温度控制：可设置范围</w:t>
                  </w:r>
                  <w:r>
                    <w:rPr>
                      <w:rFonts w:ascii="仿宋_GB2312" w:hAnsi="仿宋_GB2312" w:cs="仿宋_GB2312" w:eastAsia="仿宋_GB2312"/>
                      <w:sz w:val="24"/>
                      <w:color w:val="000000"/>
                    </w:rPr>
                    <w:t>10°C至100°C，以0.1K为增量；最低超过环境温度5K</w:t>
                  </w:r>
                </w:p>
                <w:p>
                  <w:pPr>
                    <w:pStyle w:val="null3"/>
                    <w:numPr>
                      <w:ilvl w:val="0"/>
                      <w:numId w:val="1"/>
                    </w:numPr>
                    <w:jc w:val="left"/>
                  </w:pPr>
                  <w:r>
                    <w:rPr>
                      <w:rFonts w:ascii="仿宋_GB2312" w:hAnsi="仿宋_GB2312" w:cs="仿宋_GB2312" w:eastAsia="仿宋_GB2312"/>
                      <w:sz w:val="24"/>
                      <w:color w:val="000000"/>
                    </w:rPr>
                    <w:t>GLP 特性：预测性能功能，在 Chromeleon 色谱分析数据系统审计跟踪中记录气体过滤器更换间隔、维护监测周期、系统参数。</w:t>
                  </w:r>
                </w:p>
                <w:p>
                  <w:pPr>
                    <w:pStyle w:val="null3"/>
                    <w:numPr>
                      <w:ilvl w:val="0"/>
                      <w:numId w:val="1"/>
                    </w:numPr>
                    <w:jc w:val="left"/>
                  </w:pPr>
                  <w:r>
                    <w:rPr>
                      <w:rFonts w:ascii="仿宋_GB2312" w:hAnsi="仿宋_GB2312" w:cs="仿宋_GB2312" w:eastAsia="仿宋_GB2312"/>
                      <w:sz w:val="24"/>
                      <w:color w:val="000000"/>
                    </w:rPr>
                    <w:t>适用于：</w:t>
                  </w:r>
                  <w:r>
                    <w:rPr>
                      <w:rFonts w:ascii="仿宋_GB2312" w:hAnsi="仿宋_GB2312" w:cs="仿宋_GB2312" w:eastAsia="仿宋_GB2312"/>
                      <w:sz w:val="24"/>
                      <w:color w:val="000000"/>
                    </w:rPr>
                    <w:t>Vanquish UHPLC 系统</w:t>
                  </w:r>
                </w:p>
                <w:p>
                  <w:pPr>
                    <w:pStyle w:val="null3"/>
                    <w:numPr>
                      <w:ilvl w:val="0"/>
                      <w:numId w:val="1"/>
                    </w:numPr>
                    <w:jc w:val="left"/>
                  </w:pPr>
                  <w:r>
                    <w:rPr>
                      <w:rFonts w:ascii="仿宋_GB2312" w:hAnsi="仿宋_GB2312" w:cs="仿宋_GB2312" w:eastAsia="仿宋_GB2312"/>
                      <w:sz w:val="24"/>
                      <w:color w:val="000000"/>
                    </w:rPr>
                    <w:t>电气要求：</w:t>
                  </w:r>
                  <w:r>
                    <w:rPr>
                      <w:rFonts w:ascii="仿宋_GB2312" w:hAnsi="仿宋_GB2312" w:cs="仿宋_GB2312" w:eastAsia="仿宋_GB2312"/>
                      <w:sz w:val="24"/>
                      <w:color w:val="000000"/>
                    </w:rPr>
                    <w:t>100-240 VAC，50/60 Hz</w:t>
                  </w:r>
                </w:p>
              </w:tc>
              <w:tc>
                <w:tcPr>
                  <w:tcW w:type="dxa" w:w="270"/>
                  <w:vMerge w:val="restart"/>
                  <w:tcBorders>
                    <w:top w:val="none" w:color="000000" w:sz="4"/>
                    <w:left w:val="none" w:color="000000" w:sz="4"/>
                    <w:bottom w:val="non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c>
                <w:tcPr>
                  <w:tcW w:type="dxa" w:w="23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已做进口论证，允许采购进口产品</w:t>
                  </w:r>
                </w:p>
              </w:tc>
            </w:tr>
            <w:tr>
              <w:tc>
                <w:tcPr>
                  <w:tcW w:type="dxa" w:w="24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荧光检测器</w:t>
                  </w:r>
                </w:p>
              </w:tc>
              <w:tc>
                <w:tcPr>
                  <w:tcW w:type="dxa" w:w="1487"/>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4"/>
                      <w:b/>
                      <w:color w:val="000000"/>
                    </w:rPr>
                    <w:t>荧光检测器</w:t>
                  </w:r>
                </w:p>
                <w:p>
                  <w:pPr>
                    <w:pStyle w:val="null3"/>
                    <w:numPr>
                      <w:ilvl w:val="0"/>
                      <w:numId w:val="1"/>
                    </w:numPr>
                    <w:jc w:val="left"/>
                  </w:pPr>
                  <w:r>
                    <w:rPr>
                      <w:rFonts w:ascii="仿宋_GB2312" w:hAnsi="仿宋_GB2312" w:cs="仿宋_GB2312" w:eastAsia="仿宋_GB2312"/>
                      <w:sz w:val="24"/>
                      <w:color w:val="000000"/>
                    </w:rPr>
                    <w:t>检测器类型：高灵敏度荧光</w:t>
                  </w:r>
                </w:p>
                <w:p>
                  <w:pPr>
                    <w:pStyle w:val="null3"/>
                    <w:numPr>
                      <w:ilvl w:val="0"/>
                      <w:numId w:val="1"/>
                    </w:numPr>
                    <w:jc w:val="left"/>
                  </w:pPr>
                  <w:r>
                    <w:rPr>
                      <w:rFonts w:ascii="仿宋_GB2312" w:hAnsi="仿宋_GB2312" w:cs="仿宋_GB2312" w:eastAsia="仿宋_GB2312"/>
                      <w:sz w:val="24"/>
                      <w:color w:val="000000"/>
                    </w:rPr>
                    <w:t>激发波长范围：</w:t>
                  </w:r>
                  <w:r>
                    <w:rPr>
                      <w:rFonts w:ascii="仿宋_GB2312" w:hAnsi="仿宋_GB2312" w:cs="仿宋_GB2312" w:eastAsia="仿宋_GB2312"/>
                      <w:sz w:val="24"/>
                      <w:color w:val="000000"/>
                    </w:rPr>
                    <w:t>200-880 nm</w:t>
                  </w:r>
                </w:p>
                <w:p>
                  <w:pPr>
                    <w:pStyle w:val="null3"/>
                    <w:numPr>
                      <w:ilvl w:val="0"/>
                      <w:numId w:val="1"/>
                    </w:numPr>
                    <w:jc w:val="left"/>
                  </w:pPr>
                  <w:r>
                    <w:rPr>
                      <w:rFonts w:ascii="仿宋_GB2312" w:hAnsi="仿宋_GB2312" w:cs="仿宋_GB2312" w:eastAsia="仿宋_GB2312"/>
                      <w:sz w:val="24"/>
                      <w:color w:val="000000"/>
                    </w:rPr>
                    <w:t>发射波长范围：</w:t>
                  </w:r>
                  <w:r>
                    <w:rPr>
                      <w:rFonts w:ascii="仿宋_GB2312" w:hAnsi="仿宋_GB2312" w:cs="仿宋_GB2312" w:eastAsia="仿宋_GB2312"/>
                      <w:sz w:val="24"/>
                      <w:color w:val="000000"/>
                    </w:rPr>
                    <w:t>265-900 nm</w:t>
                  </w:r>
                </w:p>
                <w:p>
                  <w:pPr>
                    <w:pStyle w:val="null3"/>
                    <w:numPr>
                      <w:ilvl w:val="0"/>
                      <w:numId w:val="1"/>
                    </w:numPr>
                    <w:jc w:val="left"/>
                  </w:pPr>
                  <w:r>
                    <w:rPr>
                      <w:rFonts w:ascii="仿宋_GB2312" w:hAnsi="仿宋_GB2312" w:cs="仿宋_GB2312" w:eastAsia="仿宋_GB2312"/>
                      <w:sz w:val="24"/>
                      <w:color w:val="000000"/>
                    </w:rPr>
                    <w:t>流通池：标准流通池，</w:t>
                  </w:r>
                  <w:r>
                    <w:rPr>
                      <w:rFonts w:ascii="仿宋_GB2312" w:hAnsi="仿宋_GB2312" w:cs="仿宋_GB2312" w:eastAsia="仿宋_GB2312"/>
                      <w:sz w:val="24"/>
                      <w:color w:val="000000"/>
                    </w:rPr>
                    <w:t xml:space="preserve">8 µL，生物兼容，流通池最大压力 </w:t>
                  </w:r>
                  <w:r>
                    <w:rPr>
                      <w:rFonts w:ascii="仿宋_GB2312" w:hAnsi="仿宋_GB2312" w:cs="仿宋_GB2312" w:eastAsia="仿宋_GB2312"/>
                      <w:sz w:val="24"/>
                      <w:color w:val="000000"/>
                    </w:rPr>
                    <w:t>≥</w:t>
                  </w:r>
                  <w:r>
                    <w:rPr>
                      <w:rFonts w:ascii="仿宋_GB2312" w:hAnsi="仿宋_GB2312" w:cs="仿宋_GB2312" w:eastAsia="仿宋_GB2312"/>
                      <w:sz w:val="24"/>
                      <w:color w:val="000000"/>
                    </w:rPr>
                    <w:t>20 bar（290 psi）</w:t>
                  </w:r>
                </w:p>
                <w:p>
                  <w:pPr>
                    <w:pStyle w:val="null3"/>
                    <w:numPr>
                      <w:ilvl w:val="0"/>
                      <w:numId w:val="1"/>
                    </w:numPr>
                    <w:jc w:val="left"/>
                  </w:pPr>
                  <w:r>
                    <w:rPr>
                      <w:rFonts w:ascii="仿宋_GB2312" w:hAnsi="仿宋_GB2312" w:cs="仿宋_GB2312" w:eastAsia="仿宋_GB2312"/>
                      <w:sz w:val="24"/>
                      <w:color w:val="000000"/>
                    </w:rPr>
                    <w:t>流通池恒温器：环境温度</w:t>
                  </w:r>
                  <w:r>
                    <w:rPr>
                      <w:rFonts w:ascii="仿宋_GB2312" w:hAnsi="仿宋_GB2312" w:cs="仿宋_GB2312" w:eastAsia="仿宋_GB2312"/>
                      <w:sz w:val="24"/>
                      <w:color w:val="000000"/>
                    </w:rPr>
                    <w:t>+15°C 至 50°C</w:t>
                  </w:r>
                </w:p>
                <w:p>
                  <w:pPr>
                    <w:pStyle w:val="null3"/>
                    <w:numPr>
                      <w:ilvl w:val="0"/>
                      <w:numId w:val="1"/>
                    </w:numPr>
                    <w:jc w:val="left"/>
                  </w:pPr>
                  <w:r>
                    <w:rPr>
                      <w:rFonts w:ascii="仿宋_GB2312" w:hAnsi="仿宋_GB2312" w:cs="仿宋_GB2312" w:eastAsia="仿宋_GB2312"/>
                      <w:sz w:val="24"/>
                      <w:color w:val="000000"/>
                    </w:rPr>
                    <w:t>GLP特性：预测性能功能：灯使用时间、泄露检测、维护监测周期、光栅和滤波器移动、PMT 工作量。全部系统参数都记录在 Chromeleon 色谱分析数据系统（CDS）审计追踪内。</w:t>
                  </w:r>
                </w:p>
                <w:p>
                  <w:pPr>
                    <w:pStyle w:val="null3"/>
                    <w:numPr>
                      <w:ilvl w:val="0"/>
                      <w:numId w:val="1"/>
                    </w:numPr>
                    <w:jc w:val="left"/>
                  </w:pPr>
                  <w:r>
                    <w:rPr>
                      <w:rFonts w:ascii="仿宋_GB2312" w:hAnsi="仿宋_GB2312" w:cs="仿宋_GB2312" w:eastAsia="仿宋_GB2312"/>
                      <w:sz w:val="24"/>
                      <w:color w:val="000000"/>
                    </w:rPr>
                    <w:t>适用于：</w:t>
                  </w:r>
                  <w:r>
                    <w:rPr>
                      <w:rFonts w:ascii="仿宋_GB2312" w:hAnsi="仿宋_GB2312" w:cs="仿宋_GB2312" w:eastAsia="仿宋_GB2312"/>
                      <w:sz w:val="24"/>
                      <w:color w:val="000000"/>
                    </w:rPr>
                    <w:t>Vanquish UHPLC 系统</w:t>
                  </w:r>
                </w:p>
                <w:p>
                  <w:pPr>
                    <w:pStyle w:val="null3"/>
                    <w:numPr>
                      <w:ilvl w:val="0"/>
                      <w:numId w:val="1"/>
                    </w:numPr>
                    <w:jc w:val="left"/>
                  </w:pP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 xml:space="preserve">Raman S/N：在灯的整个使用寿命内为 </w:t>
                  </w:r>
                  <w:r>
                    <w:rPr>
                      <w:rFonts w:ascii="仿宋_GB2312" w:hAnsi="仿宋_GB2312" w:cs="仿宋_GB2312" w:eastAsia="仿宋_GB2312"/>
                      <w:sz w:val="24"/>
                      <w:color w:val="000000"/>
                    </w:rPr>
                    <w:t>≥</w:t>
                  </w:r>
                  <w:r>
                    <w:rPr>
                      <w:rFonts w:ascii="仿宋_GB2312" w:hAnsi="仿宋_GB2312" w:cs="仿宋_GB2312" w:eastAsia="仿宋_GB2312"/>
                      <w:sz w:val="24"/>
                      <w:color w:val="000000"/>
                    </w:rPr>
                    <w:t>550 ASTM（使用暗信号作为噪声参考时为</w:t>
                  </w:r>
                  <w:r>
                    <w:rPr>
                      <w:rFonts w:ascii="仿宋_GB2312" w:hAnsi="仿宋_GB2312" w:cs="仿宋_GB2312" w:eastAsia="仿宋_GB2312"/>
                      <w:sz w:val="24"/>
                      <w:color w:val="000000"/>
                    </w:rPr>
                    <w:t>≥</w:t>
                  </w:r>
                  <w:r>
                    <w:rPr>
                      <w:rFonts w:ascii="仿宋_GB2312" w:hAnsi="仿宋_GB2312" w:cs="仿宋_GB2312" w:eastAsia="仿宋_GB2312"/>
                      <w:sz w:val="24"/>
                      <w:color w:val="000000"/>
                    </w:rPr>
                    <w:t>2100）</w:t>
                  </w:r>
                </w:p>
              </w:tc>
              <w:tc>
                <w:tcPr>
                  <w:tcW w:type="dxa" w:w="270"/>
                  <w:vMerge/>
                  <w:tcBorders>
                    <w:top w:val="none" w:color="000000" w:sz="4"/>
                    <w:left w:val="none" w:color="000000" w:sz="4"/>
                    <w:bottom w:val="none" w:color="000000" w:sz="4"/>
                    <w:right w:val="single" w:color="000000" w:sz="4"/>
                  </w:tcBorders>
                </w:tcPr>
                <w:p/>
              </w:tc>
              <w:tc>
                <w:tcPr>
                  <w:tcW w:type="dxa" w:w="23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二、付款方式</w:t>
            </w:r>
            <w:r>
              <w:br/>
            </w:r>
            <w:r>
              <w:rPr>
                <w:rFonts w:ascii="仿宋_GB2312" w:hAnsi="仿宋_GB2312" w:cs="仿宋_GB2312" w:eastAsia="仿宋_GB2312"/>
                <w:sz w:val="24"/>
              </w:rPr>
              <w:t xml:space="preserve"> 供应商须自行选择以下任一付款方式。只能唯一响应，不接受选择性响应，否则视为未实质性响应招标文件要求。</w:t>
            </w:r>
            <w:r>
              <w:br/>
            </w:r>
            <w:r>
              <w:rPr>
                <w:rFonts w:ascii="仿宋_GB2312" w:hAnsi="仿宋_GB2312" w:cs="仿宋_GB2312" w:eastAsia="仿宋_GB2312"/>
                <w:sz w:val="24"/>
              </w:rPr>
              <w:t xml:space="preserve"> 选择付款方式必须与投标文件中供货期相符。</w:t>
            </w:r>
            <w:r>
              <w:br/>
            </w:r>
            <w:r>
              <w:rPr>
                <w:rFonts w:ascii="仿宋_GB2312" w:hAnsi="仿宋_GB2312" w:cs="仿宋_GB2312" w:eastAsia="仿宋_GB2312"/>
                <w:sz w:val="24"/>
              </w:rPr>
              <w:t xml:space="preserve"> 方式一（仅限2025年12月22日前无法验收合格的进口产品项目）：</w:t>
            </w:r>
            <w:r>
              <w:br/>
            </w:r>
            <w:r>
              <w:rPr>
                <w:rFonts w:ascii="仿宋_GB2312" w:hAnsi="仿宋_GB2312" w:cs="仿宋_GB2312" w:eastAsia="仿宋_GB2312"/>
                <w:sz w:val="24"/>
              </w:rPr>
              <w:t xml:space="preserve"> 1.设备进口减免税手续由采购人指定的进出口外贸公司办理（外贸代理服务费由中标人承担），采购人可协助提供相关资料。</w:t>
            </w:r>
            <w:r>
              <w:br/>
            </w:r>
            <w:r>
              <w:rPr>
                <w:rFonts w:ascii="仿宋_GB2312" w:hAnsi="仿宋_GB2312" w:cs="仿宋_GB2312" w:eastAsia="仿宋_GB2312"/>
                <w:sz w:val="24"/>
              </w:rPr>
              <w:t xml:space="preserve"> 2.合同签订后，采购人将100%合同金额款项转入由进出口外贸公司、采购人及相关银行的三方监管账户，项目验收合格后解付监管账户相关资金。</w:t>
            </w:r>
            <w:r>
              <w:br/>
            </w:r>
            <w:r>
              <w:rPr>
                <w:rFonts w:ascii="仿宋_GB2312" w:hAnsi="仿宋_GB2312" w:cs="仿宋_GB2312" w:eastAsia="仿宋_GB2312"/>
                <w:sz w:val="24"/>
              </w:rPr>
              <w:t xml:space="preserve"> 3.中标人在签订合同前须向采购人交纳中标金额的5%做为履约保证金，待验收合格后，无异议，供货商提交申请，使用部门签字确认后一次性无息退还。</w:t>
            </w:r>
            <w:r>
              <w:br/>
            </w:r>
            <w:r>
              <w:rPr>
                <w:rFonts w:ascii="仿宋_GB2312" w:hAnsi="仿宋_GB2312" w:cs="仿宋_GB2312" w:eastAsia="仿宋_GB2312"/>
                <w:sz w:val="24"/>
              </w:rPr>
              <w:t xml:space="preserve"> 方式二（仅限2025年12月22日前验收合格的进口项目）：</w:t>
            </w:r>
            <w:r>
              <w:br/>
            </w:r>
            <w:r>
              <w:rPr>
                <w:rFonts w:ascii="仿宋_GB2312" w:hAnsi="仿宋_GB2312" w:cs="仿宋_GB2312" w:eastAsia="仿宋_GB2312"/>
                <w:sz w:val="24"/>
              </w:rPr>
              <w:t xml:space="preserve"> 1.设备进口减免税手续由采购人指定的进出口外贸公司办理（外贸代理服务费由中标人承担），采购人可协助提供相关资料。</w:t>
            </w:r>
            <w:r>
              <w:br/>
            </w:r>
            <w:r>
              <w:rPr>
                <w:rFonts w:ascii="仿宋_GB2312" w:hAnsi="仿宋_GB2312" w:cs="仿宋_GB2312" w:eastAsia="仿宋_GB2312"/>
                <w:sz w:val="24"/>
              </w:rPr>
              <w:t xml:space="preserve"> 2.发票在货到验收合格后由中标人委托的外贸代理机构开具给采购人。</w:t>
            </w:r>
            <w:r>
              <w:br/>
            </w:r>
            <w:r>
              <w:rPr>
                <w:rFonts w:ascii="仿宋_GB2312" w:hAnsi="仿宋_GB2312" w:cs="仿宋_GB2312" w:eastAsia="仿宋_GB2312"/>
                <w:sz w:val="24"/>
              </w:rPr>
              <w:t xml:space="preserve"> 2、采购人收到中标人委托的外贸代理机构开具的全额发票后及时向中标人委托的外贸代理机构支付合同总价款的100%。</w:t>
            </w:r>
            <w:r>
              <w:br/>
            </w:r>
            <w:r>
              <w:rPr>
                <w:rFonts w:ascii="仿宋_GB2312" w:hAnsi="仿宋_GB2312" w:cs="仿宋_GB2312" w:eastAsia="仿宋_GB2312"/>
                <w:sz w:val="24"/>
              </w:rPr>
              <w:t xml:space="preserve"> 3、中标人在签订合同前须向采购人交纳中标金额的5%做为履约保证金，待验收合格后，无异议，供货商提交申请，使用部门签字确认后一次性无息退还</w:t>
            </w:r>
            <w:r>
              <w:br/>
            </w:r>
            <w:r>
              <w:rPr>
                <w:rFonts w:ascii="仿宋_GB2312" w:hAnsi="仿宋_GB2312" w:cs="仿宋_GB2312" w:eastAsia="仿宋_GB2312"/>
                <w:sz w:val="24"/>
              </w:rPr>
              <w:t xml:space="preserve"> 方式三（所有国产产品项目）：</w:t>
            </w:r>
            <w:r>
              <w:br/>
            </w:r>
            <w:r>
              <w:rPr>
                <w:rFonts w:ascii="仿宋_GB2312" w:hAnsi="仿宋_GB2312" w:cs="仿宋_GB2312" w:eastAsia="仿宋_GB2312"/>
                <w:sz w:val="24"/>
              </w:rPr>
              <w:t xml:space="preserve"> 1.发票在货到验收合格后由中标人开具给采购人。</w:t>
            </w:r>
            <w:r>
              <w:br/>
            </w:r>
            <w:r>
              <w:rPr>
                <w:rFonts w:ascii="仿宋_GB2312" w:hAnsi="仿宋_GB2312" w:cs="仿宋_GB2312" w:eastAsia="仿宋_GB2312"/>
                <w:sz w:val="24"/>
              </w:rPr>
              <w:t xml:space="preserve"> 2.采购人收到中标人开具的全额增值税专用发票（电子、纸质发票均可，纸质发票须包含发票联、抵扣联）后及时向中标人支付合同总价款的100%。</w:t>
            </w:r>
            <w:r>
              <w:br/>
            </w:r>
            <w:r>
              <w:rPr>
                <w:rFonts w:ascii="仿宋_GB2312" w:hAnsi="仿宋_GB2312" w:cs="仿宋_GB2312" w:eastAsia="仿宋_GB2312"/>
                <w:sz w:val="24"/>
              </w:rPr>
              <w:t xml:space="preserve"> 3.中标人在签订合同前须向采购人交纳中标金额的5%做为履约保证金，待验收合格后，无异议，供货商提交申请，使用部门签字确认后一次性无息退还。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因系统格式限制，具体付款方式详见“二、付款方式”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1、设备到货后，乙方负责安装调试，达到正常运行条件后书面通知甲方验收。 2、安装完成后应提供详细的安装报告，并详细记录各种指示的实测数据。 3、提供完整的操作手册和安装、调试、维修手册；提供制造厂家的检验测试报告或设备出厂检测报告。 4、甲方根据合同要求对设备进行验收、确认设备的产地、规格、型号和数量。验收依据为本合同文本、招投标文件和国内相应的标准、规范。 5、验收合格后，填写设备验收单，并向甲方提交设备所包含的所有资料，以便使用单位日后管理和维护。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1.项目质保期：不低于1年；2.售后服务响应时间（质保期内）：即时响应（包括电话响应）；电话响应无法解决 24 小时内到达现场。修复时间 48 小时内解决；如在 48 小时内无法修复，则要及时提供维修方案。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2、若乙方出现不能供货等违约情况，甲方将不退合同金额5%的履约保证金。 3、未按合同要求提供产品或设备质量不能满足招标的技术要求，甲方有权终止合同，并保留追究乙方违约责任的权利。 4、因供货期迟延的，乙方按照每天1‰向甲方承担违约责任。 5、因产品质量问题违约的，除了按照迟延时间计算违约金外，另可以采取退货、换货等方式，由乙方承担一切费用。</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叁份、电子版（U盘1个）壹份。纸质投标文件建议A4纸双面打印装订成册，密封并加盖公章。邮寄或现场提交均可。若电子投标文件与纸质投标文件不一致的，以电子投标文件为准。 2.邮寄地址：陕西省西安市碑林区陕西高速大厦16楼陕西中经招标有限公司；邮寄联系人：池永霞（029-87888601-8013）；邮寄方式：只受理顺丰快递（不接受顺丰同城邮寄）。 3.供应商若提供电子保函的，开标前请将电子保函扫描件发送至邮箱877581739@qq.com。 4.中标供应商与采购人签订合同后请及时将合同扫描件发送至邮箱877581739@qq.com，以便及时办理保证金退还事宜。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 xml:space="preserve">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 xml:space="preserve"> 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参加本次采购活动前3年内在经营活动中没有重大违纪，以及未被列入失信被执行人、重大税收违法案件当事人名单、政府采购严重违法失信行为记录名单的书面声明原件。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供应商名称与营业执照名称是否一致</w:t>
            </w:r>
          </w:p>
        </w:tc>
        <w:tc>
          <w:tcPr>
            <w:tcW w:type="dxa" w:w="1661"/>
          </w:tcPr>
          <w:p>
            <w:pPr>
              <w:pStyle w:val="null3"/>
            </w:pPr>
            <w:r>
              <w:rPr>
                <w:rFonts w:ascii="仿宋_GB2312" w:hAnsi="仿宋_GB2312" w:cs="仿宋_GB2312" w:eastAsia="仿宋_GB2312"/>
              </w:rPr>
              <w:t>中小企业声明函 商务应答表 供应商应提交的相关资格证明材料 报价表 1供应商基本信息.docx 4技术响应表.docx 响应文件封面 残疾人福利性单位声明函 2资格审查文件附件.docx 3分项报价表.docx 标的清单 项目实施方案 响应函 监狱企业的证明文件 5业绩部分.docx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技术及商务要求是否满足招标文件实质性要求的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投标文件的签字盖章是否按招标文件要求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1供应商基本信息.docx 4技术响应表.docx 响应文件封面 残疾人福利性单位声明函 2资格审查文件附件.docx 3分项报价表.docx 标的清单 项目实施方案 响应函 监狱企业的证明文件 5业绩部分.docx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报价唯一性且是否超过采购预算</w:t>
            </w:r>
          </w:p>
        </w:tc>
        <w:tc>
          <w:tcPr>
            <w:tcW w:type="dxa" w:w="1661"/>
          </w:tcPr>
          <w:p>
            <w:pPr>
              <w:pStyle w:val="null3"/>
            </w:pPr>
            <w:r>
              <w:rPr>
                <w:rFonts w:ascii="仿宋_GB2312" w:hAnsi="仿宋_GB2312" w:cs="仿宋_GB2312" w:eastAsia="仿宋_GB2312"/>
              </w:rPr>
              <w:t>3分项报价表.docx 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详见附件：4技术响应表.docx</w:t>
      </w:r>
    </w:p>
    <w:p>
      <w:pPr>
        <w:pStyle w:val="null3"/>
        <w:ind w:firstLine="960"/>
      </w:pPr>
      <w:r>
        <w:rPr>
          <w:rFonts w:ascii="仿宋_GB2312" w:hAnsi="仿宋_GB2312" w:cs="仿宋_GB2312" w:eastAsia="仿宋_GB2312"/>
        </w:rPr>
        <w:t>详见附件：5业绩部分.docx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详见附件：采购供货合同.docx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