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版本号：HRC-ZBDL-2025-0153520251028001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省级国土空间规划体检项目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HRC-ZBDL-2025-01535</w:t>
      </w:r>
      <w:r>
        <w:br/>
      </w:r>
      <w:r>
        <w:br/>
      </w:r>
      <w:r>
        <w:br/>
      </w:r>
    </w:p>
    <w:p>
      <w:pPr>
        <w:pStyle w:val="null3"/>
        <w:jc w:val="center"/>
        <w:outlineLvl w:val="2"/>
      </w:pPr>
      <w:r>
        <w:rPr>
          <w:rFonts w:ascii="仿宋_GB2312" w:hAnsi="仿宋_GB2312" w:cs="仿宋_GB2312" w:eastAsia="仿宋_GB2312"/>
          <w:sz w:val="28"/>
          <w:b/>
        </w:rPr>
        <w:t>陕西省国土空间勘测规划院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陕西省国土空间勘测规划院</w:t>
      </w:r>
      <w:r>
        <w:rPr>
          <w:rFonts w:ascii="仿宋_GB2312" w:hAnsi="仿宋_GB2312" w:cs="仿宋_GB2312" w:eastAsia="仿宋_GB2312"/>
        </w:rPr>
        <w:t>委托，拟对</w:t>
      </w:r>
      <w:r>
        <w:rPr>
          <w:rFonts w:ascii="仿宋_GB2312" w:hAnsi="仿宋_GB2312" w:cs="仿宋_GB2312" w:eastAsia="仿宋_GB2312"/>
        </w:rPr>
        <w:t>省级国土空间规划体检项目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HRC-ZBDL-2025-01535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省级国土空间规划体检项目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立足陕西省实际，精确把握自然地理特征、经济社会发展阶段、资源环境承载能力等省情，充分对标省级国土空间规划定位和目标任务，按照“批什么就评估什么”的原则，深入准确分析总结国土空间开发保护中存在的关键问题。紧密结合自然资源管理和国土空间规划“一张图”和国土空间规划实施监测网络等数字化场景建设，聚焦规划实施中的关键变量和核心任务，推动规划评估动态化、数字化、智慧化转型。贯彻落实党中央、国务院对规划的批复要求，强化纵向协同机制，通过国土空间规划实施监测网络用好市级国土空间规划年度体检成果和数据，保障评估工作的科学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采购包1（省级国土空间规划体检项目）：属于专门面向中小企业采购。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2、资质证书：供应商应当具备主管部门颁发的城乡规划编制单位乙级及以上资质。</w:t>
      </w:r>
    </w:p>
    <w:p>
      <w:pPr>
        <w:pStyle w:val="null3"/>
      </w:pPr>
      <w:r>
        <w:rPr>
          <w:rFonts w:ascii="仿宋_GB2312" w:hAnsi="仿宋_GB2312" w:cs="仿宋_GB2312" w:eastAsia="仿宋_GB2312"/>
        </w:rPr>
        <w:t>3、财务状况报告：提供2024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5、税收缴纳证明：提供磋商截止日前一年内已缴纳的至少六个月的纳税证明或完税证明，依法免税的单位应提供相关证明材料；供应商需在项目电子化交易系统中按要求上传相应证明文件并进行电子签章。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12、专门面向中小微企业采购：本项目专门面向中小企业采购，仅限符合《政府采购促进中小企业发展管理办法》（财库〔2020〕46号）条件的中小企业参与，提供中小企业声明函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陕西省国土空间勘测规划院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陕西省国土空间勘测规划院经办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029-87513456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代理服务费收费标准：代理服务费由成交供应商在办理成交通知书手续之前向采购代理机构缴纳。采购代理服务费：参照国家计委[2002]1980号文件规定的服务类标准以成交金额为基准价按标准收取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陕西省国土空间勘测规划院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陕西省国土空间勘测规划院</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陕西省国土空间勘测规划院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按磋商文件、投标文件及合同约定执行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地址：雁翔路南三环3269号旺座曲江E座30层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立足陕西省实际，精确把握自然地理特征、经济社会发展阶段、资源环境承载能力等省情，充分对标省级国土空间规划定位和目标任务，按照“批什么就评估什么”的原则，深入准确分析总结国土空间开发保护中存在的关键问题。紧密结合自然资源管理和国土空间规划“一张图”和国土空间规划实施监测网络等数字化场景建设，聚焦规划实施中的关键变量和核心任务，推动规划评估动态化、数字化、智慧化转型。贯彻落实党中央、国务院对规划的批复要求，强化纵向协同机制，通过国土空间规划实施监测网络用好市级国土空间规划年度体检成果和数据，保障评估工作的科学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966,000.00</w:t>
      </w:r>
    </w:p>
    <w:p>
      <w:pPr>
        <w:pStyle w:val="null3"/>
      </w:pPr>
      <w:r>
        <w:rPr>
          <w:rFonts w:ascii="仿宋_GB2312" w:hAnsi="仿宋_GB2312" w:cs="仿宋_GB2312" w:eastAsia="仿宋_GB2312"/>
        </w:rPr>
        <w:t>采购包最高限价（元）: 966,000.00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省级国土空间规划体检项目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966,000.00</w:t>
            </w:r>
          </w:p>
        </w:tc>
        <w:tc>
          <w:tcPr>
            <w:tcW w:type="dxa" w:w="831"/>
          </w:tcPr>
          <w:p>
            <w:pPr>
              <w:pStyle w:val="null3"/>
            </w:pPr>
            <w:r>
              <w:rPr>
                <w:rFonts w:ascii="仿宋_GB2312" w:hAnsi="仿宋_GB2312" w:cs="仿宋_GB2312" w:eastAsia="仿宋_GB2312"/>
              </w:rPr>
              <w:t>966000.00</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标的名称：省级国土空间规划体检项目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服务期限</w:t>
            </w:r>
            <w:r>
              <w:rPr>
                <w:rFonts w:ascii="仿宋_GB2312" w:hAnsi="仿宋_GB2312" w:cs="仿宋_GB2312" w:eastAsia="仿宋_GB2312"/>
                <w:sz w:val="21"/>
                <w:color w:val="000000"/>
              </w:rPr>
              <w:t>：自合同签订之日起至2025年11月30日。（具体以合同约</w:t>
            </w:r>
            <w:r>
              <w:rPr>
                <w:rFonts w:ascii="仿宋_GB2312" w:hAnsi="仿宋_GB2312" w:cs="仿宋_GB2312" w:eastAsia="仿宋_GB2312"/>
                <w:sz w:val="24"/>
                <w:color w:val="000000"/>
              </w:rPr>
              <w:t>定</w:t>
            </w:r>
            <w:r>
              <w:rPr>
                <w:rFonts w:ascii="仿宋_GB2312" w:hAnsi="仿宋_GB2312" w:cs="仿宋_GB2312" w:eastAsia="仿宋_GB2312"/>
                <w:sz w:val="24"/>
                <w:color w:val="000000"/>
              </w:rPr>
              <w:t>为准）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服务质量：合格。</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一、项目要求</w:t>
            </w:r>
          </w:p>
          <w:p>
            <w:pPr>
              <w:pStyle w:val="null3"/>
              <w:ind w:firstLine="480"/>
              <w:jc w:val="both"/>
            </w:pPr>
            <w:r>
              <w:rPr>
                <w:rFonts w:ascii="仿宋_GB2312" w:hAnsi="仿宋_GB2312" w:cs="仿宋_GB2312" w:eastAsia="仿宋_GB2312"/>
                <w:sz w:val="24"/>
              </w:rPr>
              <w:t>立足陕西省实际，精确把握自然地理特征、经济社会发展阶段、资源环境承载能力等省情，充分对标省级国土空间规划定位和目标任务，按照</w:t>
            </w:r>
            <w:r>
              <w:rPr>
                <w:rFonts w:ascii="仿宋_GB2312" w:hAnsi="仿宋_GB2312" w:cs="仿宋_GB2312" w:eastAsia="仿宋_GB2312"/>
                <w:sz w:val="24"/>
              </w:rPr>
              <w:t>“批什么就评估什么”的原则，深入准确分析总结国土空间开发保护中存在的关键问题。紧密结合自然资源管理和国土空间规划“一张图”和国土空间规划实施监测网络等数字化场景建设，聚焦规划实施中的关键变量和核心任务，推动规划评估动态化、数字化、智慧化转型。贯彻落实党中央、国务院对规划的批复要求，强化纵向协同机制，通过国土空间规划实施监测网络用好市级国土空间规划年度体检成果和数据，保障评估工作的科学性。</w:t>
            </w:r>
          </w:p>
          <w:p>
            <w:pPr>
              <w:pStyle w:val="null3"/>
              <w:ind w:firstLine="480"/>
              <w:jc w:val="both"/>
            </w:pPr>
            <w:r>
              <w:rPr>
                <w:rFonts w:ascii="仿宋_GB2312" w:hAnsi="仿宋_GB2312" w:cs="仿宋_GB2312" w:eastAsia="仿宋_GB2312"/>
                <w:sz w:val="24"/>
              </w:rPr>
              <w:t>二、任务划分</w:t>
            </w:r>
          </w:p>
          <w:p>
            <w:pPr>
              <w:pStyle w:val="null3"/>
              <w:ind w:firstLine="480"/>
              <w:jc w:val="both"/>
            </w:pPr>
            <w:r>
              <w:rPr>
                <w:rFonts w:ascii="仿宋_GB2312" w:hAnsi="仿宋_GB2312" w:cs="仿宋_GB2312" w:eastAsia="仿宋_GB2312"/>
                <w:sz w:val="24"/>
              </w:rPr>
              <w:t>不分包：完成省级国土空间规划体检项目的全部内容。</w:t>
            </w:r>
          </w:p>
          <w:p>
            <w:pPr>
              <w:pStyle w:val="null3"/>
              <w:ind w:firstLine="480"/>
              <w:jc w:val="both"/>
            </w:pPr>
            <w:r>
              <w:rPr>
                <w:rFonts w:ascii="仿宋_GB2312" w:hAnsi="仿宋_GB2312" w:cs="仿宋_GB2312" w:eastAsia="仿宋_GB2312"/>
                <w:sz w:val="24"/>
              </w:rPr>
              <w:t>三、工作内容</w:t>
            </w:r>
          </w:p>
          <w:p>
            <w:pPr>
              <w:pStyle w:val="null3"/>
              <w:ind w:firstLine="480"/>
              <w:jc w:val="both"/>
            </w:pPr>
            <w:r>
              <w:rPr>
                <w:rFonts w:ascii="仿宋_GB2312" w:hAnsi="仿宋_GB2312" w:cs="仿宋_GB2312" w:eastAsia="仿宋_GB2312"/>
                <w:sz w:val="24"/>
              </w:rPr>
              <w:t>省级国土空间规划体检评估要贯彻落实党中央、国务院对规划的批复要求，主要内容包括：（党中央、国务院决策部署及国家重大战略在本地区落实情况；省级党委、政府部署及省级发展重大战略、重要平台、重大项目保障情况；规划定位和国土空间目标指标落实情况；主体功能区格局和</w:t>
            </w:r>
            <w:r>
              <w:rPr>
                <w:rFonts w:ascii="仿宋_GB2312" w:hAnsi="仿宋_GB2312" w:cs="仿宋_GB2312" w:eastAsia="仿宋_GB2312"/>
                <w:sz w:val="24"/>
              </w:rPr>
              <w:t>“三区三线”等安全底线协调落实情况；城镇空间布局和城乡融合发展情况，以及城市群、都市圈等区域协调重点地区空间协同情况；重要基础设施、公共服务设施配置情况；自然保护地体系建设情况，历史文化保护与国土空间规划衔接情况；重大项目、重点任务、重要行动落实情况；国土空间规划“一张图”建设及对专项规划统筹情况；国土空间规划委员会、规划法制、政策标准等实施保障体系建设情况；面临的新形势新要求；规划实施中的矛盾问题及工作、规则建议等。</w:t>
            </w:r>
          </w:p>
          <w:p>
            <w:pPr>
              <w:pStyle w:val="null3"/>
              <w:ind w:firstLine="480"/>
              <w:jc w:val="both"/>
            </w:pPr>
            <w:r>
              <w:rPr>
                <w:rFonts w:ascii="仿宋_GB2312" w:hAnsi="仿宋_GB2312" w:cs="仿宋_GB2312" w:eastAsia="仿宋_GB2312"/>
                <w:sz w:val="24"/>
              </w:rPr>
              <w:t>（一）制定工作方案、技术方案</w:t>
            </w:r>
          </w:p>
          <w:p>
            <w:pPr>
              <w:pStyle w:val="null3"/>
              <w:ind w:firstLine="480"/>
              <w:jc w:val="both"/>
            </w:pPr>
            <w:r>
              <w:rPr>
                <w:rFonts w:ascii="仿宋_GB2312" w:hAnsi="仿宋_GB2312" w:cs="仿宋_GB2312" w:eastAsia="仿宋_GB2312"/>
                <w:sz w:val="24"/>
              </w:rPr>
              <w:t>制定年度体检工作方案，明确总体要求、工作任务、进度计划、责任分工、组织保障等内容，确保省级国土空间规划实施年度体检工作安排部署、组织领导、实施推进到位。制定技术方案，明确评估数据来源、指标体系、技术流程、评估方法等内容，做好省级国土空间规划实施年度体检工作提供技术支撑。</w:t>
            </w:r>
          </w:p>
          <w:p>
            <w:pPr>
              <w:pStyle w:val="null3"/>
              <w:ind w:firstLine="480"/>
              <w:jc w:val="both"/>
            </w:pPr>
            <w:r>
              <w:rPr>
                <w:rFonts w:ascii="仿宋_GB2312" w:hAnsi="仿宋_GB2312" w:cs="仿宋_GB2312" w:eastAsia="仿宋_GB2312"/>
                <w:sz w:val="24"/>
              </w:rPr>
              <w:t>（二）构建指标体系</w:t>
            </w:r>
          </w:p>
          <w:p>
            <w:pPr>
              <w:pStyle w:val="null3"/>
              <w:ind w:firstLine="480"/>
              <w:jc w:val="both"/>
            </w:pPr>
            <w:r>
              <w:rPr>
                <w:rFonts w:ascii="仿宋_GB2312" w:hAnsi="仿宋_GB2312" w:cs="仿宋_GB2312" w:eastAsia="仿宋_GB2312"/>
                <w:sz w:val="24"/>
              </w:rPr>
              <w:t>建立指标体系</w:t>
            </w:r>
            <w:r>
              <w:rPr>
                <w:rFonts w:ascii="仿宋_GB2312" w:hAnsi="仿宋_GB2312" w:cs="仿宋_GB2312" w:eastAsia="仿宋_GB2312"/>
                <w:sz w:val="24"/>
              </w:rPr>
              <w:t>,包括基本指标、推荐指标和自选指标。在基本指标的基础上，可结合本地发展阶段选择推荐指标，也可与地方实际紧密结合，另行增设城市发展中与时空紧密关联，体现质量、效率、结构和品质的自选指标。</w:t>
            </w:r>
          </w:p>
          <w:p>
            <w:pPr>
              <w:pStyle w:val="null3"/>
              <w:ind w:firstLine="480"/>
              <w:jc w:val="both"/>
            </w:pPr>
            <w:r>
              <w:rPr>
                <w:rFonts w:ascii="仿宋_GB2312" w:hAnsi="仿宋_GB2312" w:cs="仿宋_GB2312" w:eastAsia="仿宋_GB2312"/>
                <w:sz w:val="24"/>
              </w:rPr>
              <w:t>（三）开展体检专题研究</w:t>
            </w:r>
          </w:p>
          <w:p>
            <w:pPr>
              <w:pStyle w:val="null3"/>
              <w:ind w:firstLine="480"/>
              <w:jc w:val="both"/>
            </w:pPr>
            <w:r>
              <w:rPr>
                <w:rFonts w:ascii="仿宋_GB2312" w:hAnsi="仿宋_GB2312" w:cs="仿宋_GB2312" w:eastAsia="仿宋_GB2312"/>
                <w:sz w:val="24"/>
              </w:rPr>
              <w:t>1.年度永久基本农田保护情况专题报告</w:t>
            </w:r>
          </w:p>
          <w:p>
            <w:pPr>
              <w:pStyle w:val="null3"/>
              <w:ind w:firstLine="480"/>
              <w:jc w:val="both"/>
            </w:pPr>
            <w:r>
              <w:rPr>
                <w:rFonts w:ascii="仿宋_GB2312" w:hAnsi="仿宋_GB2312" w:cs="仿宋_GB2312" w:eastAsia="仿宋_GB2312"/>
                <w:sz w:val="24"/>
              </w:rPr>
              <w:t>报告需至少包括以下内容</w:t>
            </w:r>
            <w:r>
              <w:rPr>
                <w:rFonts w:ascii="仿宋_GB2312" w:hAnsi="仿宋_GB2312" w:cs="仿宋_GB2312" w:eastAsia="仿宋_GB2312"/>
                <w:sz w:val="24"/>
              </w:rPr>
              <w:t>:①总体情况。包括永久基本农田保护任务完成情况、利用现状情况、年度内调入调出情况、储备区建设情况、与高标准农田建设统筹推进情况、全域土地综合整治优化永久基本农田情况等。②布局优化评估情况。按照《永久基本农田保护红线管理办法》规定，对“辖区内永久基本农田存在移民搬迁后不适宜耕种的地块、零星破碎地块，位于坡度15度以上、国家批准的退耕还林还草范围、生态脆弱地区、地下水超采区、河湖管理范围内以及列入严格管控类且无法恢复治理、灾毁和采矿损毁无法修复等难以长期稳定利用的耕地等地块，或者经核实不符合划入永久基本农田要求的地块”等进行重点分析评估，并结合过渡期方案编制情况，提出正向优化的建议。</w:t>
            </w:r>
          </w:p>
          <w:p>
            <w:pPr>
              <w:pStyle w:val="null3"/>
              <w:ind w:firstLine="480"/>
              <w:jc w:val="both"/>
            </w:pPr>
            <w:r>
              <w:rPr>
                <w:rFonts w:ascii="仿宋_GB2312" w:hAnsi="仿宋_GB2312" w:cs="仿宋_GB2312" w:eastAsia="仿宋_GB2312"/>
                <w:sz w:val="24"/>
              </w:rPr>
              <w:t>2.年度生态保护红线保护成效评估专题报告</w:t>
            </w:r>
          </w:p>
          <w:p>
            <w:pPr>
              <w:pStyle w:val="null3"/>
              <w:ind w:firstLine="480"/>
              <w:jc w:val="both"/>
            </w:pPr>
            <w:r>
              <w:rPr>
                <w:rFonts w:ascii="仿宋_GB2312" w:hAnsi="仿宋_GB2312" w:cs="仿宋_GB2312" w:eastAsia="仿宋_GB2312"/>
                <w:sz w:val="24"/>
              </w:rPr>
              <w:t>报告需至少包括以下内容</w:t>
            </w:r>
            <w:r>
              <w:rPr>
                <w:rFonts w:ascii="仿宋_GB2312" w:hAnsi="仿宋_GB2312" w:cs="仿宋_GB2312" w:eastAsia="仿宋_GB2312"/>
                <w:sz w:val="24"/>
              </w:rPr>
              <w:t>:①总体情况。包括生态保护红线面积变化、管理制度建设、允许有限人为活动认定、生态保护修复项目实施、生态产品价值实现、勘界定标、社会宣传等情况。②保护成效评估情况。按照《生态保护红线监测和保护成效评估技术指南》有关要求，从用地类型变化、生态系统质量变化、管理能力建设三个方面，对辖区内生态保护红线开展保护成效评估，并结合评估结果，提出完善生态保护红线管理制度的有关建议。③布局优化有关情况。在不突破省级国土空间规划和国务院批复城市国土空间总体规划确定的生态保护红线面积前提下，对“生态保护红线内经评估确需调出的区域、生态保护红线外符合划定规则应划入的区域、生态保护红线外围边界需要勘正的区域”进行评估论证，并提出局部优化的建议。</w:t>
            </w:r>
          </w:p>
          <w:p>
            <w:pPr>
              <w:pStyle w:val="null3"/>
              <w:ind w:firstLine="480"/>
              <w:jc w:val="both"/>
            </w:pPr>
            <w:r>
              <w:rPr>
                <w:rFonts w:ascii="仿宋_GB2312" w:hAnsi="仿宋_GB2312" w:cs="仿宋_GB2312" w:eastAsia="仿宋_GB2312"/>
                <w:sz w:val="24"/>
              </w:rPr>
              <w:t>3.年度城镇开发边界管理情况评估专题报告</w:t>
            </w:r>
          </w:p>
          <w:p>
            <w:pPr>
              <w:pStyle w:val="null3"/>
              <w:ind w:firstLine="480"/>
              <w:jc w:val="both"/>
            </w:pPr>
            <w:r>
              <w:rPr>
                <w:rFonts w:ascii="仿宋_GB2312" w:hAnsi="仿宋_GB2312" w:cs="仿宋_GB2312" w:eastAsia="仿宋_GB2312"/>
                <w:sz w:val="24"/>
              </w:rPr>
              <w:t>报告需至少包括以下内容</w:t>
            </w:r>
            <w:r>
              <w:rPr>
                <w:rFonts w:ascii="仿宋_GB2312" w:hAnsi="仿宋_GB2312" w:cs="仿宋_GB2312" w:eastAsia="仿宋_GB2312"/>
                <w:sz w:val="24"/>
              </w:rPr>
              <w:t>:①总体情况。在各级国土空间总体规划引领下，城镇开发边界引导城镇人口、产业和用地合理布局、优化城市空间结构和促进城市内涵式发展的情况，城镇开发边界对近期经济社会发展空间需求的适应性，以及城镇开发边界的优化调整和实施管理情况。②具体实施情况。按照《关于做好城镇开开发边界管理的通知(试行)》(自然资发函〔2023〕193号)文件等相关要求，从城镇开发边界的空间规模约束、开发时序调控、空间结构布局优化、用地效率提升和城市特色塑造等方面进行分析评估。</w:t>
            </w:r>
          </w:p>
          <w:p>
            <w:pPr>
              <w:pStyle w:val="null3"/>
              <w:ind w:firstLine="480"/>
              <w:jc w:val="both"/>
            </w:pPr>
            <w:r>
              <w:rPr>
                <w:rFonts w:ascii="仿宋_GB2312" w:hAnsi="仿宋_GB2312" w:cs="仿宋_GB2312" w:eastAsia="仿宋_GB2312"/>
                <w:sz w:val="24"/>
              </w:rPr>
              <w:t>（四）形成陕西省省级国土空间规划年度体检报告</w:t>
            </w:r>
          </w:p>
          <w:p>
            <w:pPr>
              <w:pStyle w:val="null3"/>
              <w:ind w:firstLine="480"/>
              <w:jc w:val="both"/>
            </w:pPr>
            <w:r>
              <w:rPr>
                <w:rFonts w:ascii="仿宋_GB2312" w:hAnsi="仿宋_GB2312" w:cs="仿宋_GB2312" w:eastAsia="仿宋_GB2312"/>
                <w:sz w:val="24"/>
              </w:rPr>
              <w:t>省级体检报告中，可分三个层面对有关工作、规则提出合理建议。</w:t>
            </w:r>
            <w:r>
              <w:rPr>
                <w:rFonts w:ascii="仿宋_GB2312" w:hAnsi="仿宋_GB2312" w:cs="仿宋_GB2312" w:eastAsia="仿宋_GB2312"/>
                <w:sz w:val="24"/>
              </w:rPr>
              <w:t>①对国家层面，可从健全完善规划实施管理政策规则，在不突破规划约束性指标前提下对规划进行年度动态维护的情形(调整个别县级行政单元的主体功能定位、对三条控制线进行局部优化、补充规划重点项目安排表等)等方面提出建议。②对省级层面可就下步协调相关部门，加强工作协同，做好省级国土空间规划实施的重点推进工作安排提出工作考虑。③对市、县级层面可从下步指导市、县做好省级国土空间规划传导落实的工作举措等方面提出建议。</w:t>
            </w:r>
          </w:p>
          <w:p>
            <w:pPr>
              <w:pStyle w:val="null3"/>
              <w:ind w:firstLine="480"/>
              <w:jc w:val="both"/>
            </w:pPr>
            <w:r>
              <w:rPr>
                <w:rFonts w:ascii="仿宋_GB2312" w:hAnsi="仿宋_GB2312" w:cs="仿宋_GB2312" w:eastAsia="仿宋_GB2312"/>
                <w:sz w:val="24"/>
              </w:rPr>
              <w:t>因政策发生变化，采购人有权要求供应商调整相关服务内容，不因此产生额外费用。</w:t>
            </w:r>
          </w:p>
          <w:p>
            <w:pPr>
              <w:pStyle w:val="null3"/>
              <w:ind w:firstLine="480"/>
              <w:jc w:val="both"/>
            </w:pPr>
            <w:r>
              <w:rPr>
                <w:rFonts w:ascii="仿宋_GB2312" w:hAnsi="仿宋_GB2312" w:cs="仿宋_GB2312" w:eastAsia="仿宋_GB2312"/>
                <w:sz w:val="24"/>
              </w:rPr>
              <w:t>四、工作要求</w:t>
            </w:r>
          </w:p>
          <w:p>
            <w:pPr>
              <w:pStyle w:val="null3"/>
              <w:ind w:firstLine="480"/>
              <w:jc w:val="both"/>
            </w:pPr>
            <w:r>
              <w:rPr>
                <w:rFonts w:ascii="仿宋_GB2312" w:hAnsi="仿宋_GB2312" w:cs="仿宋_GB2312" w:eastAsia="仿宋_GB2312"/>
                <w:sz w:val="24"/>
              </w:rPr>
              <w:t>（一）保密要求</w:t>
            </w:r>
          </w:p>
          <w:p>
            <w:pPr>
              <w:pStyle w:val="null3"/>
              <w:ind w:firstLine="480"/>
              <w:jc w:val="both"/>
            </w:pPr>
            <w:r>
              <w:rPr>
                <w:rFonts w:ascii="仿宋_GB2312" w:hAnsi="仿宋_GB2312" w:cs="仿宋_GB2312" w:eastAsia="仿宋_GB2312"/>
                <w:sz w:val="24"/>
              </w:rPr>
              <w:t>1、供应商应严格遵守国家有关数据安全保密的有关法律法规，确保数据安全。</w:t>
            </w:r>
          </w:p>
          <w:p>
            <w:pPr>
              <w:pStyle w:val="null3"/>
              <w:ind w:firstLine="480"/>
              <w:jc w:val="both"/>
            </w:pPr>
            <w:r>
              <w:rPr>
                <w:rFonts w:ascii="仿宋_GB2312" w:hAnsi="仿宋_GB2312" w:cs="仿宋_GB2312" w:eastAsia="仿宋_GB2312"/>
                <w:sz w:val="24"/>
              </w:rPr>
              <w:t>2、供应商应确保研究结果科学、正确，符合采购方的相关要求。不得向其他无关人员透漏科研结果等有关信息。</w:t>
            </w:r>
          </w:p>
          <w:p>
            <w:pPr>
              <w:pStyle w:val="null3"/>
              <w:ind w:firstLine="480"/>
              <w:jc w:val="both"/>
            </w:pPr>
            <w:r>
              <w:rPr>
                <w:rFonts w:ascii="仿宋_GB2312" w:hAnsi="仿宋_GB2312" w:cs="仿宋_GB2312" w:eastAsia="仿宋_GB2312"/>
                <w:sz w:val="24"/>
              </w:rPr>
              <w:t>3、供应商严格遵守采购方的保密管理规定，确保相关工作在采购方规定的内网环境安全运行。</w:t>
            </w:r>
          </w:p>
          <w:p>
            <w:pPr>
              <w:pStyle w:val="null3"/>
              <w:ind w:firstLine="480"/>
              <w:jc w:val="both"/>
            </w:pPr>
            <w:r>
              <w:rPr>
                <w:rFonts w:ascii="仿宋_GB2312" w:hAnsi="仿宋_GB2312" w:cs="仿宋_GB2312" w:eastAsia="仿宋_GB2312"/>
                <w:sz w:val="24"/>
              </w:rPr>
              <w:t>（二）人员要求</w:t>
            </w:r>
          </w:p>
          <w:p>
            <w:pPr>
              <w:pStyle w:val="null3"/>
              <w:ind w:firstLine="480"/>
              <w:jc w:val="both"/>
            </w:pPr>
            <w:r>
              <w:rPr>
                <w:rFonts w:ascii="仿宋_GB2312" w:hAnsi="仿宋_GB2312" w:cs="仿宋_GB2312" w:eastAsia="仿宋_GB2312"/>
                <w:sz w:val="24"/>
              </w:rPr>
              <w:t>1、人员数量要求：为保证项目进度，供应商应承诺投入本项目的工作人员数量充足，能够保证项目顺利实施。</w:t>
            </w:r>
          </w:p>
          <w:p>
            <w:pPr>
              <w:pStyle w:val="null3"/>
              <w:ind w:firstLine="480"/>
              <w:jc w:val="both"/>
            </w:pPr>
            <w:r>
              <w:rPr>
                <w:rFonts w:ascii="仿宋_GB2312" w:hAnsi="仿宋_GB2312" w:cs="仿宋_GB2312" w:eastAsia="仿宋_GB2312"/>
                <w:sz w:val="24"/>
              </w:rPr>
              <w:t>2、项目负责人应具备项目所需的专业职称和相关工作经验，能够独立带领团队完成工作内容，具有良好的沟通能力，对待工作认真负责且担任相关工作技术负责人3年及以上。</w:t>
            </w:r>
          </w:p>
          <w:p>
            <w:pPr>
              <w:pStyle w:val="null3"/>
              <w:ind w:firstLine="480"/>
              <w:jc w:val="both"/>
            </w:pPr>
            <w:r>
              <w:rPr>
                <w:rFonts w:ascii="仿宋_GB2312" w:hAnsi="仿宋_GB2312" w:cs="仿宋_GB2312" w:eastAsia="仿宋_GB2312"/>
                <w:sz w:val="24"/>
              </w:rPr>
              <w:t>3、供应商拟派遣的人员不能为已经在采购方同期其他项目提供服务的人员。</w:t>
            </w:r>
          </w:p>
          <w:p>
            <w:pPr>
              <w:pStyle w:val="null3"/>
              <w:ind w:firstLine="480"/>
              <w:jc w:val="both"/>
            </w:pPr>
            <w:r>
              <w:rPr>
                <w:rFonts w:ascii="仿宋_GB2312" w:hAnsi="仿宋_GB2312" w:cs="仿宋_GB2312" w:eastAsia="仿宋_GB2312"/>
                <w:sz w:val="24"/>
              </w:rPr>
              <w:t>4、供应商选派本项目的技术负责人不得随意更换，如需更换人员，需经采购人同意，并且更换人员与投标承诺人员具有同等或以上的经验和相关证书。</w:t>
            </w:r>
          </w:p>
          <w:p>
            <w:pPr>
              <w:pStyle w:val="null3"/>
              <w:ind w:firstLine="480"/>
              <w:jc w:val="both"/>
            </w:pPr>
            <w:r>
              <w:rPr>
                <w:rFonts w:ascii="仿宋_GB2312" w:hAnsi="仿宋_GB2312" w:cs="仿宋_GB2312" w:eastAsia="仿宋_GB2312"/>
                <w:sz w:val="24"/>
              </w:rPr>
              <w:t>5、供应商需承诺本项目拟投入人员的真实性，采购人将按照供应商磋商文件列入人员名单核对实际投入项目工作的技术人员。如需更换人员，需经采购人同意，并且更换人员与原人员具有同等或以上的资质。</w:t>
            </w:r>
          </w:p>
          <w:p>
            <w:pPr>
              <w:pStyle w:val="null3"/>
              <w:ind w:firstLine="480"/>
              <w:jc w:val="both"/>
            </w:pPr>
            <w:r>
              <w:rPr>
                <w:rFonts w:ascii="仿宋_GB2312" w:hAnsi="仿宋_GB2312" w:cs="仿宋_GB2312" w:eastAsia="仿宋_GB2312"/>
                <w:sz w:val="24"/>
              </w:rPr>
              <w:t>6、供应商选派本项目的技术人员应及时到位、及时处理采购方关于项目相关的工作安排。</w:t>
            </w:r>
          </w:p>
          <w:p>
            <w:pPr>
              <w:pStyle w:val="null3"/>
              <w:ind w:firstLine="480"/>
              <w:jc w:val="both"/>
            </w:pPr>
            <w:r>
              <w:rPr>
                <w:rFonts w:ascii="仿宋_GB2312" w:hAnsi="仿宋_GB2312" w:cs="仿宋_GB2312" w:eastAsia="仿宋_GB2312"/>
                <w:sz w:val="24"/>
              </w:rPr>
              <w:t>（三）项目工作场地及设备要求</w:t>
            </w:r>
          </w:p>
          <w:p>
            <w:pPr>
              <w:pStyle w:val="null3"/>
              <w:ind w:firstLine="480"/>
              <w:jc w:val="both"/>
            </w:pPr>
            <w:r>
              <w:rPr>
                <w:rFonts w:ascii="仿宋_GB2312" w:hAnsi="仿宋_GB2312" w:cs="仿宋_GB2312" w:eastAsia="仿宋_GB2312"/>
                <w:sz w:val="24"/>
              </w:rPr>
              <w:t>按采购人要求，供应商须在陕西省国土空间勘测规划院统一安排的地点完成工作任务。</w:t>
            </w:r>
          </w:p>
          <w:p>
            <w:pPr>
              <w:pStyle w:val="null3"/>
              <w:ind w:firstLine="480"/>
              <w:jc w:val="both"/>
            </w:pPr>
            <w:r>
              <w:rPr>
                <w:rFonts w:ascii="仿宋_GB2312" w:hAnsi="仿宋_GB2312" w:cs="仿宋_GB2312" w:eastAsia="仿宋_GB2312"/>
                <w:sz w:val="24"/>
              </w:rPr>
              <w:t>（四）项目工作时间要求</w:t>
            </w:r>
          </w:p>
          <w:p>
            <w:pPr>
              <w:pStyle w:val="null3"/>
              <w:ind w:firstLine="480"/>
              <w:jc w:val="both"/>
            </w:pPr>
            <w:r>
              <w:rPr>
                <w:rFonts w:ascii="仿宋_GB2312" w:hAnsi="仿宋_GB2312" w:cs="仿宋_GB2312" w:eastAsia="仿宋_GB2312"/>
                <w:sz w:val="24"/>
              </w:rPr>
              <w:t>供应商应在</w:t>
            </w:r>
            <w:r>
              <w:rPr>
                <w:rFonts w:ascii="仿宋_GB2312" w:hAnsi="仿宋_GB2312" w:cs="仿宋_GB2312" w:eastAsia="仿宋_GB2312"/>
                <w:sz w:val="24"/>
              </w:rPr>
              <w:t>2025年1</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0日前，完成评估报告、专题研究等工作，并形成相应的工作成果。</w:t>
            </w:r>
          </w:p>
          <w:p>
            <w:pPr>
              <w:pStyle w:val="null3"/>
              <w:ind w:firstLine="480"/>
              <w:jc w:val="both"/>
            </w:pPr>
            <w:r>
              <w:rPr>
                <w:rFonts w:ascii="仿宋_GB2312" w:hAnsi="仿宋_GB2312" w:cs="仿宋_GB2312" w:eastAsia="仿宋_GB2312"/>
                <w:sz w:val="24"/>
              </w:rPr>
              <w:t>五、技术要求</w:t>
            </w:r>
          </w:p>
          <w:p>
            <w:pPr>
              <w:pStyle w:val="null3"/>
              <w:ind w:firstLine="480"/>
              <w:jc w:val="both"/>
            </w:pPr>
            <w:r>
              <w:rPr>
                <w:rFonts w:ascii="仿宋_GB2312" w:hAnsi="仿宋_GB2312" w:cs="仿宋_GB2312" w:eastAsia="仿宋_GB2312"/>
                <w:sz w:val="24"/>
              </w:rPr>
              <w:t>根据《自然资源部办公厅关于开展国土空间规划体检评估的通知》（自然资办发〔</w:t>
            </w:r>
            <w:r>
              <w:rPr>
                <w:rFonts w:ascii="仿宋_GB2312" w:hAnsi="仿宋_GB2312" w:cs="仿宋_GB2312" w:eastAsia="仿宋_GB2312"/>
                <w:sz w:val="24"/>
              </w:rPr>
              <w:t>2025〕20号）等文件及《自然资源部办公厅关于印发&lt;国土空间规划城市体检评估规程（2025年修订版）&gt;的通知》（自然资办发〔2025〕15号）等行业有关标准，开展本项工作。</w:t>
            </w:r>
          </w:p>
          <w:p>
            <w:pPr>
              <w:pStyle w:val="null3"/>
              <w:ind w:firstLine="480"/>
              <w:jc w:val="both"/>
            </w:pPr>
            <w:r>
              <w:rPr>
                <w:rFonts w:ascii="仿宋_GB2312" w:hAnsi="仿宋_GB2312" w:cs="仿宋_GB2312" w:eastAsia="仿宋_GB2312"/>
                <w:sz w:val="24"/>
              </w:rPr>
              <w:t>六、工作成果</w:t>
            </w:r>
          </w:p>
          <w:p>
            <w:pPr>
              <w:pStyle w:val="null3"/>
              <w:ind w:firstLine="480"/>
              <w:jc w:val="both"/>
            </w:pPr>
            <w:r>
              <w:rPr>
                <w:rFonts w:ascii="仿宋_GB2312" w:hAnsi="仿宋_GB2312" w:cs="仿宋_GB2312" w:eastAsia="仿宋_GB2312"/>
                <w:sz w:val="24"/>
              </w:rPr>
              <w:t>1、陕西省省级国土空间规划年度体检报告及相关表格、图件、说明、重点任务清单等</w:t>
            </w:r>
          </w:p>
          <w:p>
            <w:pPr>
              <w:pStyle w:val="null3"/>
              <w:ind w:firstLine="480"/>
              <w:jc w:val="both"/>
            </w:pPr>
            <w:r>
              <w:rPr>
                <w:rFonts w:ascii="仿宋_GB2312" w:hAnsi="仿宋_GB2312" w:cs="仿宋_GB2312" w:eastAsia="仿宋_GB2312"/>
                <w:sz w:val="24"/>
              </w:rPr>
              <w:t>2、陕西省省级统一上报数据表</w:t>
            </w:r>
          </w:p>
          <w:p>
            <w:pPr>
              <w:pStyle w:val="null3"/>
              <w:ind w:firstLine="480"/>
              <w:jc w:val="both"/>
            </w:pPr>
            <w:r>
              <w:rPr>
                <w:rFonts w:ascii="仿宋_GB2312" w:hAnsi="仿宋_GB2312" w:cs="仿宋_GB2312" w:eastAsia="仿宋_GB2312"/>
                <w:sz w:val="24"/>
              </w:rPr>
              <w:t>3、年度永久基本农田保护情况专题报告</w:t>
            </w:r>
          </w:p>
          <w:p>
            <w:pPr>
              <w:pStyle w:val="null3"/>
              <w:ind w:firstLine="480"/>
              <w:jc w:val="both"/>
            </w:pPr>
            <w:r>
              <w:rPr>
                <w:rFonts w:ascii="仿宋_GB2312" w:hAnsi="仿宋_GB2312" w:cs="仿宋_GB2312" w:eastAsia="仿宋_GB2312"/>
                <w:sz w:val="24"/>
              </w:rPr>
              <w:t>4、年度城镇开发边界管理情况评估专题报告</w:t>
            </w:r>
          </w:p>
          <w:p>
            <w:pPr>
              <w:pStyle w:val="null3"/>
              <w:ind w:firstLine="480"/>
              <w:jc w:val="both"/>
            </w:pPr>
            <w:r>
              <w:rPr>
                <w:rFonts w:ascii="仿宋_GB2312" w:hAnsi="仿宋_GB2312" w:cs="仿宋_GB2312" w:eastAsia="仿宋_GB2312"/>
                <w:sz w:val="24"/>
              </w:rPr>
              <w:t>5、年度生态保护红线保护成效评估专题报告</w:t>
            </w:r>
          </w:p>
          <w:p>
            <w:pPr>
              <w:pStyle w:val="null3"/>
              <w:ind w:firstLine="480"/>
              <w:jc w:val="both"/>
            </w:pPr>
            <w:r>
              <w:rPr>
                <w:rFonts w:ascii="仿宋_GB2312" w:hAnsi="仿宋_GB2312" w:cs="仿宋_GB2312" w:eastAsia="仿宋_GB2312"/>
                <w:sz w:val="24"/>
              </w:rPr>
              <w:t>6、国土空间规划体检白皮书</w:t>
            </w:r>
          </w:p>
          <w:p>
            <w:pPr>
              <w:pStyle w:val="null3"/>
              <w:ind w:firstLine="480"/>
              <w:jc w:val="both"/>
            </w:pPr>
            <w:r>
              <w:rPr>
                <w:rFonts w:ascii="仿宋_GB2312" w:hAnsi="仿宋_GB2312" w:cs="仿宋_GB2312" w:eastAsia="仿宋_GB2312"/>
                <w:sz w:val="24"/>
              </w:rPr>
              <w:t>五、商务要求</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服务期限</w:t>
            </w:r>
          </w:p>
          <w:p>
            <w:pPr>
              <w:pStyle w:val="null3"/>
              <w:ind w:firstLine="480"/>
              <w:jc w:val="both"/>
            </w:pPr>
            <w:r>
              <w:rPr>
                <w:rFonts w:ascii="仿宋_GB2312" w:hAnsi="仿宋_GB2312" w:cs="仿宋_GB2312" w:eastAsia="仿宋_GB2312"/>
                <w:sz w:val="24"/>
              </w:rPr>
              <w:t>自合同签订之日起至</w:t>
            </w:r>
            <w:r>
              <w:rPr>
                <w:rFonts w:ascii="仿宋_GB2312" w:hAnsi="仿宋_GB2312" w:cs="仿宋_GB2312" w:eastAsia="仿宋_GB2312"/>
                <w:sz w:val="24"/>
              </w:rPr>
              <w:t>2025年1</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0日。（具体以合同约定为准）</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款项结算</w:t>
            </w:r>
          </w:p>
          <w:p>
            <w:pPr>
              <w:pStyle w:val="null3"/>
              <w:ind w:firstLine="480"/>
              <w:jc w:val="both"/>
            </w:pPr>
            <w:r>
              <w:rPr>
                <w:rFonts w:ascii="仿宋_GB2312" w:hAnsi="仿宋_GB2312" w:cs="仿宋_GB2312" w:eastAsia="仿宋_GB2312"/>
                <w:sz w:val="24"/>
              </w:rPr>
              <w:t>合同签订后，达到付款条件，由供应商开具支付金额的增值税发票起</w:t>
            </w:r>
            <w:r>
              <w:rPr>
                <w:rFonts w:ascii="仿宋_GB2312" w:hAnsi="仿宋_GB2312" w:cs="仿宋_GB2312" w:eastAsia="仿宋_GB2312"/>
                <w:sz w:val="24"/>
              </w:rPr>
              <w:t>10日内，支付合同总金额的40%。完成形成初步成果，经采购方确认后，由供应商开具支付金额的增值税发票起10日内，支付合同总金额的30%。项目成果经审核通过，按要求报部且所有资料汇交至陕西省国土空间勘测规划院后，由供应商开具支付金额的增值税发票起10日内，支付合同总金额的30%。</w:t>
            </w:r>
          </w:p>
          <w:p>
            <w:pPr>
              <w:pStyle w:val="null3"/>
            </w:pPr>
            <w:r>
              <w:rPr>
                <w:rFonts w:ascii="仿宋_GB2312" w:hAnsi="仿宋_GB2312" w:cs="仿宋_GB2312" w:eastAsia="仿宋_GB2312"/>
                <w:sz w:val="24"/>
                <w:color w:val="000000"/>
              </w:rPr>
              <w:t>注：采购标的对应的中小企业划分标准所属行业为：其他暂未列明行业。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符合合同条款要求 为顺利推进政府采购电子化交易平台试点应用工作，供应商需要在线提交所有通过电子化交易平台实施的政府采购项目的响应文件，同时，线下提交纸质响应文件正本壹份、副本壹份、电子版壹份（U盘一套标明供应商名称，随正本密封）。纸质响应文件正副本分别胶装，标明供应商名称密封递交。若系统电子响应文件与纸质响应文件不一致的，以系统电子响应文件为准。 线下纸质文件递交截止时间：同在线递交电子响应文件截止时间一致；线下纸质文件递交地点：陕西省西安市曲江新区雁翔路3269号旺座曲江E座30层第二会议室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①磋商文件、响应文件、澄清表（函）；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形成初步成果，经采购方确认后，由供应商开具支付金额的增值税发票起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项目成果经采购人验收合格并汇交至陕西省国土空间勘测规划院数据资料中心后，由供应商开具支付金额的增值税发票起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本次采购采取综合评分法，按最后得分由高到低汇总排序。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供应商应当具备主管部门颁发的城乡规划编制单位乙级及以上资质。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专门面向中小微企业采购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本项目专门面向中小企业采购，仅限符合《政府采购促进中小企业发展管理办法》（财库〔2020〕46号）条件的中小企业参与，提供中小企业声明函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供应商拒绝政府采购领域商业贿赂承诺书.docx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商务应答表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目标及内容</w:t>
            </w:r>
          </w:p>
        </w:tc>
        <w:tc>
          <w:tcPr>
            <w:tcW w:type="dxa" w:w="2492"/>
          </w:tcPr>
          <w:p>
            <w:pPr>
              <w:pStyle w:val="null3"/>
            </w:pPr>
            <w:r>
              <w:rPr>
                <w:rFonts w:ascii="仿宋_GB2312" w:hAnsi="仿宋_GB2312" w:cs="仿宋_GB2312" w:eastAsia="仿宋_GB2312"/>
              </w:rPr>
              <w:t>目标及内容:对体检项目的目标及内容认识理解进行评审。 内容包括但不限于：①对本项目目标及内容认识理解；②背景形势及宏观政策分析；③现状发展分析；④存在的问题；）上述4项内容满分得6分，每有一项缺项扣1.5分，每有一处内容存在不足的扣1分，最多扣6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体检项目路线</w:t>
            </w:r>
          </w:p>
        </w:tc>
        <w:tc>
          <w:tcPr>
            <w:tcW w:type="dxa" w:w="2492"/>
          </w:tcPr>
          <w:p>
            <w:pPr>
              <w:pStyle w:val="null3"/>
            </w:pPr>
            <w:r>
              <w:rPr>
                <w:rFonts w:ascii="仿宋_GB2312" w:hAnsi="仿宋_GB2312" w:cs="仿宋_GB2312" w:eastAsia="仿宋_GB2312"/>
              </w:rPr>
              <w:t>对体检项目的技术路线清晰、全面，技术指标明确性进行评审。 内容包括但不限于：①体检项目路线清晰性；②体检项目路线的全面性；③体检项目路线的科学性；④体检项目路线的合理性，⑤技术指标明确性）上述5项内容满分得2分，每有一项缺项扣2分，每有一处内容存在不足的扣1分，最多扣10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体检项目方法</w:t>
            </w:r>
          </w:p>
        </w:tc>
        <w:tc>
          <w:tcPr>
            <w:tcW w:type="dxa" w:w="2492"/>
          </w:tcPr>
          <w:p>
            <w:pPr>
              <w:pStyle w:val="null3"/>
            </w:pPr>
            <w:r>
              <w:rPr>
                <w:rFonts w:ascii="仿宋_GB2312" w:hAnsi="仿宋_GB2312" w:cs="仿宋_GB2312" w:eastAsia="仿宋_GB2312"/>
              </w:rPr>
              <w:t>对按照目标和内容确定的体检项目方法进行评审。 内容包括但不限于①体检项目方法清晰性；②体检项目方法的全面性；③体检项目方法的科学性；④体检项目方法的合理性；上述4项内容满分得8分，每有一项缺项扣2分，每有一处内容存在不足的扣1分，最多扣8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对体检项目的技术难点分析全面及解决方案进行评审。 内容包括但不限于①体检项目的技术难点分析全面性；②体检项目的技术难点分析专业性；③体检项目技术难点科学性；④解决方案合理性；⑤解决方案专业性；上述5项内容满分得10分，每有一项缺项扣2分，每有一处内容存在不足的扣1分，最多扣10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对项目进度保证措施进行评审。 内容包括但不限于①结合体检项目要求，阐述服务时效及进度的保障措施全面性；②结合体检项目要求，阐述服务时效及进度的保障措施专业性；③结合体检项目要求，阐述服务时效及进度的保障措施科学性；④结合体检项目要求，阐述服务时效及进度的保障措施合理性；上述4项内容满分得8分，每有一项缺项扣2分，每有一处内容存在不足的扣1分，最多扣8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预期体检项目成果</w:t>
            </w:r>
          </w:p>
        </w:tc>
        <w:tc>
          <w:tcPr>
            <w:tcW w:type="dxa" w:w="2492"/>
          </w:tcPr>
          <w:p>
            <w:pPr>
              <w:pStyle w:val="null3"/>
            </w:pPr>
            <w:r>
              <w:rPr>
                <w:rFonts w:ascii="仿宋_GB2312" w:hAnsi="仿宋_GB2312" w:cs="仿宋_GB2312" w:eastAsia="仿宋_GB2312"/>
              </w:rPr>
              <w:t>对预期体检项目成果进行评审。 内容包括但不限于①格式规范；②分类合理；③内容齐全；④成果描述具体详实；上述4项内容满分得8分，每有一项缺项扣2分，每有一处内容存在不足的扣1分，最多扣8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对提出的意见建议有益于本项目进行评审，内容包括但不限于①技术；②质量；③进度；④管理；上述4项内容满分得8分，每有一项缺项扣2分，每有一处内容存在不足的扣1分，最多扣8分，扣完为止。不足是指：方案内容脱离项目背景、项目需求以及行业或市场客观事实、涉及的政策规范及标准对本项目不适用、方案技术内容存在漏缺项、内容交叉混乱、缺乏重点、生搬硬造、套用错用、存在歧义、层次粗略、仅有标题或框架缺乏具体说明阐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1.拟派项目负责人具有相关专业（包含但不限于国土空间规划、城乡规划等）高级及以上职称的计1分，不满足不得分 2.项目负责人2020年1月1日至投标截止时间前，主持过省市级国土空间总体规划、相关专项规、详细规划等相关工作，业绩有一项得1分，最高不超过4分； 注：工作证明材料不限于中标通知书、业绩合同、成果文件等，业绩证明材料须体现项目负责人姓名。证明资料须为复印件加切盖供应商公章。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1.人员基本要求（4分）： 开展本项目的相关专业技术人员（包括项目负责人）不少于6名(其中高级职称人员不少于3人，中级职称人员不少于3人)，需提供人员近3个月在本单位的社保缴纳证明；外聘人员应提供与本单位签订的聘用合同，满足基本要求得5分，不满足基本要求，此项内容不得分。 2.项目实施团队中，技术人员中（4人基础上）每增加1名高级职称的技术人员加1分，本项满分2分。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2020年1月1日至投标截止时间前）以来，开展省级国土空间规划相关工作业绩（不限于总体规划、专项规划、详细规划、三区三线划定、数据库审核汇总等），有一项得2分，最高得分不超过8分（以合同签订日期为准）；开展市级国土空间规划相关工作业绩（不限于总体规划、专项规划、详细规划、三区三线划定、数据库审核汇总等），有一项得2分，最高得分不超过6分（以合同签订日期为准）；开展市级农用地管理相关工作业绩，有一项得1分，最高得分不超过2分（以合同签订日期为准） 备注：须提供完整合同业绩复印件并加盖投标人公章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1.1-2分；承诺及措施科学合理，基本满足项目需求计0.1-1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1.1-2分；有保密措施、承诺满足项目需求计0.1-1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