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版本号：SCIT-ZG-SX202510000220251029001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飞秒激光系统采购项目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SCIT-ZG-SX2025100002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飞秒激光系统采购项目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SCIT-ZG-SX2025100002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飞秒激光系统采购项目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本项目共1个包，采购飞秒激光系统并安装调试到位（已做进口论证，允许采购进口产品，具体详见招标文件）； 项目用途：飞秒激光系统采购并安装调试到位； 采购预算：3200000.00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为进口产品的，须提供所投产品厂家授权书或总代理商授权书（提供总代理商授权书的须出具有效授权权限的相关证明文件，证明文件须能显示产品制造厂家对所投产品授权链条的完整性），国产产品不需要提供。：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银行账号：9902001831447329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本项目共1个包，采购飞秒激光系统并安装调试到位（已做进口论证，允许采购进口产品，具体详见招标文件）； 项目用途：飞秒激光系统采购并安装调试到位； 采购预算：3200000.00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飞秒激光系统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标的名称：飞秒激光系统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315"/>
              <w:gridCol w:w="1375"/>
              <w:gridCol w:w="160"/>
              <w:gridCol w:w="215"/>
              <w:gridCol w:w="277"/>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1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标的所属行业</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飞秒激光系统</w:t>
                  </w:r>
                </w:p>
              </w:tc>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一、钛宝石飞秒激光放大器</w:t>
                  </w:r>
                </w:p>
                <w:p>
                  <w:pPr>
                    <w:pStyle w:val="null3"/>
                    <w:jc w:val="left"/>
                  </w:pPr>
                  <w:r>
                    <w:rPr>
                      <w:rFonts w:ascii="仿宋_GB2312" w:hAnsi="仿宋_GB2312" w:cs="仿宋_GB2312" w:eastAsia="仿宋_GB2312"/>
                      <w:sz w:val="21"/>
                      <w:b/>
                    </w:rPr>
                    <w:t>1.飞秒振荡器：</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 xml:space="preserve">.1 </w:t>
                  </w:r>
                  <w:r>
                    <w:rPr>
                      <w:rFonts w:ascii="仿宋_GB2312" w:hAnsi="仿宋_GB2312" w:cs="仿宋_GB2312" w:eastAsia="仿宋_GB2312"/>
                      <w:sz w:val="21"/>
                    </w:rPr>
                    <w:t>中心波长：</w:t>
                  </w:r>
                  <w:r>
                    <w:rPr>
                      <w:rFonts w:ascii="仿宋_GB2312" w:hAnsi="仿宋_GB2312" w:cs="仿宋_GB2312" w:eastAsia="仿宋_GB2312"/>
                      <w:sz w:val="21"/>
                    </w:rPr>
                    <w:t>8</w:t>
                  </w:r>
                  <w:r>
                    <w:rPr>
                      <w:rFonts w:ascii="仿宋_GB2312" w:hAnsi="仿宋_GB2312" w:cs="仿宋_GB2312" w:eastAsia="仿宋_GB2312"/>
                      <w:sz w:val="21"/>
                    </w:rPr>
                    <w:t>00</w:t>
                  </w:r>
                  <w:r>
                    <w:rPr>
                      <w:rFonts w:ascii="仿宋_GB2312" w:hAnsi="仿宋_GB2312" w:cs="仿宋_GB2312" w:eastAsia="仿宋_GB2312"/>
                      <w:sz w:val="21"/>
                    </w:rPr>
                    <w:t>n</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输出带宽：</w:t>
                  </w:r>
                  <w:r>
                    <w:rPr>
                      <w:rFonts w:ascii="仿宋_GB2312" w:hAnsi="仿宋_GB2312" w:cs="仿宋_GB2312" w:eastAsia="仿宋_GB2312"/>
                      <w:sz w:val="21"/>
                    </w:rPr>
                    <w:t>≥60 nm@800nm；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b/>
                    </w:rPr>
                    <w:t xml:space="preserve"> </w:t>
                  </w:r>
                  <w:r>
                    <w:rPr>
                      <w:rFonts w:ascii="仿宋_GB2312" w:hAnsi="仿宋_GB2312" w:cs="仿宋_GB2312" w:eastAsia="仿宋_GB2312"/>
                      <w:sz w:val="21"/>
                    </w:rPr>
                    <w:t>输出功率：</w:t>
                  </w:r>
                  <w:r>
                    <w:rPr>
                      <w:rFonts w:ascii="仿宋_GB2312" w:hAnsi="仿宋_GB2312" w:cs="仿宋_GB2312" w:eastAsia="仿宋_GB2312"/>
                      <w:sz w:val="21"/>
                    </w:rPr>
                    <w:t>≥</w:t>
                  </w:r>
                  <w:r>
                    <w:rPr>
                      <w:rFonts w:ascii="仿宋_GB2312" w:hAnsi="仿宋_GB2312" w:cs="仿宋_GB2312" w:eastAsia="仿宋_GB2312"/>
                      <w:sz w:val="21"/>
                    </w:rPr>
                    <w:t>450mW（在最大带宽处）；</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b/>
                    </w:rPr>
                    <w:t xml:space="preserve"> </w:t>
                  </w:r>
                  <w:r>
                    <w:rPr>
                      <w:rFonts w:ascii="仿宋_GB2312" w:hAnsi="仿宋_GB2312" w:cs="仿宋_GB2312" w:eastAsia="仿宋_GB2312"/>
                      <w:sz w:val="21"/>
                    </w:rPr>
                    <w:t>功率稳定性：</w:t>
                  </w:r>
                  <w:r>
                    <w:rPr>
                      <w:rFonts w:ascii="仿宋_GB2312" w:hAnsi="仿宋_GB2312" w:cs="仿宋_GB2312" w:eastAsia="仿宋_GB2312"/>
                      <w:sz w:val="21"/>
                    </w:rPr>
                    <w:t>±0.5%；</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b/>
                    </w:rPr>
                    <w:t xml:space="preserve"> </w:t>
                  </w:r>
                  <w:r>
                    <w:rPr>
                      <w:rFonts w:ascii="仿宋_GB2312" w:hAnsi="仿宋_GB2312" w:cs="仿宋_GB2312" w:eastAsia="仿宋_GB2312"/>
                      <w:sz w:val="21"/>
                    </w:rPr>
                    <w:t>重复频率：</w:t>
                  </w:r>
                  <w:r>
                    <w:rPr>
                      <w:rFonts w:ascii="仿宋_GB2312" w:hAnsi="仿宋_GB2312" w:cs="仿宋_GB2312" w:eastAsia="仿宋_GB2312"/>
                      <w:sz w:val="21"/>
                    </w:rPr>
                    <w:t>7</w:t>
                  </w:r>
                  <w:r>
                    <w:rPr>
                      <w:rFonts w:ascii="仿宋_GB2312" w:hAnsi="仿宋_GB2312" w:cs="仿宋_GB2312" w:eastAsia="仿宋_GB2312"/>
                      <w:sz w:val="21"/>
                    </w:rPr>
                    <w:t>9-</w:t>
                  </w:r>
                  <w:r>
                    <w:rPr>
                      <w:rFonts w:ascii="仿宋_GB2312" w:hAnsi="仿宋_GB2312" w:cs="仿宋_GB2312" w:eastAsia="仿宋_GB2312"/>
                      <w:sz w:val="21"/>
                    </w:rPr>
                    <w:t>8</w:t>
                  </w:r>
                  <w:r>
                    <w:rPr>
                      <w:rFonts w:ascii="仿宋_GB2312" w:hAnsi="仿宋_GB2312" w:cs="仿宋_GB2312" w:eastAsia="仿宋_GB2312"/>
                      <w:sz w:val="21"/>
                    </w:rPr>
                    <w:t xml:space="preserve">2 </w:t>
                  </w:r>
                  <w:r>
                    <w:rPr>
                      <w:rFonts w:ascii="仿宋_GB2312" w:hAnsi="仿宋_GB2312" w:cs="仿宋_GB2312" w:eastAsia="仿宋_GB2312"/>
                      <w:sz w:val="21"/>
                    </w:rPr>
                    <w:t>MHz；</w:t>
                  </w:r>
                </w:p>
                <w:p>
                  <w:pPr>
                    <w:pStyle w:val="null3"/>
                    <w:ind w:firstLine="21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b/>
                    </w:rPr>
                    <w:t xml:space="preserve"> </w:t>
                  </w:r>
                  <w:r>
                    <w:rPr>
                      <w:rFonts w:ascii="仿宋_GB2312" w:hAnsi="仿宋_GB2312" w:cs="仿宋_GB2312" w:eastAsia="仿宋_GB2312"/>
                      <w:sz w:val="21"/>
                    </w:rPr>
                    <w:t>振荡器可独立输出工作；</w:t>
                  </w:r>
                </w:p>
                <w:p>
                  <w:pPr>
                    <w:pStyle w:val="null3"/>
                    <w:jc w:val="left"/>
                  </w:pPr>
                  <w:r>
                    <w:rPr>
                      <w:rFonts w:ascii="仿宋_GB2312" w:hAnsi="仿宋_GB2312" w:cs="仿宋_GB2312" w:eastAsia="仿宋_GB2312"/>
                      <w:sz w:val="21"/>
                      <w:b/>
                    </w:rPr>
                    <w:t>2.泵浦源：</w:t>
                  </w:r>
                </w:p>
                <w:p>
                  <w:pPr>
                    <w:pStyle w:val="null3"/>
                    <w:ind w:firstLine="210"/>
                    <w:jc w:val="left"/>
                  </w:pPr>
                  <w:r>
                    <w:rPr>
                      <w:rFonts w:ascii="仿宋_GB2312" w:hAnsi="仿宋_GB2312" w:cs="仿宋_GB2312" w:eastAsia="仿宋_GB2312"/>
                      <w:sz w:val="21"/>
                    </w:rPr>
                    <w:t>2.1 平均输出功率：≥30W@1kHz；</w:t>
                  </w:r>
                </w:p>
                <w:p>
                  <w:pPr>
                    <w:pStyle w:val="null3"/>
                    <w:ind w:firstLine="210"/>
                    <w:jc w:val="left"/>
                  </w:pPr>
                  <w:r>
                    <w:rPr>
                      <w:rFonts w:ascii="仿宋_GB2312" w:hAnsi="仿宋_GB2312" w:cs="仿宋_GB2312" w:eastAsia="仿宋_GB2312"/>
                      <w:sz w:val="21"/>
                    </w:rPr>
                    <w:t>2.2 脉冲宽度: ≤150ns ；</w:t>
                  </w:r>
                </w:p>
                <w:p>
                  <w:pPr>
                    <w:pStyle w:val="null3"/>
                    <w:ind w:firstLine="210"/>
                    <w:jc w:val="left"/>
                  </w:pPr>
                  <w:r>
                    <w:rPr>
                      <w:rFonts w:ascii="仿宋_GB2312" w:hAnsi="仿宋_GB2312" w:cs="仿宋_GB2312" w:eastAsia="仿宋_GB2312"/>
                      <w:sz w:val="21"/>
                    </w:rPr>
                    <w:t>2.3 光束发散角（全角度）：≤8mrad；</w:t>
                  </w:r>
                </w:p>
                <w:p>
                  <w:pPr>
                    <w:pStyle w:val="null3"/>
                    <w:jc w:val="left"/>
                  </w:pPr>
                  <w:r>
                    <w:rPr>
                      <w:rFonts w:ascii="仿宋_GB2312" w:hAnsi="仿宋_GB2312" w:cs="仿宋_GB2312" w:eastAsia="仿宋_GB2312"/>
                      <w:sz w:val="21"/>
                      <w:b/>
                    </w:rPr>
                    <w:t>3.放大器：</w:t>
                  </w:r>
                </w:p>
                <w:p>
                  <w:pPr>
                    <w:pStyle w:val="null3"/>
                    <w:ind w:firstLine="210"/>
                    <w:jc w:val="left"/>
                  </w:pPr>
                  <w:r>
                    <w:rPr>
                      <w:rFonts w:ascii="仿宋_GB2312" w:hAnsi="仿宋_GB2312" w:cs="仿宋_GB2312" w:eastAsia="仿宋_GB2312"/>
                      <w:sz w:val="21"/>
                    </w:rPr>
                    <w:t>★3.1 脉冲能量：≥5mJ@1kHz；</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3.2 脉冲宽度：</w:t>
                  </w:r>
                  <w:r>
                    <w:rPr>
                      <w:rFonts w:ascii="仿宋_GB2312" w:hAnsi="仿宋_GB2312" w:cs="仿宋_GB2312" w:eastAsia="仿宋_GB2312"/>
                      <w:sz w:val="21"/>
                    </w:rPr>
                    <w:t>≤</w:t>
                  </w:r>
                  <w:r>
                    <w:rPr>
                      <w:rFonts w:ascii="仿宋_GB2312" w:hAnsi="仿宋_GB2312" w:cs="仿宋_GB2312" w:eastAsia="仿宋_GB2312"/>
                      <w:sz w:val="21"/>
                    </w:rPr>
                    <w:t>50fs；</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3.3 中心波长：800nm；</w:t>
                  </w:r>
                </w:p>
                <w:p>
                  <w:pPr>
                    <w:pStyle w:val="null3"/>
                    <w:ind w:firstLine="210"/>
                    <w:jc w:val="left"/>
                  </w:pPr>
                  <w:r>
                    <w:rPr>
                      <w:rFonts w:ascii="仿宋_GB2312" w:hAnsi="仿宋_GB2312" w:cs="仿宋_GB2312" w:eastAsia="仿宋_GB2312"/>
                      <w:sz w:val="21"/>
                    </w:rPr>
                    <w:t>★3.4 功率稳定性：</w:t>
                  </w:r>
                  <w:r>
                    <w:rPr>
                      <w:rFonts w:ascii="仿宋_GB2312" w:hAnsi="仿宋_GB2312" w:cs="仿宋_GB2312" w:eastAsia="仿宋_GB2312"/>
                      <w:sz w:val="21"/>
                    </w:rPr>
                    <w:t>≤</w:t>
                  </w:r>
                  <w:r>
                    <w:rPr>
                      <w:rFonts w:ascii="仿宋_GB2312" w:hAnsi="仿宋_GB2312" w:cs="仿宋_GB2312" w:eastAsia="仿宋_GB2312"/>
                      <w:sz w:val="21"/>
                    </w:rPr>
                    <w:t>0.5% rms (24小时)；</w:t>
                  </w:r>
                </w:p>
                <w:p>
                  <w:pPr>
                    <w:pStyle w:val="null3"/>
                    <w:ind w:firstLine="210"/>
                    <w:jc w:val="left"/>
                  </w:pPr>
                  <w:r>
                    <w:rPr>
                      <w:rFonts w:ascii="仿宋_GB2312" w:hAnsi="仿宋_GB2312" w:cs="仿宋_GB2312" w:eastAsia="仿宋_GB2312"/>
                      <w:sz w:val="21"/>
                    </w:rPr>
                    <w:t>3.5 空间模式：TEM</w:t>
                  </w:r>
                  <w:r>
                    <w:rPr>
                      <w:rFonts w:ascii="仿宋_GB2312" w:hAnsi="仿宋_GB2312" w:cs="仿宋_GB2312" w:eastAsia="仿宋_GB2312"/>
                      <w:sz w:val="21"/>
                      <w:vertAlign w:val="subscript"/>
                    </w:rPr>
                    <w:t>00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1.25；</w:t>
                  </w:r>
                </w:p>
                <w:p>
                  <w:pPr>
                    <w:pStyle w:val="null3"/>
                    <w:ind w:firstLine="210"/>
                    <w:jc w:val="left"/>
                  </w:pPr>
                  <w:r>
                    <w:rPr>
                      <w:rFonts w:ascii="仿宋_GB2312" w:hAnsi="仿宋_GB2312" w:cs="仿宋_GB2312" w:eastAsia="仿宋_GB2312"/>
                      <w:sz w:val="21"/>
                    </w:rPr>
                    <w:t>3.6 光束指向稳定性：</w:t>
                  </w:r>
                  <w:r>
                    <w:rPr>
                      <w:rFonts w:ascii="仿宋_GB2312" w:hAnsi="仿宋_GB2312" w:cs="仿宋_GB2312" w:eastAsia="仿宋_GB2312"/>
                      <w:sz w:val="21"/>
                    </w:rPr>
                    <w:t>≤</w:t>
                  </w:r>
                  <w:r>
                    <w:rPr>
                      <w:rFonts w:ascii="仿宋_GB2312" w:hAnsi="仿宋_GB2312" w:cs="仿宋_GB2312" w:eastAsia="仿宋_GB2312"/>
                      <w:sz w:val="21"/>
                    </w:rPr>
                    <w:t>10 µrad/rms（24小时）</w:t>
                  </w:r>
                </w:p>
                <w:p>
                  <w:pPr>
                    <w:pStyle w:val="null3"/>
                    <w:ind w:firstLine="210"/>
                    <w:jc w:val="left"/>
                  </w:pPr>
                  <w:r>
                    <w:rPr>
                      <w:rFonts w:ascii="仿宋_GB2312" w:hAnsi="仿宋_GB2312" w:cs="仿宋_GB2312" w:eastAsia="仿宋_GB2312"/>
                      <w:sz w:val="21"/>
                    </w:rPr>
                    <w:t>3.7 对比度：前脉冲对比度≥1000:1，后脉冲对比度≥100:1</w:t>
                  </w:r>
                </w:p>
                <w:p>
                  <w:pPr>
                    <w:pStyle w:val="null3"/>
                    <w:jc w:val="left"/>
                  </w:pPr>
                  <w:r>
                    <w:rPr>
                      <w:rFonts w:ascii="仿宋_GB2312" w:hAnsi="仿宋_GB2312" w:cs="仿宋_GB2312" w:eastAsia="仿宋_GB2312"/>
                      <w:sz w:val="21"/>
                      <w:b/>
                    </w:rPr>
                    <w:t>二、飞秒光学参量放大器</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1.波长调谐范围：300</w:t>
                  </w:r>
                  <w:r>
                    <w:rPr>
                      <w:rFonts w:ascii="仿宋_GB2312" w:hAnsi="仿宋_GB2312" w:cs="仿宋_GB2312" w:eastAsia="仿宋_GB2312"/>
                      <w:sz w:val="21"/>
                    </w:rPr>
                    <w:t>~</w:t>
                  </w:r>
                  <w:r>
                    <w:rPr>
                      <w:rFonts w:ascii="仿宋_GB2312" w:hAnsi="仿宋_GB2312" w:cs="仿宋_GB2312" w:eastAsia="仿宋_GB2312"/>
                      <w:sz w:val="21"/>
                    </w:rPr>
                    <w:t>2500 nm；</w:t>
                  </w:r>
                </w:p>
                <w:p>
                  <w:pPr>
                    <w:pStyle w:val="null3"/>
                    <w:ind w:firstLine="210"/>
                    <w:jc w:val="left"/>
                  </w:pPr>
                  <w:r>
                    <w:rPr>
                      <w:rFonts w:ascii="仿宋_GB2312" w:hAnsi="仿宋_GB2312" w:cs="仿宋_GB2312" w:eastAsia="仿宋_GB2312"/>
                      <w:sz w:val="21"/>
                    </w:rPr>
                    <w:t>2.调谐波长通过计算机控制；</w:t>
                  </w:r>
                </w:p>
                <w:p>
                  <w:pPr>
                    <w:pStyle w:val="null3"/>
                    <w:ind w:firstLine="210"/>
                    <w:jc w:val="left"/>
                  </w:pPr>
                  <w:r>
                    <w:rPr>
                      <w:rFonts w:ascii="仿宋_GB2312" w:hAnsi="仿宋_GB2312" w:cs="仿宋_GB2312" w:eastAsia="仿宋_GB2312"/>
                      <w:sz w:val="21"/>
                    </w:rPr>
                    <w:t>3.光学参量放大器可接受最大泵浦能量：≥4mJ@1kHz；</w:t>
                  </w:r>
                </w:p>
                <w:p>
                  <w:pPr>
                    <w:pStyle w:val="null3"/>
                    <w:ind w:firstLine="210"/>
                    <w:jc w:val="left"/>
                  </w:pPr>
                  <w:r>
                    <w:rPr>
                      <w:rFonts w:ascii="仿宋_GB2312" w:hAnsi="仿宋_GB2312" w:cs="仿宋_GB2312" w:eastAsia="仿宋_GB2312"/>
                      <w:sz w:val="21"/>
                    </w:rPr>
                    <w:t>4.输出能量：（以下光能量指标是在800nm，1kHz，≤50fs，1mJ能量泵浦下的指标）：</w:t>
                  </w:r>
                </w:p>
                <w:p>
                  <w:pPr>
                    <w:pStyle w:val="null3"/>
                    <w:ind w:firstLine="210"/>
                    <w:jc w:val="left"/>
                  </w:pPr>
                  <w:r>
                    <w:rPr>
                      <w:rFonts w:ascii="仿宋_GB2312" w:hAnsi="仿宋_GB2312" w:cs="仿宋_GB2312" w:eastAsia="仿宋_GB2312"/>
                      <w:sz w:val="21"/>
                    </w:rPr>
                    <w:t>▲4.1  1200-2500nm: ≥150µJ@peak（信号光+闲频光）</w:t>
                  </w:r>
                </w:p>
                <w:p>
                  <w:pPr>
                    <w:pStyle w:val="null3"/>
                    <w:ind w:firstLine="210"/>
                    <w:jc w:val="left"/>
                  </w:pPr>
                  <w:r>
                    <w:rPr>
                      <w:rFonts w:ascii="仿宋_GB2312" w:hAnsi="仿宋_GB2312" w:cs="仿宋_GB2312" w:eastAsia="仿宋_GB2312"/>
                      <w:sz w:val="21"/>
                    </w:rPr>
                    <w:t>▲4.2  470-1200nm: ≥30µJ@peak</w:t>
                  </w:r>
                </w:p>
                <w:p>
                  <w:pPr>
                    <w:pStyle w:val="null3"/>
                    <w:ind w:firstLine="210"/>
                    <w:jc w:val="left"/>
                  </w:pPr>
                  <w:r>
                    <w:rPr>
                      <w:rFonts w:ascii="仿宋_GB2312" w:hAnsi="仿宋_GB2312" w:cs="仿宋_GB2312" w:eastAsia="仿宋_GB2312"/>
                      <w:sz w:val="21"/>
                    </w:rPr>
                    <w:t>▲4.3  300-470nm: ≥3µJ@peak；</w:t>
                  </w:r>
                </w:p>
                <w:p>
                  <w:pPr>
                    <w:pStyle w:val="null3"/>
                    <w:jc w:val="both"/>
                  </w:pPr>
                  <w:r>
                    <w:rPr>
                      <w:rFonts w:ascii="仿宋_GB2312" w:hAnsi="仿宋_GB2312" w:cs="仿宋_GB2312" w:eastAsia="仿宋_GB2312"/>
                      <w:sz w:val="21"/>
                      <w:b/>
                    </w:rPr>
                    <w:t>三、气浮隔振平台</w:t>
                  </w:r>
                </w:p>
                <w:p>
                  <w:pPr>
                    <w:pStyle w:val="null3"/>
                    <w:jc w:val="both"/>
                  </w:pPr>
                  <w:r>
                    <w:rPr>
                      <w:rFonts w:ascii="仿宋_GB2312" w:hAnsi="仿宋_GB2312" w:cs="仿宋_GB2312" w:eastAsia="仿宋_GB2312"/>
                      <w:sz w:val="20"/>
                    </w:rPr>
                    <w:t>1.气浮平台1个，台面尺寸≥1.5m*3m；台体总厚度≥300mm；</w:t>
                  </w:r>
                </w:p>
                <w:p>
                  <w:pPr>
                    <w:pStyle w:val="null3"/>
                    <w:jc w:val="both"/>
                  </w:pPr>
                  <w:r>
                    <w:rPr>
                      <w:rFonts w:ascii="仿宋_GB2312" w:hAnsi="仿宋_GB2312" w:cs="仿宋_GB2312" w:eastAsia="仿宋_GB2312"/>
                      <w:sz w:val="20"/>
                    </w:rPr>
                    <w:t>2.振幅≤1um.</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”号技术指标需要提供</w:t>
                  </w:r>
                  <w:r>
                    <w:rPr>
                      <w:rFonts w:ascii="仿宋_GB2312" w:hAnsi="仿宋_GB2312" w:cs="仿宋_GB2312" w:eastAsia="仿宋_GB2312"/>
                      <w:sz w:val="20"/>
                      <w:b/>
                      <w:color w:val="000000"/>
                    </w:rPr>
                    <w:t>包括但不限于：产品彩页或技术白皮书或检测报告或官网截图等证明材料予以佐证。</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进口产品：签订合同后 10个月内供货并安装调试完毕。 国产产品：签订合同后45日历日内供货并安装调试完毕。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国产产品： 付款条件说明：合同签订后，达到付款条件起 10日内，支付合同总金额的80.00%。 付款条件说明： 货到安装调试完成后 ，达到付款条件起 10 日内，支付合同总金额的 10.00%。 付款条件说明： 待验收合格后，凭成交供应商开具全额增值税专用发票 ，达到付款条件起 10 日内，支付合同总金额的 10.00%。 进口产品： 付款条件说明： 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1）供应商必须保证提供的设备是通过正常渠道获得的、全新的、未使用过的合格产品；其有关知识产权、技术、专利、检 验、商务等均要符合中华人民共和国的有关法律、法规；中标人必须承担因所供设备而引起的全部法律责任。 整个项目质保期自验收之日起不得少于1年，供应商承诺的质保时间超过上述要求的，按其承诺时间执行。质保期内中标人应提供维修服务及本项目中货物的维修所需零配件，质保期内维修或更换产生的材料费及人工费属于质保范畴不再单独收费；在质保期内，产品出现故障，供应商需要返厂维修或更换的，需要供应商承担设备流转所产生的费用，包括检验费、运费、保险费、仓储费和装卸费。质保期满后，中标人提供终身维修，货物维修更换的零部件只收取材料成本费用。 2）供应商须免费提供一次设备移机服务。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注：1）3.4商务要求不允许负偏离。2,因系统固化原因，本项目支付方式及约定以此为准： 国产产品：支付方式分期付款；付款条件说明：合同签订后，达到付款条件起 10日内，支付合同总金额的 80.00%。付款条件说明： 货到安装调试完成后 ，达到付款条件起 10 日内，支付合同总金额的 10.00%。付款条件说明： 待验收合格后，凭成交供应商开具全额增值税专用发票 ，达到付款条件起 10 日内，支付合同总金额的 10.00%。 进口产品：支付方式一次付清，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(①社会保障资金缴纳证明：提供2024年9月1日至今已缴存的任一月份的社会保障资金缴存单据或社保机构开具的社会保险参保缴费情况证明，依法不需要缴纳社会保障资金的投标人应提供相关文件证明； ）；②提供2024年9月1日至今已缴纳的至少一个月的纳税证明或完税证明，依法免税的单位应提供相关证明材料）；5.具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1.投标产品的技术指标和功能中，“★”号技术指标为实质性要求，负偏离视为无效投标； “▲”号技术指标完全满足招标文件要求计21分，每有一条负偏离扣3分，扣完为止。 2.投标产品的技术指标和功能中非“★”、“▲”号技术指标完全满足招标文件要求计14分，每有一条负偏离扣1分，扣完为止。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提供2022年01月01日至投标截止时间同类业绩（以合同签订时间为准），每提供1个得1分，最高得5分。（供应商自己实施的，提供合同复印件）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8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详见附件：货物类合同模板 -进口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