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版本号：SXWZ2025ZB-YDDX-25320251031001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510nm激光器设备采购项目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SXWZ2025ZB-YDDX-253</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510nm激光器设备采购项目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SXWZ2025ZB-YDDX-253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510nm激光器设备采购项目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510nm激光器设备采购项目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采购包1（510nm激光器）：属于专门面向中小企业采购。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3、税收缴纳证明：须提供2025年01月至今已缴纳的至少一个月纳税证明或完税证明，依法免税的单位应提供相关证明材料（以税款所属期为准）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无重大违法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6、授权书：非法定代表人参加谈判的，须提供法定代表人授权委托书及被授权人身份证；法定代表人参加谈判时,须提供法定代表人身份证明书。</w:t>
      </w:r>
    </w:p>
    <w:p>
      <w:pPr>
        <w:pStyle w:val="null3"/>
      </w:pPr>
      <w:r>
        <w:rPr>
          <w:rFonts w:ascii="仿宋_GB2312" w:hAnsi="仿宋_GB2312" w:cs="仿宋_GB2312" w:eastAsia="仿宋_GB2312"/>
        </w:rPr>
        <w:t>7、中小企业声明函：专门面向中小企业采购，供应商须提供中小企业声明函。</w:t>
      </w:r>
    </w:p>
    <w:p>
      <w:pPr>
        <w:pStyle w:val="null3"/>
      </w:pPr>
      <w:r>
        <w:rPr>
          <w:rFonts w:ascii="仿宋_GB2312" w:hAnsi="仿宋_GB2312" w:cs="仿宋_GB2312" w:eastAsia="仿宋_GB2312"/>
        </w:rPr>
        <w:t>8、非联合体声明：本项目不接受联合体谈判。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代理服务费用收取对象：中标/成交供应商。采购代理服务费的收取 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510nm激光器设备采购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535,000.00</w:t>
      </w:r>
    </w:p>
    <w:p>
      <w:pPr>
        <w:pStyle w:val="null3"/>
      </w:pPr>
      <w:r>
        <w:rPr>
          <w:rFonts w:ascii="仿宋_GB2312" w:hAnsi="仿宋_GB2312" w:cs="仿宋_GB2312" w:eastAsia="仿宋_GB2312"/>
        </w:rPr>
        <w:t>采购包最高限价（元）: 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510nm激光器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标的名称：510nm激光器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w:t>
            </w:r>
            <w:r>
              <w:rPr>
                <w:rFonts w:ascii="仿宋_GB2312" w:hAnsi="仿宋_GB2312" w:cs="仿宋_GB2312" w:eastAsia="仿宋_GB2312"/>
              </w:rPr>
              <w:t>1.输出波长范围50</w:t>
            </w:r>
            <w:r>
              <w:rPr>
                <w:rFonts w:ascii="仿宋_GB2312" w:hAnsi="仿宋_GB2312" w:cs="仿宋_GB2312" w:eastAsia="仿宋_GB2312"/>
              </w:rPr>
              <w:t>8.0</w:t>
            </w:r>
            <w:r>
              <w:rPr>
                <w:rFonts w:ascii="仿宋_GB2312" w:hAnsi="仿宋_GB2312" w:cs="仿宋_GB2312" w:eastAsia="仿宋_GB2312"/>
              </w:rPr>
              <w:t>-51</w:t>
            </w:r>
            <w:r>
              <w:rPr>
                <w:rFonts w:ascii="仿宋_GB2312" w:hAnsi="仿宋_GB2312" w:cs="仿宋_GB2312" w:eastAsia="仿宋_GB2312"/>
              </w:rPr>
              <w:t>0</w:t>
            </w:r>
            <w:r>
              <w:rPr>
                <w:rFonts w:ascii="仿宋_GB2312" w:hAnsi="仿宋_GB2312" w:cs="仿宋_GB2312" w:eastAsia="仿宋_GB2312"/>
              </w:rPr>
              <w:t>.0nm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2.输出功率≥800mW</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3.输出激光线宽≤2MHz@50m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4.无跳模范围≥20GHz</w:t>
            </w:r>
            <w:r>
              <w:rPr>
                <w:rFonts w:ascii="仿宋_GB2312" w:hAnsi="仿宋_GB2312" w:cs="仿宋_GB2312" w:eastAsia="仿宋_GB2312"/>
              </w:rPr>
              <w:t>；</w:t>
            </w:r>
          </w:p>
          <w:p>
            <w:pPr>
              <w:pStyle w:val="null3"/>
              <w:jc w:val="both"/>
            </w:pPr>
            <w:r>
              <w:rPr>
                <w:rFonts w:ascii="仿宋_GB2312" w:hAnsi="仿宋_GB2312" w:cs="仿宋_GB2312" w:eastAsia="仿宋_GB2312"/>
              </w:rPr>
              <w:t>一、</w:t>
            </w:r>
            <w:r>
              <w:rPr>
                <w:rFonts w:ascii="仿宋_GB2312" w:hAnsi="仿宋_GB2312" w:cs="仿宋_GB2312" w:eastAsia="仿宋_GB2312"/>
              </w:rPr>
              <w:t>种子激光</w:t>
            </w:r>
            <w:r>
              <w:rPr>
                <w:rFonts w:ascii="仿宋_GB2312" w:hAnsi="仿宋_GB2312" w:cs="仿宋_GB2312" w:eastAsia="仿宋_GB2312"/>
              </w:rPr>
              <w:t>模块</w:t>
            </w:r>
          </w:p>
          <w:p>
            <w:pPr>
              <w:pStyle w:val="null3"/>
              <w:jc w:val="both"/>
            </w:pPr>
            <w:r>
              <w:rPr>
                <w:rFonts w:ascii="仿宋_GB2312" w:hAnsi="仿宋_GB2312" w:cs="仿宋_GB2312" w:eastAsia="仿宋_GB2312"/>
              </w:rPr>
              <w:t>1.输出波长范围1010-1100nm</w:t>
            </w:r>
            <w:r>
              <w:rPr>
                <w:rFonts w:ascii="仿宋_GB2312" w:hAnsi="仿宋_GB2312" w:cs="仿宋_GB2312" w:eastAsia="仿宋_GB2312"/>
              </w:rPr>
              <w:t>；</w:t>
            </w:r>
          </w:p>
          <w:p>
            <w:pPr>
              <w:pStyle w:val="null3"/>
              <w:jc w:val="both"/>
            </w:pPr>
            <w:r>
              <w:rPr>
                <w:rFonts w:ascii="仿宋_GB2312" w:hAnsi="仿宋_GB2312" w:cs="仿宋_GB2312" w:eastAsia="仿宋_GB2312"/>
              </w:rPr>
              <w:t>2.输出功率≥100mW</w:t>
            </w:r>
            <w:r>
              <w:rPr>
                <w:rFonts w:ascii="仿宋_GB2312" w:hAnsi="仿宋_GB2312" w:cs="仿宋_GB2312" w:eastAsia="仿宋_GB2312"/>
              </w:rPr>
              <w:t>；</w:t>
            </w:r>
          </w:p>
          <w:p>
            <w:pPr>
              <w:pStyle w:val="null3"/>
              <w:jc w:val="both"/>
            </w:pPr>
            <w:r>
              <w:rPr>
                <w:rFonts w:ascii="仿宋_GB2312" w:hAnsi="仿宋_GB2312" w:cs="仿宋_GB2312" w:eastAsia="仿宋_GB2312"/>
              </w:rPr>
              <w:t>3.输出激光线宽≤1MHz@50ms</w:t>
            </w:r>
            <w:r>
              <w:rPr>
                <w:rFonts w:ascii="仿宋_GB2312" w:hAnsi="仿宋_GB2312" w:cs="仿宋_GB2312" w:eastAsia="仿宋_GB2312"/>
              </w:rPr>
              <w:t>；</w:t>
            </w:r>
          </w:p>
          <w:p>
            <w:pPr>
              <w:pStyle w:val="null3"/>
              <w:jc w:val="both"/>
            </w:pPr>
            <w:r>
              <w:rPr>
                <w:rFonts w:ascii="仿宋_GB2312" w:hAnsi="仿宋_GB2312" w:cs="仿宋_GB2312" w:eastAsia="仿宋_GB2312"/>
              </w:rPr>
              <w:t>4.无跳模范围≥10GHz</w:t>
            </w:r>
            <w:r>
              <w:rPr>
                <w:rFonts w:ascii="仿宋_GB2312" w:hAnsi="仿宋_GB2312" w:cs="仿宋_GB2312" w:eastAsia="仿宋_GB2312"/>
              </w:rPr>
              <w:t>；</w:t>
            </w:r>
          </w:p>
          <w:p>
            <w:pPr>
              <w:pStyle w:val="null3"/>
              <w:jc w:val="both"/>
            </w:pPr>
            <w:r>
              <w:rPr>
                <w:rFonts w:ascii="仿宋_GB2312" w:hAnsi="仿宋_GB2312" w:cs="仿宋_GB2312" w:eastAsia="仿宋_GB2312"/>
              </w:rPr>
              <w:t>二、</w:t>
            </w:r>
            <w:r>
              <w:rPr>
                <w:rFonts w:ascii="仿宋_GB2312" w:hAnsi="仿宋_GB2312" w:cs="仿宋_GB2312" w:eastAsia="仿宋_GB2312"/>
              </w:rPr>
              <w:t>激光放大</w:t>
            </w:r>
            <w:r>
              <w:rPr>
                <w:rFonts w:ascii="仿宋_GB2312" w:hAnsi="仿宋_GB2312" w:cs="仿宋_GB2312" w:eastAsia="仿宋_GB2312"/>
              </w:rPr>
              <w:t>模块</w:t>
            </w:r>
          </w:p>
          <w:p>
            <w:pPr>
              <w:pStyle w:val="null3"/>
              <w:jc w:val="both"/>
            </w:pPr>
            <w:r>
              <w:rPr>
                <w:rFonts w:ascii="仿宋_GB2312" w:hAnsi="仿宋_GB2312" w:cs="仿宋_GB2312" w:eastAsia="仿宋_GB2312"/>
              </w:rPr>
              <w:t>1</w:t>
            </w:r>
            <w:r>
              <w:rPr>
                <w:rFonts w:ascii="仿宋_GB2312" w:hAnsi="仿宋_GB2312" w:cs="仿宋_GB2312" w:eastAsia="仿宋_GB2312"/>
              </w:rPr>
              <w:t>.增益波长范围101</w:t>
            </w:r>
            <w:r>
              <w:rPr>
                <w:rFonts w:ascii="仿宋_GB2312" w:hAnsi="仿宋_GB2312" w:cs="仿宋_GB2312" w:eastAsia="仿宋_GB2312"/>
              </w:rPr>
              <w:t>5</w:t>
            </w:r>
            <w:r>
              <w:rPr>
                <w:rFonts w:ascii="仿宋_GB2312" w:hAnsi="仿宋_GB2312" w:cs="仿宋_GB2312" w:eastAsia="仿宋_GB2312"/>
              </w:rPr>
              <w:t>-102</w:t>
            </w:r>
            <w:r>
              <w:rPr>
                <w:rFonts w:ascii="仿宋_GB2312" w:hAnsi="仿宋_GB2312" w:cs="仿宋_GB2312" w:eastAsia="仿宋_GB2312"/>
              </w:rPr>
              <w:t>5</w:t>
            </w:r>
            <w:r>
              <w:rPr>
                <w:rFonts w:ascii="仿宋_GB2312" w:hAnsi="仿宋_GB2312" w:cs="仿宋_GB2312" w:eastAsia="仿宋_GB2312"/>
              </w:rPr>
              <w:t>nm</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.输出功率≥10W</w:t>
            </w:r>
            <w:r>
              <w:rPr>
                <w:rFonts w:ascii="仿宋_GB2312" w:hAnsi="仿宋_GB2312" w:cs="仿宋_GB2312" w:eastAsia="仿宋_GB2312"/>
              </w:rPr>
              <w:t>；</w:t>
            </w:r>
          </w:p>
          <w:p>
            <w:pPr>
              <w:pStyle w:val="null3"/>
              <w:jc w:val="both"/>
            </w:pPr>
            <w:r>
              <w:rPr>
                <w:rFonts w:ascii="仿宋_GB2312" w:hAnsi="仿宋_GB2312" w:cs="仿宋_GB2312" w:eastAsia="仿宋_GB2312"/>
              </w:rPr>
              <w:t>三、</w:t>
            </w:r>
            <w:r>
              <w:rPr>
                <w:rFonts w:ascii="仿宋_GB2312" w:hAnsi="仿宋_GB2312" w:cs="仿宋_GB2312" w:eastAsia="仿宋_GB2312"/>
              </w:rPr>
              <w:t>倍频激光</w:t>
            </w:r>
            <w:r>
              <w:rPr>
                <w:rFonts w:ascii="仿宋_GB2312" w:hAnsi="仿宋_GB2312" w:cs="仿宋_GB2312" w:eastAsia="仿宋_GB2312"/>
              </w:rPr>
              <w:t>模块</w:t>
            </w:r>
          </w:p>
          <w:p>
            <w:pPr>
              <w:pStyle w:val="null3"/>
              <w:jc w:val="both"/>
            </w:pPr>
            <w:r>
              <w:rPr>
                <w:rFonts w:ascii="仿宋_GB2312" w:hAnsi="仿宋_GB2312" w:cs="仿宋_GB2312" w:eastAsia="仿宋_GB2312"/>
              </w:rPr>
              <w:t>1</w:t>
            </w:r>
            <w:r>
              <w:rPr>
                <w:rFonts w:ascii="仿宋_GB2312" w:hAnsi="仿宋_GB2312" w:cs="仿宋_GB2312" w:eastAsia="仿宋_GB2312"/>
              </w:rPr>
              <w:t>.功率稳定性：≤1%@24h</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.光斑尺寸：0.5mm</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.光束质量：M</w:t>
            </w:r>
            <w:r>
              <w:rPr>
                <w:rFonts w:ascii="仿宋_GB2312" w:hAnsi="仿宋_GB2312" w:cs="仿宋_GB2312" w:eastAsia="仿宋_GB2312"/>
              </w:rPr>
              <w:t>²</w:t>
            </w:r>
            <w:r>
              <w:rPr>
                <w:rFonts w:ascii="仿宋_GB2312" w:hAnsi="仿宋_GB2312" w:cs="仿宋_GB2312" w:eastAsia="仿宋_GB2312"/>
              </w:rPr>
              <w:t>≤1.2</w:t>
            </w:r>
            <w:r>
              <w:rPr>
                <w:rFonts w:ascii="仿宋_GB2312" w:hAnsi="仿宋_GB2312" w:cs="仿宋_GB2312" w:eastAsia="仿宋_GB2312"/>
              </w:rPr>
              <w:t>；</w:t>
            </w:r>
          </w:p>
          <w:p>
            <w:pPr>
              <w:pStyle w:val="null3"/>
              <w:jc w:val="both"/>
            </w:pPr>
            <w:r>
              <w:rPr>
                <w:rFonts w:ascii="仿宋_GB2312" w:hAnsi="仿宋_GB2312" w:cs="仿宋_GB2312" w:eastAsia="仿宋_GB2312"/>
              </w:rPr>
              <w:t>四、其他要求</w:t>
            </w:r>
          </w:p>
          <w:p>
            <w:pPr>
              <w:pStyle w:val="null3"/>
              <w:jc w:val="both"/>
            </w:pPr>
            <w:r>
              <w:rPr>
                <w:rFonts w:ascii="仿宋_GB2312" w:hAnsi="仿宋_GB2312" w:cs="仿宋_GB2312" w:eastAsia="仿宋_GB2312"/>
              </w:rPr>
              <w:t>1.包含锁频模块，</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30dB光隔离器。</w:t>
            </w:r>
          </w:p>
          <w:p>
            <w:pPr>
              <w:pStyle w:val="null3"/>
              <w:jc w:val="both"/>
            </w:pPr>
            <w:r>
              <w:rPr>
                <w:rFonts w:ascii="仿宋_GB2312" w:hAnsi="仿宋_GB2312" w:cs="仿宋_GB2312" w:eastAsia="仿宋_GB2312"/>
                <w:sz w:val="21"/>
              </w:rPr>
              <w:t>（注：所有技术参数均须满足要求，</w:t>
            </w:r>
            <w:r>
              <w:rPr>
                <w:rFonts w:ascii="仿宋_GB2312" w:hAnsi="仿宋_GB2312" w:cs="仿宋_GB2312" w:eastAsia="仿宋_GB2312"/>
                <w:sz w:val="21"/>
              </w:rPr>
              <w:t>#技术参数必须提供佐证材料（包括但不限于产品彩页、检测报告、官网截图等），不满足或未提供佐证材料视为负偏离，按无效文件处理。）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1）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 2）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售后服务响应时间（质保期内）：即时响应（包括电话响应）；电话响应无法解决的，应于48小时内到达现场。修复时间在24小时内解决；如在24小时内无法修复，则提供部件冗余服务或采取应急措施，提供相同产品或不低于故障产品规格档次的备用产品供采购人使用，以确保货物的正常使用。 2.安装调试、验收要求、培训要求：产品交货后一周内与采购人确认好安装调试时间，供应商安排具备相应专业资格和实际工作经验的工程技术人员在用户现场进行产品开箱、验货、安装和调试，并且负责所有工具软件的供货与安装、调试，解决产品调试中相关技术问题。供应商需总培训至少时长≥3 天（24 课时），培训时间人次不少于5人/天，其中理论授课 1 天、实操训练 2 天。培训内容需包括510nm 激光器工作原理（含脉冲/连续双模技术差异）；激光安全规范（Class IV 激光防护标准、应急处理流程）；设备硬件构成与核心部件功能（光源模块、控制单元、散热系统）。 3.免费赠送一次设备移机服务。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依据《中华人民共和国政府采购法》和《中华人民共和国政府法采购法实施条例》的有关规定，落实政府采购“优先购买节能环保产品、扶持小微企业、残疾人就业、监狱企业、福利企业”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专门面向中小企业采购，供应商须提供中小企业声明函。</w:t>
            </w:r>
          </w:p>
        </w:tc>
        <w:tc>
          <w:tcPr>
            <w:tcW w:type="dxa" w:w="1661"/>
          </w:tcPr>
          <w:p>
            <w:pPr>
              <w:pStyle w:val="null3"/>
            </w:pPr>
            <w:r>
              <w:rPr>
                <w:rFonts w:ascii="仿宋_GB2312" w:hAnsi="仿宋_GB2312" w:cs="仿宋_GB2312" w:eastAsia="仿宋_GB2312"/>
              </w:rPr>
              <w:t>02供应商资格证明资料.docx 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响应文件封面 01分项报价表.docx 中小企业声明函 02供应商资格证明资料.docx 标的清单 报价表 06供应商承诺书.docx 03商务和技术响应偏离表.docx 07供应商业绩一览表.docx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08投标保证金缴纳凭证.docx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其他商务要求及技术指标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04技术支持资料及实施方案.docx 05供应商认为有必要说明的其他问题.docx 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05供应商认为有必要说明的其他问题.docx 06供应商承诺书.docx 03商务和技术响应偏离表.docx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详见附件：04技术支持资料及实施方案.docx</w:t>
      </w:r>
    </w:p>
    <w:p>
      <w:pPr>
        <w:pStyle w:val="null3"/>
        <w:ind w:firstLine="960"/>
      </w:pPr>
      <w:r>
        <w:rPr>
          <w:rFonts w:ascii="仿宋_GB2312" w:hAnsi="仿宋_GB2312" w:cs="仿宋_GB2312" w:eastAsia="仿宋_GB2312"/>
        </w:rPr>
        <w:t>详见附件：05供应商认为有必要说明的其他问题.docx</w:t>
      </w:r>
    </w:p>
    <w:p>
      <w:pPr>
        <w:pStyle w:val="null3"/>
        <w:ind w:firstLine="960"/>
      </w:pPr>
      <w:r>
        <w:rPr>
          <w:rFonts w:ascii="仿宋_GB2312" w:hAnsi="仿宋_GB2312" w:cs="仿宋_GB2312" w:eastAsia="仿宋_GB2312"/>
        </w:rPr>
        <w:t>详见附件：06供应商承诺书.docx</w:t>
      </w:r>
    </w:p>
    <w:p>
      <w:pPr>
        <w:pStyle w:val="null3"/>
        <w:ind w:firstLine="960"/>
      </w:pPr>
      <w:r>
        <w:rPr>
          <w:rFonts w:ascii="仿宋_GB2312" w:hAnsi="仿宋_GB2312" w:cs="仿宋_GB2312" w:eastAsia="仿宋_GB2312"/>
        </w:rPr>
        <w:t>详见附件：07供应商业绩一览表.docx</w:t>
      </w:r>
    </w:p>
    <w:p>
      <w:pPr>
        <w:pStyle w:val="null3"/>
        <w:ind w:firstLine="960"/>
      </w:pPr>
      <w:r>
        <w:rPr>
          <w:rFonts w:ascii="仿宋_GB2312" w:hAnsi="仿宋_GB2312" w:cs="仿宋_GB2312" w:eastAsia="仿宋_GB2312"/>
        </w:rPr>
        <w:t>详见附件：08投标保证金缴纳凭证.docx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