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品牌、规格、型号、数量、原产地及配套内容进行供货；按时运到甲方指定的交货地点，负责</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到货后达到正常使用；负责为甲方培训操作、维护人员，指导操作使用维修保养，做好售后服务。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rPr>
        <w:t>（二）合同总价包括：</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供应费、运输费（含保险费）、安装调试费检测验</w:t>
      </w:r>
      <w:r>
        <w:rPr>
          <w:rFonts w:hint="eastAsia" w:ascii="仿宋_GB2312" w:hAnsi="仿宋_GB2312" w:eastAsia="仿宋_GB2312" w:cs="仿宋_GB2312"/>
          <w:color w:val="000000"/>
          <w:sz w:val="24"/>
          <w:highlight w:val="none"/>
        </w:rPr>
        <w:t>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（三</w:t>
      </w:r>
      <w:r>
        <w:rPr>
          <w:rFonts w:hint="eastAsia" w:ascii="仿宋_GB2312" w:hAnsi="仿宋_GB2312" w:eastAsia="仿宋_GB2312" w:cs="仿宋_GB2312"/>
          <w:color w:val="000000"/>
          <w:sz w:val="24"/>
          <w:highlight w:val="none"/>
        </w:rPr>
        <w:t>）合同</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总价一次性包死，</w:t>
      </w:r>
      <w:r>
        <w:rPr>
          <w:rFonts w:hint="eastAsia" w:ascii="仿宋_GB2312" w:hAnsi="仿宋_GB2312" w:eastAsia="仿宋_GB2312" w:cs="仿宋_GB2312"/>
          <w:color w:val="000000"/>
          <w:sz w:val="24"/>
          <w:highlight w:val="none"/>
          <w:lang w:val="en-US" w:eastAsia="zh-CN"/>
        </w:rPr>
        <w:t>医院可根据使用需求调整产品用量，</w:t>
      </w:r>
      <w:r>
        <w:rPr>
          <w:rFonts w:hint="eastAsia" w:ascii="仿宋_GB2312" w:hAnsi="仿宋_GB2312" w:eastAsia="仿宋_GB2312" w:cs="仿宋_GB2312"/>
          <w:color w:val="000000"/>
          <w:sz w:val="24"/>
          <w:highlight w:val="none"/>
        </w:rPr>
        <w:t>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（四）配置清单见附页：共</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页。</w:t>
      </w:r>
    </w:p>
    <w:p w14:paraId="2EDE1418">
      <w:pPr>
        <w:snapToGrid w:val="0"/>
        <w:spacing w:line="500" w:lineRule="exact"/>
        <w:ind w:left="446"/>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b/>
          <w:color w:val="000000"/>
          <w:sz w:val="24"/>
          <w:highlight w:val="none"/>
        </w:rPr>
        <w:t>第三条  款项结算</w:t>
      </w:r>
    </w:p>
    <w:p w14:paraId="5DB68E95">
      <w:pPr>
        <w:pStyle w:val="2"/>
        <w:spacing w:line="500" w:lineRule="exact"/>
        <w:ind w:firstLine="480" w:firstLineChars="20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lang w:eastAsia="zh-CN"/>
        </w:rPr>
        <w:t>中标单位配送时需提供发票、出库单、质检报告，甲方验货确认后，核对交易单据及明细无误后，在收到乙方正式发票之日起六个月回款；支付货款的方式为转账</w:t>
      </w:r>
      <w:r>
        <w:rPr>
          <w:rFonts w:hint="eastAsia" w:ascii="仿宋_GB2312" w:hAnsi="仿宋_GB2312" w:eastAsia="仿宋_GB2312" w:cs="仿宋_GB2312"/>
          <w:color w:val="auto"/>
          <w:highlight w:val="none"/>
        </w:rPr>
        <w:t>。</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highlight w:val="none"/>
          <w:u w:val="single"/>
        </w:rPr>
      </w:pPr>
      <w:r>
        <w:rPr>
          <w:rFonts w:hint="eastAsia" w:ascii="仿宋_GB2312" w:hAnsi="仿宋_GB2312" w:eastAsia="仿宋_GB2312" w:cs="仿宋_GB2312"/>
          <w:color w:val="000000"/>
          <w:sz w:val="24"/>
          <w:highlight w:val="none"/>
        </w:rPr>
        <w:t>乙方账户信息：</w:t>
      </w:r>
      <w:r>
        <w:rPr>
          <w:rFonts w:hint="eastAsia" w:ascii="仿宋_GB2312" w:hAnsi="仿宋_GB2312" w:eastAsia="仿宋_GB2312" w:cs="仿宋_GB2312"/>
          <w:color w:val="000000"/>
          <w:sz w:val="24"/>
          <w:highlight w:val="none"/>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b/>
          <w:color w:val="000000"/>
          <w:sz w:val="24"/>
          <w:highlight w:val="none"/>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负责核准、认定本项目相关技术资料文档；监督、参与项目执行的整个过程（包括项目验收、人员培训、售后服务等）；为乙方提供必要的工作条件，并提供该</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为甲方提交《项目实施方案》；按时完成</w:t>
      </w:r>
      <w:r>
        <w:rPr>
          <w:rFonts w:hint="eastAsia" w:ascii="仿宋_GB2312" w:hAnsi="仿宋_GB2312" w:eastAsia="仿宋_GB2312" w:cs="仿宋_GB2312"/>
          <w:color w:val="000000"/>
          <w:sz w:val="24"/>
          <w:highlight w:val="none"/>
          <w:lang w:val="en-US" w:eastAsia="zh-CN"/>
        </w:rPr>
        <w:t>产品使用</w:t>
      </w:r>
      <w:r>
        <w:rPr>
          <w:rFonts w:hint="eastAsia" w:ascii="仿宋_GB2312" w:hAnsi="仿宋_GB2312" w:eastAsia="仿宋_GB2312" w:cs="仿宋_GB2312"/>
          <w:color w:val="000000"/>
          <w:sz w:val="24"/>
          <w:highlight w:val="none"/>
        </w:rPr>
        <w:t>环境的检查；</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的交接；按时完成本合同所涉及</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b/>
          <w:color w:val="000000"/>
          <w:sz w:val="24"/>
          <w:highlight w:val="none"/>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乙方应随同货物提供相应的中文技术文件（包括</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highlight w:val="none"/>
          <w:u w:val="single"/>
        </w:rPr>
      </w:pPr>
      <w:r>
        <w:rPr>
          <w:rFonts w:hint="eastAsia" w:ascii="仿宋_GB2312" w:hAnsi="仿宋_GB2312" w:eastAsia="仿宋_GB2312" w:cs="仿宋_GB2312"/>
          <w:color w:val="000000"/>
          <w:sz w:val="24"/>
          <w:highlight w:val="none"/>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6153C194">
      <w:pPr>
        <w:snapToGrid w:val="0"/>
        <w:spacing w:line="500" w:lineRule="exact"/>
        <w:ind w:firstLine="480" w:firstLineChars="200"/>
        <w:rPr>
          <w:rFonts w:hint="default" w:ascii="仿宋_GB2312" w:hAnsi="仿宋_GB2312" w:eastAsia="仿宋_GB2312" w:cs="仿宋_GB2312"/>
          <w:b w:val="0"/>
          <w:bCs/>
          <w:color w:val="000000"/>
          <w:sz w:val="24"/>
          <w:highlight w:val="none"/>
          <w:lang w:val="en-US" w:eastAsia="zh-CN"/>
        </w:rPr>
      </w:pPr>
      <w:r>
        <w:rPr>
          <w:rFonts w:hint="eastAsia" w:ascii="仿宋_GB2312" w:hAnsi="仿宋_GB2312" w:eastAsia="仿宋_GB2312" w:cs="仿宋_GB2312"/>
          <w:b w:val="0"/>
          <w:bCs/>
          <w:color w:val="000000"/>
          <w:sz w:val="24"/>
          <w:highlight w:val="none"/>
          <w:lang w:eastAsia="zh-CN"/>
        </w:rPr>
        <w:t>（</w:t>
      </w:r>
      <w:r>
        <w:rPr>
          <w:rFonts w:hint="eastAsia" w:ascii="仿宋_GB2312" w:hAnsi="仿宋_GB2312" w:eastAsia="仿宋_GB2312" w:cs="仿宋_GB2312"/>
          <w:b w:val="0"/>
          <w:bCs/>
          <w:color w:val="000000"/>
          <w:sz w:val="24"/>
          <w:highlight w:val="none"/>
          <w:lang w:val="en-US" w:eastAsia="zh-CN"/>
        </w:rPr>
        <w:t>三</w:t>
      </w:r>
      <w:r>
        <w:rPr>
          <w:rFonts w:hint="eastAsia" w:ascii="仿宋_GB2312" w:hAnsi="仿宋_GB2312" w:eastAsia="仿宋_GB2312" w:cs="仿宋_GB2312"/>
          <w:b w:val="0"/>
          <w:bCs/>
          <w:color w:val="000000"/>
          <w:sz w:val="24"/>
          <w:highlight w:val="none"/>
          <w:lang w:eastAsia="zh-CN"/>
        </w:rPr>
        <w:t>）</w:t>
      </w:r>
      <w:r>
        <w:rPr>
          <w:rFonts w:hint="eastAsia" w:ascii="仿宋_GB2312" w:hAnsi="仿宋_GB2312" w:eastAsia="仿宋_GB2312" w:cs="仿宋_GB2312"/>
          <w:b w:val="0"/>
          <w:bCs/>
          <w:color w:val="000000"/>
          <w:sz w:val="24"/>
          <w:highlight w:val="none"/>
          <w:lang w:val="en-US" w:eastAsia="zh-CN"/>
        </w:rPr>
        <w:t>本合同的履行期限为1年。</w:t>
      </w:r>
    </w:p>
    <w:p w14:paraId="77A4D1E0">
      <w:pPr>
        <w:snapToGrid w:val="0"/>
        <w:spacing w:line="500" w:lineRule="exact"/>
        <w:ind w:firstLine="482" w:firstLineChars="200"/>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b/>
          <w:color w:val="000000"/>
          <w:sz w:val="24"/>
          <w:highlight w:val="none"/>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符合国家有关规范要求，确保</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达到最佳</w:t>
      </w:r>
      <w:r>
        <w:rPr>
          <w:rFonts w:hint="eastAsia" w:ascii="仿宋_GB2312" w:hAnsi="仿宋_GB2312" w:eastAsia="仿宋_GB2312" w:cs="仿宋_GB2312"/>
          <w:color w:val="000000"/>
          <w:sz w:val="24"/>
          <w:lang w:val="en-US" w:eastAsia="zh-CN"/>
        </w:rPr>
        <w:t>使用</w:t>
      </w:r>
      <w:r>
        <w:rPr>
          <w:rFonts w:hint="eastAsia" w:ascii="仿宋_GB2312" w:hAnsi="仿宋_GB2312" w:eastAsia="仿宋_GB2312" w:cs="仿宋_GB2312"/>
          <w:color w:val="000000"/>
          <w:sz w:val="24"/>
        </w:rPr>
        <w:t>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具有良好的外观，适合安装场所</w:t>
      </w:r>
      <w:bookmarkStart w:id="0" w:name="_GoBack"/>
      <w:bookmarkEnd w:id="0"/>
      <w:r>
        <w:rPr>
          <w:rFonts w:hint="eastAsia" w:ascii="仿宋_GB2312" w:hAnsi="仿宋_GB2312" w:eastAsia="仿宋_GB2312" w:cs="仿宋_GB2312"/>
          <w:color w:val="000000"/>
          <w:sz w:val="24"/>
        </w:rPr>
        <w:t>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个工作日内，如出现质量问题，可以选择换货或退货。</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 xml:space="preserve">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1、</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合格证明；</w:t>
      </w:r>
    </w:p>
    <w:p w14:paraId="630701DC">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2、</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3、进口</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w:t>
      </w:r>
      <w:r>
        <w:rPr>
          <w:rFonts w:hint="eastAsia" w:ascii="仿宋_GB2312" w:hAnsi="仿宋_GB2312" w:eastAsia="仿宋_GB2312" w:cs="仿宋_GB2312"/>
          <w:color w:val="000000"/>
          <w:sz w:val="24"/>
          <w:highlight w:val="none"/>
        </w:rPr>
        <w:t>起的</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highlight w:val="none"/>
        </w:rPr>
        <w:t>故</w:t>
      </w:r>
      <w:r>
        <w:rPr>
          <w:rFonts w:hint="eastAsia" w:ascii="仿宋_GB2312" w:hAnsi="仿宋_GB2312" w:eastAsia="仿宋_GB2312" w:cs="仿宋_GB2312"/>
          <w:color w:val="000000"/>
          <w:sz w:val="24"/>
        </w:rPr>
        <w:t>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w:t>
      </w:r>
      <w:r>
        <w:rPr>
          <w:rFonts w:hint="eastAsia" w:ascii="仿宋_GB2312" w:hAnsi="仿宋_GB2312" w:eastAsia="仿宋_GB2312" w:cs="仿宋_GB2312"/>
          <w:color w:val="000000"/>
          <w:sz w:val="24"/>
          <w:highlight w:val="none"/>
          <w:lang w:val="en-US" w:eastAsia="zh-CN"/>
        </w:rPr>
        <w:t>产品</w:t>
      </w:r>
      <w:r>
        <w:rPr>
          <w:rFonts w:hint="eastAsia" w:ascii="仿宋_GB2312" w:hAnsi="仿宋_GB2312" w:eastAsia="仿宋_GB2312" w:cs="仿宋_GB2312"/>
          <w:color w:val="000000"/>
          <w:sz w:val="24"/>
        </w:rPr>
        <w:t>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w:t>
      </w:r>
      <w:r>
        <w:rPr>
          <w:rFonts w:hint="eastAsia" w:ascii="仿宋_GB2312" w:hAnsi="仿宋_GB2312" w:eastAsia="仿宋_GB2312" w:cs="仿宋_GB2312"/>
          <w:color w:val="000000"/>
          <w:sz w:val="24"/>
          <w:lang w:val="en-US" w:eastAsia="zh-CN"/>
        </w:rPr>
        <w:t>产品</w:t>
      </w:r>
      <w:r>
        <w:rPr>
          <w:rFonts w:hint="eastAsia" w:ascii="仿宋_GB2312" w:hAnsi="仿宋_GB2312" w:eastAsia="仿宋_GB2312" w:cs="仿宋_GB2312"/>
          <w:color w:val="000000"/>
          <w:sz w:val="24"/>
        </w:rPr>
        <w:t>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产品</w:t>
      </w:r>
      <w:r>
        <w:rPr>
          <w:rFonts w:hint="eastAsia" w:ascii="仿宋_GB2312" w:hAnsi="仿宋_GB2312" w:eastAsia="仿宋_GB2312" w:cs="仿宋_GB2312"/>
          <w:b/>
          <w:color w:val="000000"/>
          <w:sz w:val="32"/>
          <w:szCs w:val="32"/>
        </w:rPr>
        <w:t>配置清单</w:t>
      </w:r>
    </w:p>
    <w:p w14:paraId="5FA82CF7">
      <w:pPr>
        <w:rPr>
          <w:rFonts w:hint="eastAsia" w:ascii="仿宋_GB2312" w:hAnsi="仿宋_GB2312" w:eastAsia="仿宋_GB2312" w:cs="仿宋_GB2312"/>
        </w:rPr>
      </w:pPr>
    </w:p>
    <w:p w14:paraId="77BDD99D">
      <w:pPr>
        <w:pStyle w:val="5"/>
      </w:pPr>
    </w:p>
    <w:p w14:paraId="7479D313">
      <w:pPr>
        <w:pStyle w:val="5"/>
        <w:rPr>
          <w:rFonts w:hint="eastAsia"/>
          <w:lang w:val="en-US" w:eastAsia="zh-Hans"/>
        </w:rPr>
      </w:pPr>
    </w:p>
    <w:p w14:paraId="2571549B">
      <w:pPr>
        <w:pStyle w:val="5"/>
        <w:rPr>
          <w:rFonts w:hint="eastAsia"/>
          <w:lang w:val="en-US" w:eastAsia="zh-Hans"/>
        </w:rPr>
      </w:pPr>
    </w:p>
    <w:p w14:paraId="7EBD36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C256D"/>
    <w:rsid w:val="4F53563A"/>
    <w:rsid w:val="7E015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2025-07-04T00:54:00Z</dcterms:created>
  <dc:creator>Admin</dc:creator>
  <cp:lastModifiedBy>陕西中技招标有限公司</cp:lastModifiedBy>
  <dcterms:modified xsi:type="dcterms:W3CDTF">2025-10-31T03:53:47Z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A68ADBE38BE24117A6B819A3473BF807_12</vt:lpwstr>
  </property>
  <property fmtid="{D5CDD505-2E9C-101B-9397-08002B2CF9AE}" pid="4" name="KSOTemplateDocerSaveRecord">
    <vt:lpwstr>eyJoZGlkIjoiMDJmMDY2NWJkNzMyNDBkMDE5N2YxMjQ1ODgyMjZiMzUiLCJ1c2VySWQiOiIyNTE3NDAxMDAifQ==</vt:lpwstr>
  </property>
</Properties>
</file>