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BA1A98">
      <w:pPr>
        <w:pStyle w:val="2"/>
        <w:keepNext w:val="0"/>
        <w:keepLines w:val="0"/>
        <w:numPr>
          <w:ilvl w:val="0"/>
          <w:numId w:val="0"/>
        </w:numPr>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合同（仅供参考）</w:t>
      </w:r>
    </w:p>
    <w:p w14:paraId="3542DF4C">
      <w:pPr>
        <w:numPr>
          <w:ilvl w:val="0"/>
          <w:numId w:val="0"/>
        </w:numPr>
        <w:rPr>
          <w:rFonts w:hint="eastAsia" w:ascii="仿宋" w:hAnsi="仿宋" w:eastAsia="仿宋" w:cs="仿宋"/>
          <w:sz w:val="28"/>
          <w:szCs w:val="28"/>
          <w:highlight w:val="none"/>
        </w:rPr>
      </w:pPr>
    </w:p>
    <w:p w14:paraId="7160C5E7">
      <w:pPr>
        <w:wordWrap w:val="0"/>
        <w:topLinePunct/>
        <w:spacing w:line="360" w:lineRule="auto"/>
        <w:ind w:firstLine="560"/>
        <w:jc w:val="left"/>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甲方：</w:t>
      </w:r>
      <w:r>
        <w:rPr>
          <w:rFonts w:hint="eastAsia" w:ascii="仿宋" w:hAnsi="仿宋" w:eastAsia="仿宋" w:cs="仿宋"/>
          <w:color w:val="000000"/>
          <w:sz w:val="24"/>
          <w:szCs w:val="24"/>
          <w:highlight w:val="none"/>
          <w:u w:val="single"/>
        </w:rPr>
        <w:t>陕西省住房和城乡建设厅机关</w:t>
      </w:r>
    </w:p>
    <w:p w14:paraId="4FA50F30">
      <w:pPr>
        <w:wordWrap w:val="0"/>
        <w:topLinePunct/>
        <w:spacing w:line="360" w:lineRule="auto"/>
        <w:ind w:firstLine="56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乙方：</w:t>
      </w:r>
    </w:p>
    <w:p w14:paraId="03DE388D">
      <w:pPr>
        <w:wordWrap w:val="0"/>
        <w:topLinePunct/>
        <w:spacing w:line="360" w:lineRule="auto"/>
        <w:ind w:firstLine="56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在陕西省财政局的监督管理下，按照政府采购程序组织评审，确定乙方为</w:t>
      </w:r>
      <w:r>
        <w:rPr>
          <w:rFonts w:hint="eastAsia" w:ascii="仿宋" w:hAnsi="仿宋" w:eastAsia="仿宋" w:cs="仿宋"/>
          <w:color w:val="000000"/>
          <w:sz w:val="24"/>
          <w:szCs w:val="24"/>
          <w:highlight w:val="none"/>
        </w:rPr>
        <w:t>陕西省住房和城乡建设厅机关</w:t>
      </w:r>
      <w:r>
        <w:rPr>
          <w:rFonts w:hint="eastAsia" w:ascii="仿宋" w:hAnsi="仿宋" w:eastAsia="仿宋" w:cs="仿宋"/>
          <w:color w:val="000000"/>
          <w:sz w:val="24"/>
          <w:szCs w:val="24"/>
          <w:highlight w:val="none"/>
          <w:u w:val="single"/>
          <w:lang w:val="en-US" w:eastAsia="zh-CN"/>
        </w:rPr>
        <w:t xml:space="preserve">            </w:t>
      </w:r>
      <w:r>
        <w:rPr>
          <w:rFonts w:hint="eastAsia" w:ascii="仿宋" w:hAnsi="仿宋" w:eastAsia="仿宋" w:cs="仿宋"/>
          <w:color w:val="000000"/>
          <w:sz w:val="24"/>
          <w:szCs w:val="24"/>
          <w:highlight w:val="none"/>
        </w:rPr>
        <w:t>（项目编号：</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w:t>
      </w:r>
      <w:r>
        <w:rPr>
          <w:rFonts w:hint="eastAsia" w:ascii="仿宋" w:hAnsi="仿宋" w:eastAsia="仿宋" w:cs="仿宋"/>
          <w:sz w:val="24"/>
          <w:szCs w:val="24"/>
          <w:highlight w:val="none"/>
        </w:rPr>
        <w:t>成交供应商。依据《中华人民共和国政府采购法》、《中华人民共和国民法典》以及竞争性磋商文件、成交通知书，经甲、乙双方协商，，达成如下合同条款。</w:t>
      </w:r>
    </w:p>
    <w:p w14:paraId="0FC4CF67">
      <w:pPr>
        <w:tabs>
          <w:tab w:val="left" w:pos="480"/>
        </w:tabs>
        <w:wordWrap w:val="0"/>
        <w:topLinePunct/>
        <w:spacing w:line="360" w:lineRule="auto"/>
        <w:jc w:val="left"/>
        <w:rPr>
          <w:rFonts w:hint="eastAsia" w:ascii="仿宋" w:hAnsi="仿宋" w:eastAsia="仿宋" w:cs="仿宋"/>
          <w:b/>
          <w:sz w:val="24"/>
          <w:szCs w:val="24"/>
          <w:highlight w:val="none"/>
        </w:rPr>
      </w:pPr>
      <w:r>
        <w:rPr>
          <w:rFonts w:hint="eastAsia" w:ascii="仿宋" w:hAnsi="仿宋" w:eastAsia="仿宋" w:cs="仿宋"/>
          <w:b/>
          <w:sz w:val="24"/>
          <w:szCs w:val="24"/>
          <w:highlight w:val="none"/>
        </w:rPr>
        <w:t>一、合同标的物内容及数量</w:t>
      </w:r>
    </w:p>
    <w:tbl>
      <w:tblPr>
        <w:tblStyle w:val="3"/>
        <w:tblW w:w="86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6"/>
        <w:gridCol w:w="1983"/>
        <w:gridCol w:w="1494"/>
        <w:gridCol w:w="711"/>
        <w:gridCol w:w="1578"/>
        <w:gridCol w:w="701"/>
        <w:gridCol w:w="712"/>
        <w:gridCol w:w="712"/>
      </w:tblGrid>
      <w:tr w14:paraId="237EFB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76" w:hRule="atLeast"/>
          <w:tblHeader/>
          <w:jc w:val="center"/>
        </w:trPr>
        <w:tc>
          <w:tcPr>
            <w:tcW w:w="716" w:type="dxa"/>
            <w:tcBorders>
              <w:top w:val="single" w:color="auto" w:sz="4" w:space="0"/>
              <w:left w:val="single" w:color="auto" w:sz="4" w:space="0"/>
              <w:bottom w:val="single" w:color="auto" w:sz="4" w:space="0"/>
              <w:right w:val="single" w:color="auto" w:sz="4" w:space="0"/>
            </w:tcBorders>
            <w:noWrap/>
            <w:vAlign w:val="center"/>
          </w:tcPr>
          <w:p w14:paraId="66CEA0D8">
            <w:pPr>
              <w:tabs>
                <w:tab w:val="left" w:pos="480"/>
              </w:tabs>
              <w:wordWrap w:val="0"/>
              <w:topLinePunct/>
              <w:spacing w:line="360" w:lineRule="auto"/>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序号</w:t>
            </w:r>
          </w:p>
        </w:tc>
        <w:tc>
          <w:tcPr>
            <w:tcW w:w="1983" w:type="dxa"/>
            <w:tcBorders>
              <w:top w:val="single" w:color="auto" w:sz="4" w:space="0"/>
              <w:left w:val="single" w:color="auto" w:sz="4" w:space="0"/>
              <w:bottom w:val="single" w:color="auto" w:sz="4" w:space="0"/>
              <w:right w:val="single" w:color="auto" w:sz="4" w:space="0"/>
            </w:tcBorders>
            <w:noWrap/>
            <w:vAlign w:val="center"/>
          </w:tcPr>
          <w:p w14:paraId="791255BD">
            <w:pPr>
              <w:tabs>
                <w:tab w:val="left" w:pos="480"/>
              </w:tabs>
              <w:wordWrap w:val="0"/>
              <w:topLinePunct/>
              <w:spacing w:line="360" w:lineRule="auto"/>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服务名称</w:t>
            </w:r>
          </w:p>
        </w:tc>
        <w:tc>
          <w:tcPr>
            <w:tcW w:w="1494" w:type="dxa"/>
            <w:tcBorders>
              <w:top w:val="single" w:color="auto" w:sz="4" w:space="0"/>
              <w:left w:val="single" w:color="auto" w:sz="4" w:space="0"/>
              <w:bottom w:val="single" w:color="auto" w:sz="4" w:space="0"/>
              <w:right w:val="single" w:color="auto" w:sz="4" w:space="0"/>
            </w:tcBorders>
            <w:noWrap/>
            <w:vAlign w:val="center"/>
          </w:tcPr>
          <w:p w14:paraId="121BE311">
            <w:pPr>
              <w:tabs>
                <w:tab w:val="left" w:pos="480"/>
              </w:tabs>
              <w:wordWrap w:val="0"/>
              <w:topLinePunct/>
              <w:spacing w:line="360" w:lineRule="auto"/>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服务内容</w:t>
            </w:r>
          </w:p>
        </w:tc>
        <w:tc>
          <w:tcPr>
            <w:tcW w:w="711" w:type="dxa"/>
            <w:tcBorders>
              <w:top w:val="single" w:color="auto" w:sz="4" w:space="0"/>
              <w:left w:val="single" w:color="auto" w:sz="4" w:space="0"/>
              <w:bottom w:val="single" w:color="auto" w:sz="4" w:space="0"/>
              <w:right w:val="single" w:color="auto" w:sz="4" w:space="0"/>
            </w:tcBorders>
            <w:noWrap/>
            <w:vAlign w:val="center"/>
          </w:tcPr>
          <w:p w14:paraId="63BFD6B5">
            <w:pPr>
              <w:tabs>
                <w:tab w:val="left" w:pos="480"/>
              </w:tabs>
              <w:wordWrap w:val="0"/>
              <w:topLinePunct/>
              <w:spacing w:line="360" w:lineRule="auto"/>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计量单位</w:t>
            </w:r>
          </w:p>
        </w:tc>
        <w:tc>
          <w:tcPr>
            <w:tcW w:w="1578" w:type="dxa"/>
            <w:tcBorders>
              <w:top w:val="single" w:color="auto" w:sz="4" w:space="0"/>
              <w:left w:val="single" w:color="auto" w:sz="4" w:space="0"/>
              <w:bottom w:val="single" w:color="auto" w:sz="4" w:space="0"/>
              <w:right w:val="single" w:color="auto" w:sz="4" w:space="0"/>
            </w:tcBorders>
            <w:noWrap/>
            <w:vAlign w:val="center"/>
          </w:tcPr>
          <w:p w14:paraId="4F13D25C">
            <w:pPr>
              <w:tabs>
                <w:tab w:val="left" w:pos="480"/>
              </w:tabs>
              <w:wordWrap w:val="0"/>
              <w:topLinePunct/>
              <w:spacing w:line="360" w:lineRule="auto"/>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服务时间</w:t>
            </w:r>
          </w:p>
        </w:tc>
        <w:tc>
          <w:tcPr>
            <w:tcW w:w="701" w:type="dxa"/>
            <w:tcBorders>
              <w:top w:val="single" w:color="auto" w:sz="4" w:space="0"/>
              <w:left w:val="single" w:color="auto" w:sz="4" w:space="0"/>
              <w:bottom w:val="single" w:color="auto" w:sz="4" w:space="0"/>
              <w:right w:val="single" w:color="auto" w:sz="4" w:space="0"/>
            </w:tcBorders>
            <w:noWrap/>
            <w:vAlign w:val="center"/>
          </w:tcPr>
          <w:p w14:paraId="66C4AF71">
            <w:pPr>
              <w:tabs>
                <w:tab w:val="left" w:pos="480"/>
              </w:tabs>
              <w:wordWrap w:val="0"/>
              <w:topLinePunct/>
              <w:spacing w:line="360" w:lineRule="auto"/>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数量</w:t>
            </w:r>
          </w:p>
        </w:tc>
        <w:tc>
          <w:tcPr>
            <w:tcW w:w="712" w:type="dxa"/>
            <w:tcBorders>
              <w:top w:val="single" w:color="auto" w:sz="4" w:space="0"/>
              <w:left w:val="single" w:color="auto" w:sz="4" w:space="0"/>
              <w:bottom w:val="single" w:color="auto" w:sz="4" w:space="0"/>
              <w:right w:val="single" w:color="auto" w:sz="4" w:space="0"/>
            </w:tcBorders>
            <w:noWrap/>
            <w:vAlign w:val="center"/>
          </w:tcPr>
          <w:p w14:paraId="43A0651E">
            <w:pPr>
              <w:tabs>
                <w:tab w:val="left" w:pos="480"/>
              </w:tabs>
              <w:wordWrap w:val="0"/>
              <w:topLinePunct/>
              <w:spacing w:line="360" w:lineRule="auto"/>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单价</w:t>
            </w:r>
          </w:p>
        </w:tc>
        <w:tc>
          <w:tcPr>
            <w:tcW w:w="712" w:type="dxa"/>
            <w:tcBorders>
              <w:top w:val="single" w:color="auto" w:sz="4" w:space="0"/>
              <w:left w:val="single" w:color="auto" w:sz="4" w:space="0"/>
              <w:bottom w:val="single" w:color="auto" w:sz="4" w:space="0"/>
              <w:right w:val="single" w:color="auto" w:sz="4" w:space="0"/>
            </w:tcBorders>
            <w:noWrap/>
            <w:vAlign w:val="center"/>
          </w:tcPr>
          <w:p w14:paraId="2D4CE66B">
            <w:pPr>
              <w:tabs>
                <w:tab w:val="left" w:pos="480"/>
              </w:tabs>
              <w:wordWrap w:val="0"/>
              <w:topLinePunct/>
              <w:spacing w:line="360" w:lineRule="auto"/>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金额</w:t>
            </w:r>
          </w:p>
        </w:tc>
      </w:tr>
      <w:tr w14:paraId="4A94C2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76" w:hRule="atLeast"/>
          <w:jc w:val="center"/>
        </w:trPr>
        <w:tc>
          <w:tcPr>
            <w:tcW w:w="716" w:type="dxa"/>
            <w:tcBorders>
              <w:top w:val="single" w:color="auto" w:sz="4" w:space="0"/>
              <w:left w:val="single" w:color="auto" w:sz="4" w:space="0"/>
              <w:bottom w:val="single" w:color="auto" w:sz="4" w:space="0"/>
              <w:right w:val="single" w:color="auto" w:sz="4" w:space="0"/>
            </w:tcBorders>
            <w:noWrap/>
            <w:vAlign w:val="center"/>
          </w:tcPr>
          <w:p w14:paraId="1D963A9D">
            <w:pPr>
              <w:tabs>
                <w:tab w:val="left" w:pos="480"/>
              </w:tabs>
              <w:wordWrap w:val="0"/>
              <w:topLinePunct/>
              <w:spacing w:line="360" w:lineRule="auto"/>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1</w:t>
            </w:r>
          </w:p>
        </w:tc>
        <w:tc>
          <w:tcPr>
            <w:tcW w:w="1983" w:type="dxa"/>
            <w:tcBorders>
              <w:top w:val="single" w:color="auto" w:sz="4" w:space="0"/>
              <w:left w:val="single" w:color="auto" w:sz="4" w:space="0"/>
              <w:bottom w:val="single" w:color="auto" w:sz="4" w:space="0"/>
              <w:right w:val="single" w:color="auto" w:sz="4" w:space="0"/>
            </w:tcBorders>
            <w:noWrap/>
            <w:vAlign w:val="center"/>
          </w:tcPr>
          <w:p w14:paraId="73FF33F9">
            <w:pPr>
              <w:tabs>
                <w:tab w:val="left" w:pos="480"/>
              </w:tabs>
              <w:wordWrap w:val="0"/>
              <w:topLinePunct/>
              <w:spacing w:line="360" w:lineRule="auto"/>
              <w:jc w:val="left"/>
              <w:rPr>
                <w:rFonts w:hint="eastAsia" w:ascii="仿宋" w:hAnsi="仿宋" w:eastAsia="仿宋" w:cs="仿宋"/>
                <w:color w:val="000000"/>
                <w:sz w:val="24"/>
                <w:szCs w:val="24"/>
                <w:highlight w:val="none"/>
                <w:lang w:eastAsia="zh-CN"/>
              </w:rPr>
            </w:pPr>
            <w:r>
              <w:rPr>
                <w:rFonts w:hint="eastAsia" w:ascii="仿宋" w:hAnsi="仿宋" w:eastAsia="仿宋" w:cs="仿宋"/>
                <w:color w:val="000000"/>
                <w:sz w:val="24"/>
                <w:szCs w:val="24"/>
                <w:highlight w:val="none"/>
                <w:lang w:eastAsia="zh-CN"/>
              </w:rPr>
              <w:t>城市建筑火灾报警数据远程传输系统课题研究</w:t>
            </w:r>
            <w:bookmarkStart w:id="0" w:name="_GoBack"/>
            <w:bookmarkEnd w:id="0"/>
          </w:p>
        </w:tc>
        <w:tc>
          <w:tcPr>
            <w:tcW w:w="1494" w:type="dxa"/>
            <w:tcBorders>
              <w:top w:val="single" w:color="auto" w:sz="4" w:space="0"/>
              <w:left w:val="single" w:color="auto" w:sz="4" w:space="0"/>
              <w:bottom w:val="single" w:color="auto" w:sz="4" w:space="0"/>
              <w:right w:val="single" w:color="auto" w:sz="4" w:space="0"/>
            </w:tcBorders>
            <w:noWrap/>
            <w:vAlign w:val="center"/>
          </w:tcPr>
          <w:p w14:paraId="74E34E68">
            <w:pPr>
              <w:tabs>
                <w:tab w:val="left" w:pos="480"/>
              </w:tabs>
              <w:wordWrap w:val="0"/>
              <w:topLinePunct/>
              <w:spacing w:line="360" w:lineRule="auto"/>
              <w:jc w:val="center"/>
              <w:rPr>
                <w:rFonts w:hint="eastAsia" w:ascii="仿宋" w:hAnsi="仿宋" w:eastAsia="仿宋" w:cs="仿宋"/>
                <w:color w:val="000000"/>
                <w:sz w:val="24"/>
                <w:szCs w:val="24"/>
                <w:highlight w:val="none"/>
              </w:rPr>
            </w:pPr>
          </w:p>
        </w:tc>
        <w:tc>
          <w:tcPr>
            <w:tcW w:w="711" w:type="dxa"/>
            <w:tcBorders>
              <w:top w:val="single" w:color="auto" w:sz="4" w:space="0"/>
              <w:left w:val="single" w:color="auto" w:sz="4" w:space="0"/>
              <w:bottom w:val="single" w:color="auto" w:sz="4" w:space="0"/>
              <w:right w:val="single" w:color="auto" w:sz="4" w:space="0"/>
            </w:tcBorders>
            <w:noWrap/>
            <w:vAlign w:val="center"/>
          </w:tcPr>
          <w:p w14:paraId="621064CF">
            <w:pPr>
              <w:tabs>
                <w:tab w:val="left" w:pos="480"/>
              </w:tabs>
              <w:wordWrap w:val="0"/>
              <w:topLinePunct/>
              <w:spacing w:line="360" w:lineRule="auto"/>
              <w:jc w:val="center"/>
              <w:rPr>
                <w:rFonts w:hint="eastAsia" w:ascii="仿宋" w:hAnsi="仿宋" w:eastAsia="仿宋" w:cs="仿宋"/>
                <w:color w:val="000000"/>
                <w:sz w:val="24"/>
                <w:szCs w:val="24"/>
                <w:highlight w:val="none"/>
                <w:lang w:val="en-US" w:eastAsia="zh-CN"/>
              </w:rPr>
            </w:pPr>
            <w:r>
              <w:rPr>
                <w:rFonts w:hint="eastAsia" w:ascii="仿宋" w:hAnsi="仿宋" w:eastAsia="仿宋" w:cs="仿宋"/>
                <w:color w:val="000000"/>
                <w:sz w:val="24"/>
                <w:szCs w:val="24"/>
                <w:highlight w:val="none"/>
                <w:lang w:val="en-US" w:eastAsia="zh-CN"/>
              </w:rPr>
              <w:t>项</w:t>
            </w:r>
          </w:p>
        </w:tc>
        <w:tc>
          <w:tcPr>
            <w:tcW w:w="1578" w:type="dxa"/>
            <w:tcBorders>
              <w:top w:val="single" w:color="auto" w:sz="4" w:space="0"/>
              <w:left w:val="single" w:color="auto" w:sz="4" w:space="0"/>
              <w:bottom w:val="single" w:color="auto" w:sz="4" w:space="0"/>
              <w:right w:val="single" w:color="auto" w:sz="4" w:space="0"/>
            </w:tcBorders>
            <w:noWrap/>
            <w:vAlign w:val="center"/>
          </w:tcPr>
          <w:p w14:paraId="3A556A60">
            <w:pPr>
              <w:wordWrap w:val="0"/>
              <w:topLinePunct/>
              <w:spacing w:line="360" w:lineRule="auto"/>
              <w:jc w:val="center"/>
              <w:rPr>
                <w:rFonts w:hint="eastAsia" w:ascii="仿宋" w:hAnsi="仿宋" w:eastAsia="仿宋" w:cs="仿宋"/>
                <w:color w:val="000000"/>
                <w:sz w:val="24"/>
                <w:szCs w:val="24"/>
                <w:highlight w:val="none"/>
                <w:lang w:val="en-US" w:eastAsia="zh-CN"/>
              </w:rPr>
            </w:pPr>
            <w:r>
              <w:rPr>
                <w:rFonts w:hint="eastAsia" w:ascii="仿宋" w:hAnsi="仿宋" w:eastAsia="仿宋" w:cs="仿宋"/>
                <w:color w:val="000000"/>
                <w:sz w:val="24"/>
                <w:szCs w:val="24"/>
                <w:highlight w:val="none"/>
                <w:lang w:val="en-US" w:eastAsia="zh-CN"/>
              </w:rPr>
              <w:t>自合同签订之日起至2025年12月31日</w:t>
            </w:r>
          </w:p>
        </w:tc>
        <w:tc>
          <w:tcPr>
            <w:tcW w:w="701" w:type="dxa"/>
            <w:tcBorders>
              <w:top w:val="single" w:color="auto" w:sz="4" w:space="0"/>
              <w:left w:val="single" w:color="auto" w:sz="4" w:space="0"/>
              <w:bottom w:val="single" w:color="auto" w:sz="4" w:space="0"/>
              <w:right w:val="single" w:color="auto" w:sz="4" w:space="0"/>
            </w:tcBorders>
            <w:noWrap/>
            <w:vAlign w:val="center"/>
          </w:tcPr>
          <w:p w14:paraId="7C74BBAF">
            <w:pPr>
              <w:tabs>
                <w:tab w:val="left" w:pos="480"/>
              </w:tabs>
              <w:wordWrap w:val="0"/>
              <w:topLinePunct/>
              <w:spacing w:line="360" w:lineRule="auto"/>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val="en-US" w:eastAsia="zh-CN"/>
              </w:rPr>
              <w:t>1</w:t>
            </w:r>
          </w:p>
        </w:tc>
        <w:tc>
          <w:tcPr>
            <w:tcW w:w="712" w:type="dxa"/>
            <w:tcBorders>
              <w:top w:val="single" w:color="auto" w:sz="4" w:space="0"/>
              <w:left w:val="single" w:color="auto" w:sz="4" w:space="0"/>
              <w:bottom w:val="single" w:color="auto" w:sz="4" w:space="0"/>
              <w:right w:val="single" w:color="auto" w:sz="4" w:space="0"/>
            </w:tcBorders>
            <w:noWrap/>
            <w:vAlign w:val="center"/>
          </w:tcPr>
          <w:p w14:paraId="36E00993">
            <w:pPr>
              <w:tabs>
                <w:tab w:val="left" w:pos="480"/>
              </w:tabs>
              <w:wordWrap w:val="0"/>
              <w:topLinePunct/>
              <w:spacing w:line="360" w:lineRule="auto"/>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w:t>
            </w:r>
          </w:p>
        </w:tc>
        <w:tc>
          <w:tcPr>
            <w:tcW w:w="712" w:type="dxa"/>
            <w:tcBorders>
              <w:top w:val="single" w:color="auto" w:sz="4" w:space="0"/>
              <w:left w:val="single" w:color="auto" w:sz="4" w:space="0"/>
              <w:bottom w:val="single" w:color="auto" w:sz="4" w:space="0"/>
              <w:right w:val="single" w:color="auto" w:sz="4" w:space="0"/>
            </w:tcBorders>
            <w:noWrap/>
            <w:vAlign w:val="center"/>
          </w:tcPr>
          <w:p w14:paraId="58CC4C22">
            <w:pPr>
              <w:tabs>
                <w:tab w:val="left" w:pos="480"/>
              </w:tabs>
              <w:wordWrap w:val="0"/>
              <w:topLinePunct/>
              <w:spacing w:line="360" w:lineRule="auto"/>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w:t>
            </w:r>
          </w:p>
        </w:tc>
      </w:tr>
      <w:tr w14:paraId="22FC6E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716" w:type="dxa"/>
            <w:tcBorders>
              <w:top w:val="single" w:color="auto" w:sz="4" w:space="0"/>
              <w:left w:val="single" w:color="auto" w:sz="4" w:space="0"/>
              <w:bottom w:val="single" w:color="auto" w:sz="4" w:space="0"/>
              <w:right w:val="single" w:color="auto" w:sz="4" w:space="0"/>
            </w:tcBorders>
            <w:noWrap/>
            <w:vAlign w:val="center"/>
          </w:tcPr>
          <w:p w14:paraId="4DE52FCD">
            <w:pPr>
              <w:tabs>
                <w:tab w:val="left" w:pos="480"/>
              </w:tabs>
              <w:wordWrap w:val="0"/>
              <w:topLinePunct/>
              <w:spacing w:line="360" w:lineRule="auto"/>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合计</w:t>
            </w:r>
          </w:p>
        </w:tc>
        <w:tc>
          <w:tcPr>
            <w:tcW w:w="7891" w:type="dxa"/>
            <w:gridSpan w:val="7"/>
            <w:tcBorders>
              <w:top w:val="single" w:color="auto" w:sz="4" w:space="0"/>
              <w:left w:val="single" w:color="auto" w:sz="4" w:space="0"/>
              <w:bottom w:val="single" w:color="auto" w:sz="4" w:space="0"/>
              <w:right w:val="single" w:color="auto" w:sz="4" w:space="0"/>
            </w:tcBorders>
            <w:noWrap/>
            <w:vAlign w:val="center"/>
          </w:tcPr>
          <w:p w14:paraId="539517F2">
            <w:pPr>
              <w:tabs>
                <w:tab w:val="left" w:pos="480"/>
              </w:tabs>
              <w:wordWrap w:val="0"/>
              <w:topLinePunct/>
              <w:spacing w:line="360" w:lineRule="auto"/>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（人民币大写：</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元整）</w:t>
            </w:r>
          </w:p>
        </w:tc>
      </w:tr>
    </w:tbl>
    <w:p w14:paraId="4A1C42E2">
      <w:pPr>
        <w:tabs>
          <w:tab w:val="left" w:pos="480"/>
        </w:tabs>
        <w:wordWrap w:val="0"/>
        <w:topLinePunct/>
        <w:spacing w:line="360" w:lineRule="auto"/>
        <w:jc w:val="left"/>
        <w:rPr>
          <w:rFonts w:hint="eastAsia" w:ascii="仿宋" w:hAnsi="仿宋" w:eastAsia="仿宋" w:cs="仿宋"/>
          <w:b/>
          <w:sz w:val="24"/>
          <w:szCs w:val="24"/>
          <w:highlight w:val="none"/>
        </w:rPr>
      </w:pPr>
      <w:r>
        <w:rPr>
          <w:rFonts w:hint="eastAsia" w:ascii="仿宋" w:hAnsi="仿宋" w:eastAsia="仿宋" w:cs="仿宋"/>
          <w:b/>
          <w:sz w:val="24"/>
          <w:szCs w:val="24"/>
          <w:highlight w:val="none"/>
        </w:rPr>
        <w:t>二、服务条件</w:t>
      </w:r>
    </w:p>
    <w:p w14:paraId="5C3B7F56">
      <w:pPr>
        <w:wordWrap w:val="0"/>
        <w:topLinePunct/>
        <w:spacing w:line="360" w:lineRule="auto"/>
        <w:ind w:firstLine="56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（一）服务地点：</w:t>
      </w:r>
      <w:r>
        <w:rPr>
          <w:rFonts w:hint="eastAsia" w:ascii="仿宋" w:hAnsi="仿宋" w:eastAsia="仿宋" w:cs="仿宋"/>
          <w:sz w:val="24"/>
          <w:szCs w:val="24"/>
          <w:highlight w:val="none"/>
          <w:lang w:val="en-US" w:eastAsia="zh-CN"/>
        </w:rPr>
        <w:t>采购人</w:t>
      </w:r>
      <w:r>
        <w:rPr>
          <w:rFonts w:hint="eastAsia" w:ascii="仿宋" w:hAnsi="仿宋" w:eastAsia="仿宋" w:cs="仿宋"/>
          <w:sz w:val="24"/>
          <w:szCs w:val="24"/>
          <w:highlight w:val="none"/>
        </w:rPr>
        <w:t>指定地点。</w:t>
      </w:r>
    </w:p>
    <w:p w14:paraId="3093086B">
      <w:pPr>
        <w:shd w:val="clear"/>
        <w:wordWrap w:val="0"/>
        <w:topLinePunct/>
        <w:spacing w:line="360" w:lineRule="auto"/>
        <w:ind w:firstLine="56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（二）服务期</w:t>
      </w:r>
      <w:r>
        <w:rPr>
          <w:rFonts w:hint="eastAsia" w:ascii="仿宋" w:hAnsi="仿宋" w:eastAsia="仿宋" w:cs="仿宋"/>
          <w:color w:val="000000"/>
          <w:sz w:val="24"/>
          <w:szCs w:val="24"/>
          <w:highlight w:val="none"/>
        </w:rPr>
        <w:t>：</w:t>
      </w:r>
      <w:r>
        <w:rPr>
          <w:rFonts w:hint="eastAsia" w:ascii="仿宋" w:hAnsi="仿宋" w:eastAsia="仿宋" w:cs="仿宋"/>
          <w:color w:val="000000"/>
          <w:sz w:val="24"/>
          <w:szCs w:val="24"/>
          <w:highlight w:val="none"/>
          <w:lang w:val="en-US" w:eastAsia="zh-CN"/>
        </w:rPr>
        <w:t>自合同签订之日起至2025年12月31日</w:t>
      </w:r>
      <w:r>
        <w:rPr>
          <w:rFonts w:hint="eastAsia" w:ascii="仿宋" w:hAnsi="仿宋" w:eastAsia="仿宋" w:cs="仿宋"/>
          <w:color w:val="000000"/>
          <w:sz w:val="24"/>
          <w:szCs w:val="24"/>
          <w:highlight w:val="none"/>
        </w:rPr>
        <w:t>。</w:t>
      </w:r>
    </w:p>
    <w:p w14:paraId="287525A1">
      <w:pPr>
        <w:tabs>
          <w:tab w:val="left" w:pos="480"/>
        </w:tabs>
        <w:wordWrap w:val="0"/>
        <w:topLinePunct/>
        <w:spacing w:line="360" w:lineRule="auto"/>
        <w:jc w:val="left"/>
        <w:rPr>
          <w:rFonts w:hint="eastAsia" w:ascii="仿宋" w:hAnsi="仿宋" w:eastAsia="仿宋" w:cs="仿宋"/>
          <w:b/>
          <w:sz w:val="24"/>
          <w:szCs w:val="24"/>
          <w:highlight w:val="none"/>
        </w:rPr>
      </w:pPr>
      <w:r>
        <w:rPr>
          <w:rFonts w:hint="eastAsia" w:ascii="仿宋" w:hAnsi="仿宋" w:eastAsia="仿宋" w:cs="仿宋"/>
          <w:b/>
          <w:sz w:val="24"/>
          <w:szCs w:val="24"/>
          <w:highlight w:val="none"/>
        </w:rPr>
        <w:t>三、合同价款</w:t>
      </w:r>
    </w:p>
    <w:p w14:paraId="3DEAA6FF">
      <w:pPr>
        <w:wordWrap w:val="0"/>
        <w:topLinePunct/>
        <w:spacing w:line="360" w:lineRule="auto"/>
        <w:ind w:firstLine="56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合同总价款为人民币（大写）</w:t>
      </w:r>
      <w:r>
        <w:rPr>
          <w:rFonts w:hint="eastAsia" w:ascii="仿宋" w:hAnsi="仿宋" w:eastAsia="仿宋" w:cs="仿宋"/>
          <w:sz w:val="24"/>
          <w:szCs w:val="24"/>
          <w:highlight w:val="none"/>
          <w:u w:val="single"/>
        </w:rPr>
        <w:t xml:space="preserve">         元整</w:t>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rPr>
        <w:t xml:space="preserve">          元</w:t>
      </w:r>
      <w:r>
        <w:rPr>
          <w:rFonts w:hint="eastAsia" w:ascii="仿宋" w:hAnsi="仿宋" w:eastAsia="仿宋" w:cs="仿宋"/>
          <w:sz w:val="24"/>
          <w:szCs w:val="24"/>
          <w:highlight w:val="none"/>
        </w:rPr>
        <w:t>。</w:t>
      </w:r>
    </w:p>
    <w:p w14:paraId="2C835748">
      <w:pPr>
        <w:wordWrap w:val="0"/>
        <w:topLinePunct/>
        <w:spacing w:line="360" w:lineRule="auto"/>
        <w:jc w:val="left"/>
        <w:rPr>
          <w:rFonts w:hint="eastAsia" w:ascii="仿宋" w:hAnsi="仿宋" w:eastAsia="仿宋" w:cs="仿宋"/>
          <w:sz w:val="24"/>
          <w:szCs w:val="24"/>
          <w:highlight w:val="none"/>
        </w:rPr>
      </w:pPr>
      <w:r>
        <w:rPr>
          <w:rFonts w:hint="eastAsia" w:ascii="仿宋" w:hAnsi="仿宋" w:eastAsia="仿宋" w:cs="仿宋"/>
          <w:b/>
          <w:sz w:val="24"/>
          <w:szCs w:val="24"/>
          <w:highlight w:val="none"/>
        </w:rPr>
        <w:t>四、款项结算</w:t>
      </w:r>
    </w:p>
    <w:p w14:paraId="6CE16068">
      <w:pPr>
        <w:wordWrap w:val="0"/>
        <w:topLinePunct/>
        <w:spacing w:line="360" w:lineRule="auto"/>
        <w:ind w:firstLine="560"/>
        <w:jc w:val="left"/>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（一）付款条件</w:t>
      </w:r>
    </w:p>
    <w:p w14:paraId="719C9EE4">
      <w:pPr>
        <w:shd w:val="clear"/>
        <w:wordWrap w:val="0"/>
        <w:topLinePunct/>
        <w:spacing w:line="360" w:lineRule="auto"/>
        <w:ind w:firstLine="560"/>
        <w:jc w:val="left"/>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rPr>
        <w:t>合同签订后，达到付款条件起</w:t>
      </w:r>
      <w:r>
        <w:rPr>
          <w:rFonts w:hint="eastAsia" w:ascii="仿宋" w:hAnsi="仿宋" w:eastAsia="仿宋" w:cs="仿宋"/>
          <w:sz w:val="24"/>
          <w:szCs w:val="24"/>
          <w:highlight w:val="none"/>
          <w:lang w:val="en-US" w:eastAsia="zh-CN"/>
        </w:rPr>
        <w:t>30</w:t>
      </w:r>
      <w:r>
        <w:rPr>
          <w:rFonts w:hint="eastAsia" w:ascii="仿宋" w:hAnsi="仿宋" w:eastAsia="仿宋" w:cs="仿宋"/>
          <w:sz w:val="24"/>
          <w:szCs w:val="24"/>
          <w:highlight w:val="none"/>
        </w:rPr>
        <w:t>日内，支付合同总金额的</w:t>
      </w:r>
      <w:r>
        <w:rPr>
          <w:rFonts w:hint="eastAsia" w:ascii="仿宋" w:hAnsi="仿宋" w:eastAsia="仿宋" w:cs="仿宋"/>
          <w:sz w:val="24"/>
          <w:szCs w:val="24"/>
          <w:highlight w:val="none"/>
          <w:lang w:val="en-US" w:eastAsia="zh-CN"/>
        </w:rPr>
        <w:t>90</w:t>
      </w:r>
      <w:r>
        <w:rPr>
          <w:rFonts w:hint="eastAsia" w:ascii="仿宋" w:hAnsi="仿宋" w:eastAsia="仿宋" w:cs="仿宋"/>
          <w:sz w:val="24"/>
          <w:szCs w:val="24"/>
          <w:highlight w:val="none"/>
        </w:rPr>
        <w:t>.00%；</w:t>
      </w:r>
    </w:p>
    <w:p w14:paraId="40FA01CD">
      <w:pPr>
        <w:shd w:val="clear"/>
        <w:wordWrap w:val="0"/>
        <w:topLinePunct/>
        <w:spacing w:line="360" w:lineRule="auto"/>
        <w:ind w:firstLine="560"/>
        <w:jc w:val="left"/>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2.</w:t>
      </w:r>
      <w:r>
        <w:rPr>
          <w:rFonts w:hint="eastAsia" w:ascii="仿宋" w:hAnsi="仿宋" w:eastAsia="仿宋" w:cs="仿宋"/>
          <w:sz w:val="24"/>
          <w:szCs w:val="24"/>
          <w:highlight w:val="none"/>
        </w:rPr>
        <w:t xml:space="preserve">验收通过后，达到付款条件起 </w:t>
      </w:r>
      <w:r>
        <w:rPr>
          <w:rFonts w:hint="eastAsia" w:ascii="仿宋" w:hAnsi="仿宋" w:eastAsia="仿宋" w:cs="仿宋"/>
          <w:sz w:val="24"/>
          <w:szCs w:val="24"/>
          <w:highlight w:val="none"/>
          <w:lang w:val="en-US" w:eastAsia="zh-CN"/>
        </w:rPr>
        <w:t>30</w:t>
      </w:r>
      <w:r>
        <w:rPr>
          <w:rFonts w:hint="eastAsia" w:ascii="仿宋" w:hAnsi="仿宋" w:eastAsia="仿宋" w:cs="仿宋"/>
          <w:sz w:val="24"/>
          <w:szCs w:val="24"/>
          <w:highlight w:val="none"/>
        </w:rPr>
        <w:t>日内，支付合同总金额的</w:t>
      </w:r>
      <w:r>
        <w:rPr>
          <w:rFonts w:hint="eastAsia" w:ascii="仿宋" w:hAnsi="仿宋" w:eastAsia="仿宋" w:cs="仿宋"/>
          <w:sz w:val="24"/>
          <w:szCs w:val="24"/>
          <w:highlight w:val="none"/>
          <w:lang w:val="en-US" w:eastAsia="zh-CN"/>
        </w:rPr>
        <w:t>10</w:t>
      </w:r>
      <w:r>
        <w:rPr>
          <w:rFonts w:hint="eastAsia" w:ascii="仿宋" w:hAnsi="仿宋" w:eastAsia="仿宋" w:cs="仿宋"/>
          <w:sz w:val="24"/>
          <w:szCs w:val="24"/>
          <w:highlight w:val="none"/>
        </w:rPr>
        <w:t>.00%。</w:t>
      </w:r>
    </w:p>
    <w:p w14:paraId="3D4C7761">
      <w:pPr>
        <w:wordWrap w:val="0"/>
        <w:topLinePunct/>
        <w:spacing w:line="360" w:lineRule="auto"/>
        <w:ind w:firstLine="560"/>
        <w:jc w:val="left"/>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二</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支付方式：银行转账。</w:t>
      </w:r>
    </w:p>
    <w:p w14:paraId="39453C15">
      <w:pPr>
        <w:wordWrap w:val="0"/>
        <w:topLinePunct/>
        <w:spacing w:line="360" w:lineRule="auto"/>
        <w:ind w:firstLine="560"/>
        <w:jc w:val="left"/>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rPr>
        <w:t>每次付款前乙方应向甲方提供相应金额的增值税发票，甲方在收到乙方开具的发票后进行付款。</w:t>
      </w:r>
    </w:p>
    <w:p w14:paraId="0854B8C5">
      <w:pPr>
        <w:wordWrap w:val="0"/>
        <w:topLinePunct/>
        <w:spacing w:line="360" w:lineRule="auto"/>
        <w:jc w:val="left"/>
        <w:rPr>
          <w:rFonts w:hint="eastAsia" w:ascii="仿宋" w:hAnsi="仿宋" w:eastAsia="仿宋" w:cs="仿宋"/>
          <w:b/>
          <w:sz w:val="24"/>
          <w:szCs w:val="24"/>
          <w:highlight w:val="none"/>
        </w:rPr>
      </w:pPr>
      <w:r>
        <w:rPr>
          <w:rFonts w:hint="eastAsia" w:ascii="仿宋" w:hAnsi="仿宋" w:eastAsia="仿宋" w:cs="仿宋"/>
          <w:b/>
          <w:sz w:val="24"/>
          <w:szCs w:val="24"/>
          <w:highlight w:val="none"/>
        </w:rPr>
        <w:t>五、双方的权利和义务</w:t>
      </w:r>
    </w:p>
    <w:p w14:paraId="1AF1A77B">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（一）甲方的权利和义务</w:t>
      </w:r>
    </w:p>
    <w:p w14:paraId="6F77B612">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1、项目指导和协调；</w:t>
      </w:r>
    </w:p>
    <w:p w14:paraId="64EC4F45">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2、拨付项目经费；</w:t>
      </w:r>
    </w:p>
    <w:p w14:paraId="6F35DD17">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3、监督、检查项目经费使用状况；</w:t>
      </w:r>
    </w:p>
    <w:p w14:paraId="24430659">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4、为乙方开展服务工作以及获取相关资料提供便利；</w:t>
      </w:r>
    </w:p>
    <w:p w14:paraId="28866D5B">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5、督促项目进度，审核项目成果。</w:t>
      </w:r>
    </w:p>
    <w:p w14:paraId="23094C10">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（二）乙方的权利和义务</w:t>
      </w:r>
    </w:p>
    <w:p w14:paraId="0BD824AA">
      <w:pPr>
        <w:tabs>
          <w:tab w:val="left" w:pos="480"/>
        </w:tabs>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1、按照服务内容规范开展工作，保质保量按期完成项目，及时完整上报项目成果；</w:t>
      </w:r>
    </w:p>
    <w:p w14:paraId="1A3728CB">
      <w:pPr>
        <w:tabs>
          <w:tab w:val="left" w:pos="480"/>
        </w:tabs>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2、项目成果经验收不合格部分，乙方负责修改、补充和完善；</w:t>
      </w:r>
    </w:p>
    <w:p w14:paraId="5A82725A">
      <w:pPr>
        <w:tabs>
          <w:tab w:val="left" w:pos="480"/>
        </w:tabs>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3、未经甲方同意，乙方不得以任何理由和形式向其它单位、个人提供项目成果，包括调查资料、中间成果及最终成果；</w:t>
      </w:r>
    </w:p>
    <w:p w14:paraId="6EC32F47">
      <w:pPr>
        <w:tabs>
          <w:tab w:val="left" w:pos="480"/>
        </w:tabs>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4、独立安排、专款专用、单独核算项目经费，不挤占，不挪用。</w:t>
      </w:r>
    </w:p>
    <w:p w14:paraId="70A1A174">
      <w:pPr>
        <w:tabs>
          <w:tab w:val="left" w:pos="480"/>
        </w:tabs>
        <w:wordWrap w:val="0"/>
        <w:topLinePunct/>
        <w:spacing w:line="360" w:lineRule="auto"/>
        <w:jc w:val="left"/>
        <w:rPr>
          <w:rFonts w:hint="eastAsia" w:ascii="仿宋" w:hAnsi="仿宋" w:eastAsia="仿宋" w:cs="仿宋"/>
          <w:sz w:val="24"/>
          <w:szCs w:val="24"/>
          <w:highlight w:val="none"/>
        </w:rPr>
      </w:pPr>
      <w:r>
        <w:rPr>
          <w:rFonts w:hint="eastAsia" w:ascii="仿宋" w:hAnsi="仿宋" w:eastAsia="仿宋" w:cs="仿宋"/>
          <w:b/>
          <w:sz w:val="24"/>
          <w:szCs w:val="24"/>
          <w:highlight w:val="none"/>
        </w:rPr>
        <w:t>六、质量保证</w:t>
      </w:r>
    </w:p>
    <w:p w14:paraId="77703109">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乙方提供服务必须执行下列条款：</w:t>
      </w:r>
    </w:p>
    <w:p w14:paraId="7AEBDDDE">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（一）乙方保证所提供服务均应按国家通行的标准、技术规范，以及质量、安全、环保标准和要求执行，这些标准和技术规范应为合同签订日为止最新公布发行的标准和技术规范。</w:t>
      </w:r>
    </w:p>
    <w:p w14:paraId="32A7857B">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（二）乙方保证作业规范、作业方法符合国家相关标准，全面满足磋商文件要求。</w:t>
      </w:r>
    </w:p>
    <w:p w14:paraId="7AFE79B6">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（三）乙方保证交付成果的科学性、合理性、准确性，并确保交付成果通过甲方的审核。</w:t>
      </w:r>
    </w:p>
    <w:p w14:paraId="2EEFE1BD">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（四）乙方所供服务成果因侵权而产生的一切后果由乙方负责，甲方保留索赔权力。</w:t>
      </w:r>
    </w:p>
    <w:p w14:paraId="01B02653">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（五）乙方严格按照工作部署文件、技术规范开展工作，按时、保质、保量提交成果，完成成果资料存档，并对成果资料承担相应的法律责任。</w:t>
      </w:r>
    </w:p>
    <w:p w14:paraId="0473B034">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（六）服务期间，乙方若企业资质和相关人员拟发生变更，应及时向甲方通报，并经其许可后再执行。</w:t>
      </w:r>
    </w:p>
    <w:p w14:paraId="5271B298">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（七）乙方应秉承“诚信、规范”的经营理念，“公正、公平、公开”的执业原则，“多方位、高起点、高质量”的服务宗旨，给甲方提供优质高效优良的服务。</w:t>
      </w:r>
    </w:p>
    <w:p w14:paraId="4883A6EC">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八）乙方应建立完善的档案管理制度，办公区域内设有独立档案室，对档案、成果资料等实行长期保存；对项目相关资料、信息（包括技术资料、图纸、数据、以及与业务有关的项目信息及其他信息等）切实履行保密责任。</w:t>
      </w:r>
    </w:p>
    <w:p w14:paraId="5FE38E86">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九）乙方应认真履行权利和义务，确保甲方的需求、质量和服务要求，按照投标文件规定执行。在服务期内，若乙方出现违约责任，按《民法典》中相关条款执行；若乙方未按合同要求提供服务或服务质量不能满足甲方要求，甲方取得监督机构同意后，有权终止合同，并对违约行为进行追究。</w:t>
      </w:r>
    </w:p>
    <w:p w14:paraId="7CC53FEA">
      <w:pPr>
        <w:wordWrap w:val="0"/>
        <w:topLinePunct/>
        <w:spacing w:line="360" w:lineRule="auto"/>
        <w:jc w:val="left"/>
        <w:rPr>
          <w:rFonts w:hint="eastAsia" w:ascii="仿宋" w:hAnsi="仿宋" w:eastAsia="仿宋" w:cs="仿宋"/>
          <w:sz w:val="24"/>
          <w:szCs w:val="24"/>
          <w:highlight w:val="none"/>
        </w:rPr>
      </w:pPr>
      <w:r>
        <w:rPr>
          <w:rFonts w:hint="eastAsia" w:ascii="仿宋" w:hAnsi="仿宋" w:eastAsia="仿宋" w:cs="仿宋"/>
          <w:b/>
          <w:sz w:val="24"/>
          <w:szCs w:val="24"/>
          <w:highlight w:val="none"/>
        </w:rPr>
        <w:t>七、验收</w:t>
      </w:r>
    </w:p>
    <w:p w14:paraId="03F882D0">
      <w:pPr>
        <w:tabs>
          <w:tab w:val="left" w:pos="480"/>
        </w:tabs>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（一）验收：服务期间，乙方根据工作安排按期向甲方提交各类服务成果，甲方对所有服务成果通过审核后，填写项目验收单作为对乙方合同履约情况的最终认可。</w:t>
      </w:r>
    </w:p>
    <w:p w14:paraId="4F4604B9">
      <w:pPr>
        <w:tabs>
          <w:tab w:val="left" w:pos="480"/>
        </w:tabs>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（二）验收依据</w:t>
      </w:r>
    </w:p>
    <w:p w14:paraId="4A56CF11">
      <w:pPr>
        <w:tabs>
          <w:tab w:val="left" w:pos="480"/>
        </w:tabs>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根据服务内容和技术要求填写。</w:t>
      </w:r>
    </w:p>
    <w:p w14:paraId="0F1F1784">
      <w:pPr>
        <w:tabs>
          <w:tab w:val="left" w:pos="480"/>
        </w:tabs>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（三）乙方应向甲方提交项目实施过程中的所有资料，以便甲方日后管理和维护。</w:t>
      </w:r>
    </w:p>
    <w:p w14:paraId="2631B6A9">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四）人员培训：乙方在合同执行期间，需为甲方提供相关培训，确保其正确使用工作成果，甲方要求派遣专业技术人员参与项目实施的，在项目整体实施期内，随时向甲方技术人员讲解技术和实施方案。培训费用已包含在合同总价内。</w:t>
      </w:r>
    </w:p>
    <w:p w14:paraId="0A1471E3">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（五）交付成果：根据工作要求定期上报电子及纸质成果，并通过甲方审核。</w:t>
      </w:r>
    </w:p>
    <w:p w14:paraId="7C9671D4">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（六）成果权属：在合同有效期内，乙方在合同义务下所完成的需提交给甲方的全部成果（包括知识产权）全部归甲方所有。</w:t>
      </w:r>
    </w:p>
    <w:p w14:paraId="375ED2CA">
      <w:pPr>
        <w:tabs>
          <w:tab w:val="left" w:pos="480"/>
        </w:tabs>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（七）服务：</w:t>
      </w:r>
    </w:p>
    <w:p w14:paraId="3B646C95">
      <w:pPr>
        <w:tabs>
          <w:tab w:val="left" w:pos="480"/>
        </w:tabs>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1、成果清单</w:t>
      </w:r>
    </w:p>
    <w:p w14:paraId="41F8F396">
      <w:pPr>
        <w:tabs>
          <w:tab w:val="left" w:pos="480"/>
        </w:tabs>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根据服务内容确定。</w:t>
      </w:r>
    </w:p>
    <w:p w14:paraId="61AF0CDC">
      <w:pPr>
        <w:tabs>
          <w:tab w:val="left" w:pos="480"/>
        </w:tabs>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2、服务承诺</w:t>
      </w:r>
    </w:p>
    <w:p w14:paraId="23C0FD36">
      <w:pPr>
        <w:tabs>
          <w:tab w:val="left" w:pos="480"/>
        </w:tabs>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（1）乙方严格保护保密甲方提供的工作数据和项目工作成果；</w:t>
      </w:r>
    </w:p>
    <w:p w14:paraId="5AC2CDB9">
      <w:pPr>
        <w:tabs>
          <w:tab w:val="left" w:pos="480"/>
        </w:tabs>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（2）乙方提供服务不侵犯第三人权利，服务成果知识产权归甲方所有；</w:t>
      </w:r>
    </w:p>
    <w:p w14:paraId="1374B25C">
      <w:pPr>
        <w:tabs>
          <w:tab w:val="left" w:pos="480"/>
        </w:tabs>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（3）乙方保证项目经费专款专用，保障项目顺利实施。</w:t>
      </w:r>
    </w:p>
    <w:p w14:paraId="5DB57D06">
      <w:pPr>
        <w:tabs>
          <w:tab w:val="left" w:pos="480"/>
        </w:tabs>
        <w:wordWrap w:val="0"/>
        <w:topLinePunct/>
        <w:spacing w:line="360" w:lineRule="auto"/>
        <w:jc w:val="left"/>
        <w:rPr>
          <w:rFonts w:hint="eastAsia" w:ascii="仿宋" w:hAnsi="仿宋" w:eastAsia="仿宋" w:cs="仿宋"/>
          <w:sz w:val="24"/>
          <w:szCs w:val="24"/>
          <w:highlight w:val="none"/>
        </w:rPr>
      </w:pPr>
      <w:r>
        <w:rPr>
          <w:rFonts w:hint="eastAsia" w:ascii="仿宋" w:hAnsi="仿宋" w:eastAsia="仿宋" w:cs="仿宋"/>
          <w:b/>
          <w:sz w:val="24"/>
          <w:szCs w:val="24"/>
          <w:highlight w:val="none"/>
        </w:rPr>
        <w:t>八、违约责任</w:t>
      </w:r>
    </w:p>
    <w:p w14:paraId="0061A6A4">
      <w:pPr>
        <w:wordWrap w:val="0"/>
        <w:topLinePunct/>
        <w:spacing w:line="360" w:lineRule="auto"/>
        <w:ind w:firstLine="480" w:firstLineChars="200"/>
        <w:jc w:val="left"/>
        <w:rPr>
          <w:rFonts w:hint="eastAsia" w:ascii="仿宋" w:hAnsi="仿宋" w:eastAsia="仿宋" w:cs="仿宋"/>
          <w:color w:val="000000"/>
          <w:sz w:val="24"/>
          <w:szCs w:val="24"/>
          <w:highlight w:val="none"/>
        </w:rPr>
      </w:pPr>
      <w:r>
        <w:rPr>
          <w:rFonts w:hint="eastAsia" w:ascii="仿宋" w:hAnsi="仿宋" w:eastAsia="仿宋" w:cs="仿宋"/>
          <w:sz w:val="24"/>
          <w:szCs w:val="24"/>
          <w:highlight w:val="none"/>
        </w:rPr>
        <w:t>（一）若乙方未能在双方约定的时间内出具相关成果，应在逾期后5个自然日内完成，同时承担因此而造成的违约金，违约金为：每逾期一天承担</w:t>
      </w:r>
      <w:r>
        <w:rPr>
          <w:rFonts w:hint="eastAsia" w:ascii="仿宋" w:hAnsi="仿宋" w:eastAsia="仿宋" w:cs="仿宋"/>
          <w:color w:val="auto"/>
          <w:sz w:val="24"/>
          <w:szCs w:val="24"/>
          <w:highlight w:val="none"/>
        </w:rPr>
        <w:t>合</w:t>
      </w:r>
      <w:r>
        <w:rPr>
          <w:rFonts w:hint="eastAsia" w:ascii="仿宋" w:hAnsi="仿宋" w:eastAsia="仿宋" w:cs="仿宋"/>
          <w:color w:val="000000"/>
          <w:sz w:val="24"/>
          <w:szCs w:val="24"/>
          <w:highlight w:val="none"/>
        </w:rPr>
        <w:t>同总价款的千分之二。</w:t>
      </w:r>
    </w:p>
    <w:p w14:paraId="56B78CAF">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（二）乙方对涉及密级业务的技术资料、数据、保密信息等进行严格保密，一旦泄密，需承担相应法律责任。</w:t>
      </w:r>
    </w:p>
    <w:p w14:paraId="701BA3EA">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（三）乙方未按合同要求履行义务，且经甲方要求仍拒不改正的，应按</w:t>
      </w:r>
      <w:r>
        <w:rPr>
          <w:rFonts w:hint="eastAsia" w:ascii="仿宋" w:hAnsi="仿宋" w:eastAsia="仿宋" w:cs="仿宋"/>
          <w:color w:val="000000"/>
          <w:sz w:val="24"/>
          <w:szCs w:val="24"/>
          <w:highlight w:val="none"/>
        </w:rPr>
        <w:t>合同总价款的百分之二十</w:t>
      </w:r>
      <w:r>
        <w:rPr>
          <w:rFonts w:hint="eastAsia" w:ascii="仿宋" w:hAnsi="仿宋" w:eastAsia="仿宋" w:cs="仿宋"/>
          <w:sz w:val="24"/>
          <w:szCs w:val="24"/>
          <w:highlight w:val="none"/>
        </w:rPr>
        <w:t>向甲方支付违约金。</w:t>
      </w:r>
    </w:p>
    <w:p w14:paraId="1880D6C8">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四）乙方未按合同要求提供服务或服务质量不能满足合同要求，甲方应当将乙方违约的情况以及拟采取的措施以书面形式报政府采购监管部门，根据政府采购监管部门的处理意见，甲方有权依据《民法典》有关条款及合同约定解除合同，并要求乙方承担违约责任。同时，政府采购监管部门有权依据《政府采购法》及相关法律法规对乙方的违法行为进行相应的处罚。</w:t>
      </w:r>
    </w:p>
    <w:p w14:paraId="443FA18E">
      <w:pPr>
        <w:wordWrap w:val="0"/>
        <w:topLinePunct/>
        <w:spacing w:line="360" w:lineRule="auto"/>
        <w:jc w:val="left"/>
        <w:rPr>
          <w:rFonts w:hint="eastAsia" w:ascii="仿宋" w:hAnsi="仿宋" w:eastAsia="仿宋" w:cs="仿宋"/>
          <w:sz w:val="24"/>
          <w:szCs w:val="24"/>
          <w:highlight w:val="none"/>
        </w:rPr>
      </w:pPr>
      <w:r>
        <w:rPr>
          <w:rFonts w:hint="eastAsia" w:ascii="仿宋" w:hAnsi="仿宋" w:eastAsia="仿宋" w:cs="仿宋"/>
          <w:b/>
          <w:sz w:val="24"/>
          <w:szCs w:val="24"/>
          <w:highlight w:val="none"/>
        </w:rPr>
        <w:t>九、保密条款</w:t>
      </w:r>
    </w:p>
    <w:p w14:paraId="1467B347">
      <w:pPr>
        <w:tabs>
          <w:tab w:val="left" w:pos="480"/>
        </w:tabs>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（一）未经甲方同意，乙方不得向第三方扩散、转让甲方该项目中的所有数据和文字报告；</w:t>
      </w:r>
    </w:p>
    <w:p w14:paraId="613155E0">
      <w:pPr>
        <w:tabs>
          <w:tab w:val="left" w:pos="480"/>
        </w:tabs>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（二）乙方应妥善保管甲方提供的资料，保守甲方的各项秘密。未经甲方许可，不得利用知悉的项目资料和文字报告为自己或第三方谋取利益。</w:t>
      </w:r>
    </w:p>
    <w:p w14:paraId="7CCCED4A">
      <w:pPr>
        <w:tabs>
          <w:tab w:val="left" w:pos="480"/>
        </w:tabs>
        <w:wordWrap w:val="0"/>
        <w:topLinePunct/>
        <w:spacing w:line="360" w:lineRule="auto"/>
        <w:jc w:val="left"/>
        <w:rPr>
          <w:rFonts w:hint="eastAsia" w:ascii="仿宋" w:hAnsi="仿宋" w:eastAsia="仿宋" w:cs="仿宋"/>
          <w:b/>
          <w:sz w:val="24"/>
          <w:szCs w:val="24"/>
          <w:highlight w:val="none"/>
        </w:rPr>
      </w:pPr>
      <w:r>
        <w:rPr>
          <w:rFonts w:hint="eastAsia" w:ascii="仿宋" w:hAnsi="仿宋" w:eastAsia="仿宋" w:cs="仿宋"/>
          <w:b/>
          <w:sz w:val="24"/>
          <w:szCs w:val="24"/>
          <w:highlight w:val="none"/>
        </w:rPr>
        <w:t>十、争议解决</w:t>
      </w:r>
    </w:p>
    <w:p w14:paraId="6E47ADBA">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（一）本合同在履行过程中发生的争议，由甲、乙双方当事人协商解决，协商不成的按下列第</w:t>
      </w:r>
      <w:r>
        <w:rPr>
          <w:rFonts w:hint="eastAsia" w:ascii="仿宋" w:hAnsi="仿宋" w:eastAsia="仿宋" w:cs="仿宋"/>
          <w:sz w:val="24"/>
          <w:szCs w:val="24"/>
          <w:highlight w:val="none"/>
          <w:u w:val="single"/>
        </w:rPr>
        <w:t xml:space="preserve"> 2 </w:t>
      </w:r>
      <w:r>
        <w:rPr>
          <w:rFonts w:hint="eastAsia" w:ascii="仿宋" w:hAnsi="仿宋" w:eastAsia="仿宋" w:cs="仿宋"/>
          <w:sz w:val="24"/>
          <w:szCs w:val="24"/>
          <w:highlight w:val="none"/>
        </w:rPr>
        <w:t>种方式解决：</w:t>
      </w:r>
    </w:p>
    <w:p w14:paraId="4F0C1D3D">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1、提交项目所在地仲裁委员会仲裁；</w:t>
      </w:r>
    </w:p>
    <w:p w14:paraId="0778B140">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2、依法向项目所在地人民法院起诉。</w:t>
      </w:r>
    </w:p>
    <w:p w14:paraId="1466D875">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（二）本条款为独立条款，本合同的无效、变更、解除和终止均不影响本条款的效力。</w:t>
      </w:r>
    </w:p>
    <w:p w14:paraId="34BC0767">
      <w:pPr>
        <w:tabs>
          <w:tab w:val="left" w:pos="480"/>
        </w:tabs>
        <w:wordWrap w:val="0"/>
        <w:topLinePunct/>
        <w:spacing w:line="360" w:lineRule="auto"/>
        <w:jc w:val="left"/>
        <w:rPr>
          <w:rFonts w:hint="eastAsia" w:ascii="仿宋" w:hAnsi="仿宋" w:eastAsia="仿宋" w:cs="仿宋"/>
          <w:b/>
          <w:sz w:val="24"/>
          <w:szCs w:val="24"/>
          <w:highlight w:val="none"/>
        </w:rPr>
      </w:pPr>
      <w:r>
        <w:rPr>
          <w:rFonts w:hint="eastAsia" w:ascii="仿宋" w:hAnsi="仿宋" w:eastAsia="仿宋" w:cs="仿宋"/>
          <w:b/>
          <w:sz w:val="24"/>
          <w:szCs w:val="24"/>
          <w:highlight w:val="none"/>
        </w:rPr>
        <w:t>十一、合同变更</w:t>
      </w:r>
    </w:p>
    <w:p w14:paraId="780BFB78">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在合同的执行期内，双方均不得随意变更或解除合同。如因项目需求情况发生变化，需要项目变更的，应双方协商后签订项目变更协议，并经签字盖章后生效（如双方变更事项不能达成一致的，仍按原合同履行，否则视为违约）。</w:t>
      </w:r>
    </w:p>
    <w:p w14:paraId="62DAC2A3">
      <w:pPr>
        <w:tabs>
          <w:tab w:val="left" w:pos="480"/>
        </w:tabs>
        <w:wordWrap w:val="0"/>
        <w:topLinePunct/>
        <w:spacing w:line="360" w:lineRule="auto"/>
        <w:jc w:val="left"/>
        <w:rPr>
          <w:rFonts w:hint="eastAsia" w:ascii="仿宋" w:hAnsi="仿宋" w:eastAsia="仿宋" w:cs="仿宋"/>
          <w:b/>
          <w:sz w:val="24"/>
          <w:szCs w:val="24"/>
          <w:highlight w:val="none"/>
        </w:rPr>
      </w:pPr>
      <w:r>
        <w:rPr>
          <w:rFonts w:hint="eastAsia" w:ascii="仿宋" w:hAnsi="仿宋" w:eastAsia="仿宋" w:cs="仿宋"/>
          <w:b/>
          <w:sz w:val="24"/>
          <w:szCs w:val="24"/>
          <w:highlight w:val="none"/>
        </w:rPr>
        <w:t>十二、合同生效</w:t>
      </w:r>
    </w:p>
    <w:p w14:paraId="60E6DFAF">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color w:val="000000"/>
          <w:sz w:val="24"/>
          <w:szCs w:val="24"/>
          <w:highlight w:val="none"/>
        </w:rPr>
        <w:t>本合同一式</w:t>
      </w:r>
      <w:r>
        <w:rPr>
          <w:rFonts w:hint="eastAsia" w:ascii="仿宋" w:hAnsi="仿宋" w:eastAsia="仿宋" w:cs="仿宋"/>
          <w:color w:val="000000"/>
          <w:sz w:val="24"/>
          <w:szCs w:val="24"/>
          <w:highlight w:val="none"/>
          <w:u w:val="single"/>
        </w:rPr>
        <w:t>陆</w:t>
      </w:r>
      <w:r>
        <w:rPr>
          <w:rFonts w:hint="eastAsia" w:ascii="仿宋" w:hAnsi="仿宋" w:eastAsia="仿宋" w:cs="仿宋"/>
          <w:color w:val="000000"/>
          <w:sz w:val="24"/>
          <w:szCs w:val="24"/>
          <w:highlight w:val="none"/>
        </w:rPr>
        <w:t>份，甲方持</w:t>
      </w:r>
      <w:r>
        <w:rPr>
          <w:rFonts w:hint="eastAsia" w:ascii="仿宋" w:hAnsi="仿宋" w:eastAsia="仿宋" w:cs="仿宋"/>
          <w:color w:val="000000"/>
          <w:sz w:val="24"/>
          <w:szCs w:val="24"/>
          <w:highlight w:val="none"/>
          <w:u w:val="single"/>
        </w:rPr>
        <w:t>叁</w:t>
      </w:r>
      <w:r>
        <w:rPr>
          <w:rFonts w:hint="eastAsia" w:ascii="仿宋" w:hAnsi="仿宋" w:eastAsia="仿宋" w:cs="仿宋"/>
          <w:color w:val="000000"/>
          <w:sz w:val="24"/>
          <w:szCs w:val="24"/>
          <w:highlight w:val="none"/>
        </w:rPr>
        <w:t>份，乙方持</w:t>
      </w:r>
      <w:r>
        <w:rPr>
          <w:rFonts w:hint="eastAsia" w:ascii="仿宋" w:hAnsi="仿宋" w:eastAsia="仿宋" w:cs="仿宋"/>
          <w:color w:val="000000"/>
          <w:sz w:val="24"/>
          <w:szCs w:val="24"/>
          <w:highlight w:val="none"/>
          <w:u w:val="single"/>
        </w:rPr>
        <w:t>叁</w:t>
      </w:r>
      <w:r>
        <w:rPr>
          <w:rFonts w:hint="eastAsia" w:ascii="仿宋" w:hAnsi="仿宋" w:eastAsia="仿宋" w:cs="仿宋"/>
          <w:color w:val="000000"/>
          <w:sz w:val="24"/>
          <w:szCs w:val="24"/>
          <w:highlight w:val="none"/>
        </w:rPr>
        <w:t>份，</w:t>
      </w:r>
      <w:r>
        <w:rPr>
          <w:rFonts w:hint="eastAsia" w:ascii="仿宋" w:hAnsi="仿宋" w:eastAsia="仿宋" w:cs="仿宋"/>
          <w:sz w:val="24"/>
          <w:szCs w:val="24"/>
          <w:highlight w:val="none"/>
        </w:rPr>
        <w:t>甲、乙方签字盖章后生效，合同执行完毕后，自动失效（合同的服务承诺则长期有效）。</w:t>
      </w:r>
    </w:p>
    <w:p w14:paraId="1E50EE69">
      <w:pPr>
        <w:tabs>
          <w:tab w:val="left" w:pos="480"/>
        </w:tabs>
        <w:wordWrap w:val="0"/>
        <w:topLinePunct/>
        <w:spacing w:line="360" w:lineRule="auto"/>
        <w:jc w:val="left"/>
        <w:rPr>
          <w:rFonts w:hint="eastAsia" w:ascii="仿宋" w:hAnsi="仿宋" w:eastAsia="仿宋" w:cs="仿宋"/>
          <w:b/>
          <w:sz w:val="24"/>
          <w:szCs w:val="24"/>
          <w:highlight w:val="none"/>
        </w:rPr>
      </w:pPr>
      <w:r>
        <w:rPr>
          <w:rFonts w:hint="eastAsia" w:ascii="仿宋" w:hAnsi="仿宋" w:eastAsia="仿宋" w:cs="仿宋"/>
          <w:b/>
          <w:sz w:val="24"/>
          <w:szCs w:val="24"/>
          <w:highlight w:val="none"/>
        </w:rPr>
        <w:t>十三、其他事项</w:t>
      </w:r>
    </w:p>
    <w:p w14:paraId="096A6A5F">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（一）陕西省财政局政府采购管理处在合同的履行期间以及履行期后，可以随时检查项目的执行情况，对采购标准、采购内容进行调查核实，并对发现的问题进行处理。</w:t>
      </w:r>
    </w:p>
    <w:p w14:paraId="7EE6689E">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（二）合同未尽事宜，由甲、乙双方协商确认后签订政府采购补充合同，与原合同具有同等法律效力，政府采购补充合同与原合同不一致的，以政府采购补充合同为准。</w:t>
      </w:r>
    </w:p>
    <w:p w14:paraId="6C4E4EA3">
      <w:pPr>
        <w:wordWrap w:val="0"/>
        <w:topLinePunct/>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最终以实际签订为准。</w:t>
      </w:r>
    </w:p>
    <w:p w14:paraId="4FDC25E2">
      <w:pPr>
        <w:wordWrap w:val="0"/>
        <w:topLinePunct/>
        <w:spacing w:line="360" w:lineRule="auto"/>
        <w:jc w:val="both"/>
        <w:rPr>
          <w:rFonts w:hint="eastAsia" w:ascii="仿宋" w:hAnsi="仿宋" w:eastAsia="仿宋" w:cs="仿宋"/>
          <w:sz w:val="24"/>
          <w:szCs w:val="24"/>
          <w:highlight w:val="none"/>
        </w:rPr>
      </w:pPr>
    </w:p>
    <w:p w14:paraId="4D158BAB">
      <w:pPr>
        <w:wordWrap w:val="0"/>
        <w:topLinePunct/>
        <w:spacing w:line="360" w:lineRule="auto"/>
        <w:jc w:val="both"/>
        <w:rPr>
          <w:rFonts w:hint="eastAsia" w:ascii="仿宋" w:hAnsi="仿宋" w:eastAsia="仿宋" w:cs="仿宋"/>
          <w:sz w:val="24"/>
          <w:szCs w:val="24"/>
          <w:highlight w:val="none"/>
        </w:rPr>
      </w:pPr>
      <w:r>
        <w:rPr>
          <w:rFonts w:hint="eastAsia" w:ascii="仿宋" w:hAnsi="仿宋" w:eastAsia="仿宋" w:cs="仿宋"/>
          <w:sz w:val="24"/>
          <w:szCs w:val="24"/>
          <w:highlight w:val="none"/>
        </w:rPr>
        <w:t>（以下无正文）</w:t>
      </w:r>
    </w:p>
    <w:p w14:paraId="0965E55C">
      <w:pPr>
        <w:spacing w:line="500" w:lineRule="exact"/>
        <w:jc w:val="left"/>
        <w:rPr>
          <w:rFonts w:hint="eastAsia" w:ascii="仿宋" w:hAnsi="仿宋" w:eastAsia="仿宋" w:cs="仿宋"/>
          <w:sz w:val="24"/>
          <w:szCs w:val="24"/>
          <w:highlight w:val="none"/>
        </w:rPr>
      </w:pPr>
    </w:p>
    <w:p w14:paraId="2CCA466B">
      <w:pPr>
        <w:spacing w:line="500" w:lineRule="exact"/>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甲    方                         乙    方</w:t>
      </w:r>
    </w:p>
    <w:p w14:paraId="520CE7FB">
      <w:pPr>
        <w:spacing w:line="500" w:lineRule="exact"/>
        <w:jc w:val="left"/>
        <w:rPr>
          <w:rFonts w:hint="eastAsia" w:ascii="仿宋" w:hAnsi="仿宋" w:eastAsia="仿宋" w:cs="仿宋"/>
          <w:sz w:val="24"/>
          <w:szCs w:val="24"/>
          <w:highlight w:val="none"/>
        </w:rPr>
      </w:pPr>
    </w:p>
    <w:p w14:paraId="70B5CB65">
      <w:pPr>
        <w:spacing w:line="500" w:lineRule="exact"/>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单位名称：         </w:t>
      </w:r>
      <w:r>
        <w:rPr>
          <w:rFonts w:hint="eastAsia" w:ascii="仿宋" w:hAnsi="仿宋" w:eastAsia="仿宋" w:cs="仿宋"/>
          <w:sz w:val="24"/>
          <w:szCs w:val="24"/>
          <w:highlight w:val="none"/>
        </w:rPr>
        <w:tab/>
      </w:r>
      <w:r>
        <w:rPr>
          <w:rFonts w:hint="eastAsia" w:ascii="仿宋" w:hAnsi="仿宋" w:eastAsia="仿宋" w:cs="仿宋"/>
          <w:sz w:val="24"/>
          <w:szCs w:val="24"/>
          <w:highlight w:val="none"/>
        </w:rPr>
        <w:tab/>
      </w:r>
      <w:r>
        <w:rPr>
          <w:rFonts w:hint="eastAsia" w:ascii="仿宋" w:hAnsi="仿宋" w:eastAsia="仿宋" w:cs="仿宋"/>
          <w:sz w:val="24"/>
          <w:szCs w:val="24"/>
          <w:highlight w:val="none"/>
        </w:rPr>
        <w:tab/>
      </w:r>
      <w:r>
        <w:rPr>
          <w:rFonts w:hint="eastAsia" w:ascii="仿宋" w:hAnsi="仿宋" w:eastAsia="仿宋" w:cs="仿宋"/>
          <w:sz w:val="24"/>
          <w:szCs w:val="24"/>
          <w:highlight w:val="none"/>
        </w:rPr>
        <w:tab/>
      </w:r>
      <w:r>
        <w:rPr>
          <w:rFonts w:hint="eastAsia" w:ascii="仿宋" w:hAnsi="仿宋" w:eastAsia="仿宋" w:cs="仿宋"/>
          <w:sz w:val="24"/>
          <w:szCs w:val="24"/>
          <w:highlight w:val="none"/>
        </w:rPr>
        <w:t xml:space="preserve">   单位名称： </w:t>
      </w:r>
    </w:p>
    <w:p w14:paraId="2E72EFF3">
      <w:pPr>
        <w:spacing w:line="500" w:lineRule="exact"/>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地   址：  </w:t>
      </w:r>
      <w:r>
        <w:rPr>
          <w:rFonts w:hint="eastAsia" w:ascii="仿宋" w:hAnsi="仿宋" w:eastAsia="仿宋" w:cs="仿宋"/>
          <w:sz w:val="24"/>
          <w:szCs w:val="24"/>
          <w:highlight w:val="none"/>
        </w:rPr>
        <w:tab/>
      </w:r>
      <w:r>
        <w:rPr>
          <w:rFonts w:hint="eastAsia" w:ascii="仿宋" w:hAnsi="仿宋" w:eastAsia="仿宋" w:cs="仿宋"/>
          <w:sz w:val="24"/>
          <w:szCs w:val="24"/>
          <w:highlight w:val="none"/>
        </w:rPr>
        <w:t xml:space="preserve">       </w:t>
      </w:r>
      <w:r>
        <w:rPr>
          <w:rFonts w:hint="eastAsia" w:ascii="仿宋" w:hAnsi="仿宋" w:eastAsia="仿宋" w:cs="仿宋"/>
          <w:sz w:val="24"/>
          <w:szCs w:val="24"/>
          <w:highlight w:val="none"/>
        </w:rPr>
        <w:tab/>
      </w:r>
      <w:r>
        <w:rPr>
          <w:rFonts w:hint="eastAsia" w:ascii="仿宋" w:hAnsi="仿宋" w:eastAsia="仿宋" w:cs="仿宋"/>
          <w:sz w:val="24"/>
          <w:szCs w:val="24"/>
          <w:highlight w:val="none"/>
        </w:rPr>
        <w:tab/>
      </w:r>
      <w:r>
        <w:rPr>
          <w:rFonts w:hint="eastAsia" w:ascii="仿宋" w:hAnsi="仿宋" w:eastAsia="仿宋" w:cs="仿宋"/>
          <w:sz w:val="24"/>
          <w:szCs w:val="24"/>
          <w:highlight w:val="none"/>
        </w:rPr>
        <w:tab/>
      </w:r>
      <w:r>
        <w:rPr>
          <w:rFonts w:hint="eastAsia" w:ascii="仿宋" w:hAnsi="仿宋" w:eastAsia="仿宋" w:cs="仿宋"/>
          <w:sz w:val="24"/>
          <w:szCs w:val="24"/>
          <w:highlight w:val="none"/>
        </w:rPr>
        <w:tab/>
      </w:r>
      <w:r>
        <w:rPr>
          <w:rFonts w:hint="eastAsia" w:ascii="仿宋" w:hAnsi="仿宋" w:eastAsia="仿宋" w:cs="仿宋"/>
          <w:sz w:val="24"/>
          <w:szCs w:val="24"/>
          <w:highlight w:val="none"/>
        </w:rPr>
        <w:t>地    址：</w:t>
      </w:r>
    </w:p>
    <w:p w14:paraId="0F2098A4">
      <w:pPr>
        <w:spacing w:line="500" w:lineRule="exact"/>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法人代表：                       </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 xml:space="preserve">法人代表： </w:t>
      </w:r>
    </w:p>
    <w:p w14:paraId="2BFF89B0">
      <w:pPr>
        <w:spacing w:line="500" w:lineRule="exact"/>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联系电话：               </w:t>
      </w:r>
      <w:r>
        <w:rPr>
          <w:rFonts w:hint="eastAsia" w:ascii="仿宋" w:hAnsi="仿宋" w:eastAsia="仿宋" w:cs="仿宋"/>
          <w:sz w:val="24"/>
          <w:szCs w:val="24"/>
          <w:highlight w:val="none"/>
        </w:rPr>
        <w:tab/>
      </w:r>
      <w:r>
        <w:rPr>
          <w:rFonts w:hint="eastAsia" w:ascii="仿宋" w:hAnsi="仿宋" w:eastAsia="仿宋" w:cs="仿宋"/>
          <w:sz w:val="24"/>
          <w:szCs w:val="24"/>
          <w:highlight w:val="none"/>
        </w:rPr>
        <w:tab/>
      </w:r>
      <w:r>
        <w:rPr>
          <w:rFonts w:hint="eastAsia" w:ascii="仿宋" w:hAnsi="仿宋" w:eastAsia="仿宋" w:cs="仿宋"/>
          <w:sz w:val="24"/>
          <w:szCs w:val="24"/>
          <w:highlight w:val="none"/>
        </w:rPr>
        <w:tab/>
      </w:r>
      <w:r>
        <w:rPr>
          <w:rFonts w:hint="eastAsia" w:ascii="仿宋" w:hAnsi="仿宋" w:eastAsia="仿宋" w:cs="仿宋"/>
          <w:sz w:val="24"/>
          <w:szCs w:val="24"/>
          <w:highlight w:val="none"/>
        </w:rPr>
        <w:t xml:space="preserve">联系电话： </w:t>
      </w:r>
    </w:p>
    <w:p w14:paraId="7A2CE95F">
      <w:pPr>
        <w:spacing w:line="500" w:lineRule="exact"/>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开 户 行：         </w:t>
      </w:r>
      <w:r>
        <w:rPr>
          <w:rFonts w:hint="eastAsia" w:ascii="仿宋" w:hAnsi="仿宋" w:eastAsia="仿宋" w:cs="仿宋"/>
          <w:sz w:val="24"/>
          <w:szCs w:val="24"/>
          <w:highlight w:val="none"/>
        </w:rPr>
        <w:tab/>
      </w:r>
      <w:r>
        <w:rPr>
          <w:rFonts w:hint="eastAsia" w:ascii="仿宋" w:hAnsi="仿宋" w:eastAsia="仿宋" w:cs="仿宋"/>
          <w:sz w:val="24"/>
          <w:szCs w:val="24"/>
          <w:highlight w:val="none"/>
        </w:rPr>
        <w:tab/>
      </w:r>
      <w:r>
        <w:rPr>
          <w:rFonts w:hint="eastAsia" w:ascii="仿宋" w:hAnsi="仿宋" w:eastAsia="仿宋" w:cs="仿宋"/>
          <w:sz w:val="24"/>
          <w:szCs w:val="24"/>
          <w:highlight w:val="none"/>
        </w:rPr>
        <w:tab/>
      </w:r>
      <w:r>
        <w:rPr>
          <w:rFonts w:hint="eastAsia" w:ascii="仿宋" w:hAnsi="仿宋" w:eastAsia="仿宋" w:cs="仿宋"/>
          <w:sz w:val="24"/>
          <w:szCs w:val="24"/>
          <w:highlight w:val="none"/>
        </w:rPr>
        <w:tab/>
      </w:r>
      <w:r>
        <w:rPr>
          <w:rFonts w:hint="eastAsia" w:ascii="仿宋" w:hAnsi="仿宋" w:eastAsia="仿宋" w:cs="仿宋"/>
          <w:sz w:val="24"/>
          <w:szCs w:val="24"/>
          <w:highlight w:val="none"/>
        </w:rPr>
        <w:tab/>
      </w:r>
      <w:r>
        <w:rPr>
          <w:rFonts w:hint="eastAsia" w:ascii="仿宋" w:hAnsi="仿宋" w:eastAsia="仿宋" w:cs="仿宋"/>
          <w:sz w:val="24"/>
          <w:szCs w:val="24"/>
          <w:highlight w:val="none"/>
        </w:rPr>
        <w:t xml:space="preserve">开 户 行： </w:t>
      </w:r>
    </w:p>
    <w:p w14:paraId="79E487E4">
      <w:pPr>
        <w:spacing w:line="500" w:lineRule="exact"/>
        <w:jc w:val="left"/>
        <w:rPr>
          <w:rFonts w:hint="eastAsia" w:ascii="仿宋" w:hAnsi="仿宋" w:eastAsia="仿宋" w:cs="仿宋"/>
          <w:b/>
          <w:bCs/>
          <w:sz w:val="24"/>
          <w:szCs w:val="24"/>
          <w:highlight w:val="none"/>
        </w:rPr>
      </w:pPr>
      <w:r>
        <w:rPr>
          <w:rFonts w:hint="eastAsia" w:ascii="仿宋" w:hAnsi="仿宋" w:eastAsia="仿宋" w:cs="仿宋"/>
          <w:sz w:val="24"/>
          <w:szCs w:val="24"/>
          <w:highlight w:val="none"/>
        </w:rPr>
        <w:t xml:space="preserve">账    号：             </w:t>
      </w:r>
      <w:r>
        <w:rPr>
          <w:rFonts w:hint="eastAsia" w:ascii="仿宋" w:hAnsi="仿宋" w:eastAsia="仿宋" w:cs="仿宋"/>
          <w:sz w:val="24"/>
          <w:szCs w:val="24"/>
          <w:highlight w:val="none"/>
        </w:rPr>
        <w:tab/>
      </w:r>
      <w:r>
        <w:rPr>
          <w:rFonts w:hint="eastAsia" w:ascii="仿宋" w:hAnsi="仿宋" w:eastAsia="仿宋" w:cs="仿宋"/>
          <w:sz w:val="24"/>
          <w:szCs w:val="24"/>
          <w:highlight w:val="none"/>
        </w:rPr>
        <w:tab/>
      </w:r>
      <w:r>
        <w:rPr>
          <w:rFonts w:hint="eastAsia" w:ascii="仿宋" w:hAnsi="仿宋" w:eastAsia="仿宋" w:cs="仿宋"/>
          <w:sz w:val="24"/>
          <w:szCs w:val="24"/>
          <w:highlight w:val="none"/>
        </w:rPr>
        <w:tab/>
      </w:r>
      <w:r>
        <w:rPr>
          <w:rFonts w:hint="eastAsia" w:ascii="仿宋" w:hAnsi="仿宋" w:eastAsia="仿宋" w:cs="仿宋"/>
          <w:sz w:val="24"/>
          <w:szCs w:val="24"/>
          <w:highlight w:val="none"/>
        </w:rPr>
        <w:t xml:space="preserve"> </w:t>
      </w:r>
      <w:r>
        <w:rPr>
          <w:rFonts w:hint="eastAsia" w:ascii="仿宋" w:hAnsi="仿宋" w:eastAsia="仿宋" w:cs="仿宋"/>
          <w:sz w:val="24"/>
          <w:szCs w:val="24"/>
          <w:highlight w:val="none"/>
        </w:rPr>
        <w:tab/>
      </w:r>
      <w:r>
        <w:rPr>
          <w:rFonts w:hint="eastAsia" w:ascii="仿宋" w:hAnsi="仿宋" w:eastAsia="仿宋" w:cs="仿宋"/>
          <w:sz w:val="24"/>
          <w:szCs w:val="24"/>
          <w:highlight w:val="none"/>
        </w:rPr>
        <w:t>账    号：</w:t>
      </w:r>
    </w:p>
    <w:p w14:paraId="2535C328">
      <w:pPr>
        <w:rPr>
          <w:rFonts w:hint="eastAsia" w:ascii="仿宋" w:hAnsi="仿宋" w:eastAsia="仿宋" w:cs="仿宋"/>
          <w:sz w:val="28"/>
          <w:szCs w:val="28"/>
          <w:highlight w:val="none"/>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C955532"/>
    <w:rsid w:val="02A0095B"/>
    <w:rsid w:val="15CE2651"/>
    <w:rsid w:val="1FB31A03"/>
    <w:rsid w:val="2AE13412"/>
    <w:rsid w:val="31842811"/>
    <w:rsid w:val="33641229"/>
    <w:rsid w:val="34A149DE"/>
    <w:rsid w:val="3B64369B"/>
    <w:rsid w:val="4C955532"/>
    <w:rsid w:val="4CCE66C7"/>
    <w:rsid w:val="584E235B"/>
    <w:rsid w:val="58E56D52"/>
    <w:rsid w:val="6B2C4E3C"/>
    <w:rsid w:val="6C7478B9"/>
    <w:rsid w:val="7B501C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120" w:beforeLines="0" w:after="120" w:afterLines="0" w:line="360" w:lineRule="auto"/>
      <w:jc w:val="center"/>
      <w:outlineLvl w:val="0"/>
    </w:pPr>
    <w:rPr>
      <w:b/>
      <w:bCs/>
      <w:kern w:val="44"/>
      <w:sz w:val="30"/>
      <w:szCs w:val="44"/>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2721</Words>
  <Characters>2746</Characters>
  <Lines>0</Lines>
  <Paragraphs>0</Paragraphs>
  <TotalTime>0</TotalTime>
  <ScaleCrop>false</ScaleCrop>
  <LinksUpToDate>false</LinksUpToDate>
  <CharactersWithSpaces>2975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2025-08-20T04:45:00Z</dcterms:created>
  <dc:creator></dc:creator>
  <cp:lastModifiedBy>DUMPLING&amp;皎</cp:lastModifiedBy>
  <dcterms:modified xsi:type="dcterms:W3CDTF">2025-10-29T04:48:30Z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19DD212C293147089998AEB3D1569524_11</vt:lpwstr>
  </property>
  <property fmtid="{D5CDD505-2E9C-101B-9397-08002B2CF9AE}" pid="4" name="KSOTemplateDocerSaveRecord">
    <vt:lpwstr>eyJoZGlkIjoiODQzNWU4OTMwY2EzNWUzOTFkMWE4NjJjOGJmYjY4NzYiLCJ1c2VySWQiOiI1MjYxNzc4NTgifQ==</vt:lpwstr>
  </property>
</Properties>
</file>