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版本号：KY2025-3-26820251030001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光电芯片用高速光信号调制系统采购项目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KY2025-3-268</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光电芯片用高速光信号调制系统采购项目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KY2025-3-268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光电芯片用高速光信号调制系统采购项目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光电芯片用高速光信号调制系统采购，具体要求详见第3章。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招标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7、法定代表人授权书及被授权人身份证：法定代表人授权书及被授权人身份证复印件。（法定代表人直接谈判只须提交其身份证明书）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谢婷婷、李瑞洁、戈迪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采购包1：575,000.00元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采购包1保证金金额：9,000.00元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银行账号：86113010750181502000547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说明：1.成交供应商在签订合同前5个工作日内，向采购人缴纳合同总价5%的履约保证金； 2.合同如期履约完成，采购人免息原缴费账户退还履约保证金全款。</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代理服务费收费标准：1、中标金额在50万元以内的按照国家计委关于印发《招标代理服务收费管理暂行办法的通知》（计价格[2002]1980号）的收费标准收取； 中标金额50万及以上的采购项目按国家计委关于印发《采购代理服务收费管理暂行办法的通知》（计价格[2002]1980号）规定的标准下浮20%收取。中标（成交）单位在领取中标通知书前，须向采购代理机构一次性支付招标代理服务费；代理服务费以转账、电汇或现金等形式交纳。 2、本项目中标服务费按货物计取。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陕西开源招标有限公司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根据采购单位通知的时间和地点，安排具有相关经验的工程技术人员参与采购单位验收，根据各项技术指标提供相应测试报告对货物进行验收，供应商配合需求单位进行验收，形成验收报告。</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联系人：谢婷婷、李瑞洁、戈迪</w:t>
      </w:r>
    </w:p>
    <w:p>
      <w:pPr>
        <w:pStyle w:val="null3"/>
      </w:pPr>
      <w:r>
        <w:rPr>
          <w:rFonts w:ascii="仿宋_GB2312" w:hAnsi="仿宋_GB2312" w:cs="仿宋_GB2312" w:eastAsia="仿宋_GB2312"/>
        </w:rPr>
        <w:t>联系电话：029-81206622/81206633-832</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光电芯片用高速光信号调制系统采购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575,000.00</w:t>
      </w:r>
    </w:p>
    <w:p>
      <w:pPr>
        <w:pStyle w:val="null3"/>
      </w:pPr>
      <w:r>
        <w:rPr>
          <w:rFonts w:ascii="仿宋_GB2312" w:hAnsi="仿宋_GB2312" w:cs="仿宋_GB2312" w:eastAsia="仿宋_GB2312"/>
        </w:rPr>
        <w:t>采购包最高限价（元）: 575,000.00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光电芯片用高速光信号调制系统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标的名称：光电芯片用高速光信号调制系统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一、强度调制模块：</w:t>
            </w:r>
            <w:r>
              <w:br/>
            </w:r>
            <w:r>
              <w:rPr>
                <w:rFonts w:ascii="仿宋_GB2312" w:hAnsi="仿宋_GB2312" w:cs="仿宋_GB2312" w:eastAsia="仿宋_GB2312"/>
              </w:rPr>
              <w:t xml:space="preserve"> ▲1.调制带宽≥65GHz；</w:t>
            </w:r>
            <w:r>
              <w:br/>
            </w:r>
            <w:r>
              <w:rPr>
                <w:rFonts w:ascii="仿宋_GB2312" w:hAnsi="仿宋_GB2312" w:cs="仿宋_GB2312" w:eastAsia="仿宋_GB2312"/>
              </w:rPr>
              <w:t xml:space="preserve"> 2.工作波长1550nm；</w:t>
            </w:r>
            <w:r>
              <w:br/>
            </w:r>
            <w:r>
              <w:rPr>
                <w:rFonts w:ascii="仿宋_GB2312" w:hAnsi="仿宋_GB2312" w:cs="仿宋_GB2312" w:eastAsia="仿宋_GB2312"/>
              </w:rPr>
              <w:t xml:space="preserve"> ▲3.半波电压≥4V；</w:t>
            </w:r>
            <w:r>
              <w:br/>
            </w:r>
            <w:r>
              <w:rPr>
                <w:rFonts w:ascii="仿宋_GB2312" w:hAnsi="仿宋_GB2312" w:cs="仿宋_GB2312" w:eastAsia="仿宋_GB2312"/>
              </w:rPr>
              <w:t xml:space="preserve"> ▲4.插入损耗≤5dB；</w:t>
            </w:r>
            <w:r>
              <w:br/>
            </w:r>
            <w:r>
              <w:rPr>
                <w:rFonts w:ascii="仿宋_GB2312" w:hAnsi="仿宋_GB2312" w:cs="仿宋_GB2312" w:eastAsia="仿宋_GB2312"/>
              </w:rPr>
              <w:t xml:space="preserve"> 5.消光比≥18dB；</w:t>
            </w:r>
            <w:r>
              <w:br/>
            </w:r>
            <w:r>
              <w:rPr>
                <w:rFonts w:ascii="仿宋_GB2312" w:hAnsi="仿宋_GB2312" w:cs="仿宋_GB2312" w:eastAsia="仿宋_GB2312"/>
              </w:rPr>
              <w:t xml:space="preserve"> 6.输入光功率≤300mW；</w:t>
            </w:r>
            <w:r>
              <w:br/>
            </w:r>
            <w:r>
              <w:rPr>
                <w:rFonts w:ascii="仿宋_GB2312" w:hAnsi="仿宋_GB2312" w:cs="仿宋_GB2312" w:eastAsia="仿宋_GB2312"/>
              </w:rPr>
              <w:t xml:space="preserve"> 7.保偏PM1550尾纤；</w:t>
            </w:r>
            <w:r>
              <w:br/>
            </w:r>
            <w:r>
              <w:rPr>
                <w:rFonts w:ascii="仿宋_GB2312" w:hAnsi="仿宋_GB2312" w:cs="仿宋_GB2312" w:eastAsia="仿宋_GB2312"/>
              </w:rPr>
              <w:t xml:space="preserve"> 8.FC/APC接头。</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二、相位调制模块：</w:t>
            </w:r>
            <w:r>
              <w:br/>
            </w:r>
            <w:r>
              <w:rPr>
                <w:rFonts w:ascii="仿宋_GB2312" w:hAnsi="仿宋_GB2312" w:cs="仿宋_GB2312" w:eastAsia="仿宋_GB2312"/>
              </w:rPr>
              <w:t xml:space="preserve"> ▲1.调制带宽≥65GHz；</w:t>
            </w:r>
            <w:r>
              <w:br/>
            </w:r>
            <w:r>
              <w:rPr>
                <w:rFonts w:ascii="仿宋_GB2312" w:hAnsi="仿宋_GB2312" w:cs="仿宋_GB2312" w:eastAsia="仿宋_GB2312"/>
              </w:rPr>
              <w:t xml:space="preserve"> 2.工作波长1550nm；</w:t>
            </w:r>
            <w:r>
              <w:br/>
            </w:r>
            <w:r>
              <w:rPr>
                <w:rFonts w:ascii="仿宋_GB2312" w:hAnsi="仿宋_GB2312" w:cs="仿宋_GB2312" w:eastAsia="仿宋_GB2312"/>
              </w:rPr>
              <w:t xml:space="preserve"> ▲3.半波电压≥4V；</w:t>
            </w:r>
            <w:r>
              <w:br/>
            </w:r>
            <w:r>
              <w:rPr>
                <w:rFonts w:ascii="仿宋_GB2312" w:hAnsi="仿宋_GB2312" w:cs="仿宋_GB2312" w:eastAsia="仿宋_GB2312"/>
              </w:rPr>
              <w:t xml:space="preserve"> ▲4.插入损耗≤5dB；</w:t>
            </w:r>
            <w:r>
              <w:br/>
            </w:r>
            <w:r>
              <w:rPr>
                <w:rFonts w:ascii="仿宋_GB2312" w:hAnsi="仿宋_GB2312" w:cs="仿宋_GB2312" w:eastAsia="仿宋_GB2312"/>
              </w:rPr>
              <w:t xml:space="preserve"> 5.输入光功率≤300mW；</w:t>
            </w:r>
            <w:r>
              <w:br/>
            </w:r>
            <w:r>
              <w:rPr>
                <w:rFonts w:ascii="仿宋_GB2312" w:hAnsi="仿宋_GB2312" w:cs="仿宋_GB2312" w:eastAsia="仿宋_GB2312"/>
              </w:rPr>
              <w:t xml:space="preserve"> 6.保偏PM1550尾纤；</w:t>
            </w:r>
            <w:r>
              <w:br/>
            </w:r>
            <w:r>
              <w:rPr>
                <w:rFonts w:ascii="仿宋_GB2312" w:hAnsi="仿宋_GB2312" w:cs="仿宋_GB2312" w:eastAsia="仿宋_GB2312"/>
              </w:rPr>
              <w:t xml:space="preserve"> 7.FC/APC接头。</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三、IQ调制模块：</w:t>
            </w:r>
            <w:r>
              <w:br/>
            </w:r>
            <w:r>
              <w:rPr>
                <w:rFonts w:ascii="仿宋_GB2312" w:hAnsi="仿宋_GB2312" w:cs="仿宋_GB2312" w:eastAsia="仿宋_GB2312"/>
              </w:rPr>
              <w:t xml:space="preserve"> ▲1.调制带宽≥20GHz；</w:t>
            </w:r>
            <w:r>
              <w:br/>
            </w:r>
            <w:r>
              <w:rPr>
                <w:rFonts w:ascii="仿宋_GB2312" w:hAnsi="仿宋_GB2312" w:cs="仿宋_GB2312" w:eastAsia="仿宋_GB2312"/>
              </w:rPr>
              <w:t xml:space="preserve"> 2.IQ相位差90°±1°；</w:t>
            </w:r>
            <w:r>
              <w:br/>
            </w:r>
            <w:r>
              <w:rPr>
                <w:rFonts w:ascii="仿宋_GB2312" w:hAnsi="仿宋_GB2312" w:cs="仿宋_GB2312" w:eastAsia="仿宋_GB2312"/>
              </w:rPr>
              <w:t xml:space="preserve"> 3.工作波长1550nm；</w:t>
            </w:r>
            <w:r>
              <w:br/>
            </w:r>
            <w:r>
              <w:rPr>
                <w:rFonts w:ascii="仿宋_GB2312" w:hAnsi="仿宋_GB2312" w:cs="仿宋_GB2312" w:eastAsia="仿宋_GB2312"/>
              </w:rPr>
              <w:t xml:space="preserve"> ▲4.半波电压≥3V；</w:t>
            </w:r>
            <w:r>
              <w:br/>
            </w:r>
            <w:r>
              <w:rPr>
                <w:rFonts w:ascii="仿宋_GB2312" w:hAnsi="仿宋_GB2312" w:cs="仿宋_GB2312" w:eastAsia="仿宋_GB2312"/>
              </w:rPr>
              <w:t xml:space="preserve"> ▲5.插入损耗≤5dB；</w:t>
            </w:r>
            <w:r>
              <w:br/>
            </w:r>
            <w:r>
              <w:rPr>
                <w:rFonts w:ascii="仿宋_GB2312" w:hAnsi="仿宋_GB2312" w:cs="仿宋_GB2312" w:eastAsia="仿宋_GB2312"/>
              </w:rPr>
              <w:t xml:space="preserve"> 6.消光比≥20dB；</w:t>
            </w:r>
            <w:r>
              <w:br/>
            </w:r>
            <w:r>
              <w:rPr>
                <w:rFonts w:ascii="仿宋_GB2312" w:hAnsi="仿宋_GB2312" w:cs="仿宋_GB2312" w:eastAsia="仿宋_GB2312"/>
              </w:rPr>
              <w:t xml:space="preserve"> 7.输入光功率≤300mW；</w:t>
            </w:r>
            <w:r>
              <w:br/>
            </w:r>
            <w:r>
              <w:rPr>
                <w:rFonts w:ascii="仿宋_GB2312" w:hAnsi="仿宋_GB2312" w:cs="仿宋_GB2312" w:eastAsia="仿宋_GB2312"/>
              </w:rPr>
              <w:t xml:space="preserve"> 8.保偏PM1550尾纤；</w:t>
            </w:r>
            <w:r>
              <w:br/>
            </w:r>
            <w:r>
              <w:rPr>
                <w:rFonts w:ascii="仿宋_GB2312" w:hAnsi="仿宋_GB2312" w:cs="仿宋_GB2312" w:eastAsia="仿宋_GB2312"/>
              </w:rPr>
              <w:t xml:space="preserve"> 9.FC/APC接头。</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四、宽带射频信号放大模块：</w:t>
            </w:r>
            <w:r>
              <w:br/>
            </w:r>
            <w:r>
              <w:rPr>
                <w:rFonts w:ascii="仿宋_GB2312" w:hAnsi="仿宋_GB2312" w:cs="仿宋_GB2312" w:eastAsia="仿宋_GB2312"/>
              </w:rPr>
              <w:t xml:space="preserve"> ▲1.工作频率：100kHz-54GHz；</w:t>
            </w:r>
            <w:r>
              <w:br/>
            </w:r>
            <w:r>
              <w:rPr>
                <w:rFonts w:ascii="仿宋_GB2312" w:hAnsi="仿宋_GB2312" w:cs="仿宋_GB2312" w:eastAsia="仿宋_GB2312"/>
              </w:rPr>
              <w:t xml:space="preserve"> ▲2.增益：≥22dB；</w:t>
            </w:r>
            <w:r>
              <w:br/>
            </w:r>
            <w:r>
              <w:rPr>
                <w:rFonts w:ascii="仿宋_GB2312" w:hAnsi="仿宋_GB2312" w:cs="仿宋_GB2312" w:eastAsia="仿宋_GB2312"/>
              </w:rPr>
              <w:t xml:space="preserve"> ▲3.P1dB：≥14.5dBm；</w:t>
            </w:r>
            <w:r>
              <w:br/>
            </w:r>
            <w:r>
              <w:rPr>
                <w:rFonts w:ascii="仿宋_GB2312" w:hAnsi="仿宋_GB2312" w:cs="仿宋_GB2312" w:eastAsia="仿宋_GB2312"/>
              </w:rPr>
              <w:t xml:space="preserve"> ▲4.IP3：≥28dBm；</w:t>
            </w:r>
            <w:r>
              <w:br/>
            </w:r>
            <w:r>
              <w:rPr>
                <w:rFonts w:ascii="仿宋_GB2312" w:hAnsi="仿宋_GB2312" w:cs="仿宋_GB2312" w:eastAsia="仿宋_GB2312"/>
              </w:rPr>
              <w:t xml:space="preserve"> 5.输入功率：4-10dBm；</w:t>
            </w:r>
            <w:r>
              <w:br/>
            </w:r>
            <w:r>
              <w:rPr>
                <w:rFonts w:ascii="仿宋_GB2312" w:hAnsi="仿宋_GB2312" w:cs="仿宋_GB2312" w:eastAsia="仿宋_GB2312"/>
              </w:rPr>
              <w:t xml:space="preserve"> 6.噪声系数：≤8dB;</w:t>
            </w:r>
            <w:r>
              <w:br/>
            </w:r>
            <w:r>
              <w:rPr>
                <w:rFonts w:ascii="仿宋_GB2312" w:hAnsi="仿宋_GB2312" w:cs="仿宋_GB2312" w:eastAsia="仿宋_GB2312"/>
              </w:rPr>
              <w:t xml:space="preserve"> 7.附带散热块。</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五、射频信号放大模块：</w:t>
            </w:r>
            <w:r>
              <w:br/>
            </w:r>
            <w:r>
              <w:rPr>
                <w:rFonts w:ascii="仿宋_GB2312" w:hAnsi="仿宋_GB2312" w:cs="仿宋_GB2312" w:eastAsia="仿宋_GB2312"/>
              </w:rPr>
              <w:t xml:space="preserve"> ▲1.工作频率：100kHz-24GHz；</w:t>
            </w:r>
            <w:r>
              <w:br/>
            </w:r>
            <w:r>
              <w:rPr>
                <w:rFonts w:ascii="仿宋_GB2312" w:hAnsi="仿宋_GB2312" w:cs="仿宋_GB2312" w:eastAsia="仿宋_GB2312"/>
              </w:rPr>
              <w:t xml:space="preserve"> ▲2.增益：≥28dB；</w:t>
            </w:r>
            <w:r>
              <w:br/>
            </w:r>
            <w:r>
              <w:rPr>
                <w:rFonts w:ascii="仿宋_GB2312" w:hAnsi="仿宋_GB2312" w:cs="仿宋_GB2312" w:eastAsia="仿宋_GB2312"/>
              </w:rPr>
              <w:t xml:space="preserve"> ▲3.P1dB：≥23dBm；</w:t>
            </w:r>
            <w:r>
              <w:br/>
            </w:r>
            <w:r>
              <w:rPr>
                <w:rFonts w:ascii="仿宋_GB2312" w:hAnsi="仿宋_GB2312" w:cs="仿宋_GB2312" w:eastAsia="仿宋_GB2312"/>
              </w:rPr>
              <w:t xml:space="preserve"> 4.输入功率：4-10dBm;</w:t>
            </w:r>
            <w:r>
              <w:br/>
            </w:r>
            <w:r>
              <w:rPr>
                <w:rFonts w:ascii="仿宋_GB2312" w:hAnsi="仿宋_GB2312" w:cs="仿宋_GB2312" w:eastAsia="仿宋_GB2312"/>
              </w:rPr>
              <w:t xml:space="preserve"> 5.噪声系数：≤8.5dB;</w:t>
            </w:r>
            <w:r>
              <w:br/>
            </w:r>
            <w:r>
              <w:rPr>
                <w:rFonts w:ascii="仿宋_GB2312" w:hAnsi="仿宋_GB2312" w:cs="仿宋_GB2312" w:eastAsia="仿宋_GB2312"/>
              </w:rPr>
              <w:t xml:space="preserve"> 6.附带散热块。</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六、配置要求</w:t>
            </w:r>
            <w:r>
              <w:br/>
            </w:r>
            <w:r>
              <w:rPr>
                <w:rFonts w:ascii="仿宋_GB2312" w:hAnsi="仿宋_GB2312" w:cs="仿宋_GB2312" w:eastAsia="仿宋_GB2312"/>
              </w:rPr>
              <w:t xml:space="preserve"> 1.电光强度调制模块，数量1块；</w:t>
            </w:r>
            <w:r>
              <w:br/>
            </w:r>
            <w:r>
              <w:rPr>
                <w:rFonts w:ascii="仿宋_GB2312" w:hAnsi="仿宋_GB2312" w:cs="仿宋_GB2312" w:eastAsia="仿宋_GB2312"/>
              </w:rPr>
              <w:t xml:space="preserve"> 2.电光相位调制模块，数量1块；</w:t>
            </w:r>
            <w:r>
              <w:br/>
            </w:r>
            <w:r>
              <w:rPr>
                <w:rFonts w:ascii="仿宋_GB2312" w:hAnsi="仿宋_GB2312" w:cs="仿宋_GB2312" w:eastAsia="仿宋_GB2312"/>
              </w:rPr>
              <w:t xml:space="preserve"> 3.IQ调制模块，数量1块；</w:t>
            </w:r>
            <w:r>
              <w:br/>
            </w:r>
            <w:r>
              <w:rPr>
                <w:rFonts w:ascii="仿宋_GB2312" w:hAnsi="仿宋_GB2312" w:cs="仿宋_GB2312" w:eastAsia="仿宋_GB2312"/>
              </w:rPr>
              <w:t xml:space="preserve"> 4.宽带射频放大模块，数量1块；</w:t>
            </w:r>
            <w:r>
              <w:br/>
            </w:r>
            <w:r>
              <w:rPr>
                <w:rFonts w:ascii="仿宋_GB2312" w:hAnsi="仿宋_GB2312" w:cs="仿宋_GB2312" w:eastAsia="仿宋_GB2312"/>
              </w:rPr>
              <w:t xml:space="preserve"> 5.射频放大模块，数量1块；</w:t>
            </w:r>
            <w:r>
              <w:br/>
            </w:r>
            <w:r>
              <w:rPr>
                <w:rFonts w:ascii="仿宋_GB2312" w:hAnsi="仿宋_GB2312" w:cs="仿宋_GB2312" w:eastAsia="仿宋_GB2312"/>
              </w:rPr>
              <w:t xml:space="preserve"> 6.电缆：1.85mm（公）-1.85mm(公)，数量4根；1.85mm（公）-2.92mm(公)，数量4根；2.92mm（公）-2.92mm(公)，数量4根；SMA（公）-2.92mm(公)，数量4根；SMA（公）-SMA(公)，数量4根。</w:t>
            </w:r>
            <w:r>
              <w:br/>
            </w:r>
            <w:r>
              <w:rPr>
                <w:rFonts w:ascii="仿宋_GB2312" w:hAnsi="仿宋_GB2312" w:cs="仿宋_GB2312" w:eastAsia="仿宋_GB2312"/>
              </w:rPr>
              <w:t xml:space="preserve"> 7.转接头：1.85mm（公）转1.85mm(公)，数量4个；1.85mm（公）转1.85mm(母)，数量4个；1.85mm（母）转1.85mm(母)，数量4个；1.85mm（母）转1.85mm(公)，数量4个1.85mm(公)转2.92mm（公），数量4个；1.85mm(公)转2.92mm（母），数量4个；1.85mm(母)转2.92mm（母），数量4个；1.85mm(母)转2.92mm（公），数量4个；2.92mm（公）转2.92mm(公)，数量4个；2.92mm（公）转2.92mm(母)，数量4个；2.92mm（母）转2.92mm(母)，数量4个；2.92mm（母）转2.92mm(公)，数量4个；2.92mm(公)转SMA（公），数量4个；2.92mm(公)转SMA（母），数量4个；2.92mm(母)转SMA（公），数量4个；2.92mm(母)转SMA（母），数量4个；SMA(公)转SMA（公），数量4个；SMA(公)转SMA（母），数量4个；SMA(母)转SMA（母），数量4个；SMA(母)转SMA（公），数量4个。</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七、其他要求</w:t>
            </w:r>
            <w:r>
              <w:br/>
            </w:r>
            <w:r>
              <w:rPr>
                <w:rFonts w:ascii="仿宋_GB2312" w:hAnsi="仿宋_GB2312" w:cs="仿宋_GB2312" w:eastAsia="仿宋_GB2312"/>
              </w:rPr>
              <w:t xml:space="preserve"> 1．保证货物必须符合技术指标要求，并能按国家标准（行业标准）供应、检测、调试，确保产品技术指标满足使用要求。</w:t>
            </w:r>
            <w:r>
              <w:br/>
            </w:r>
            <w:r>
              <w:rPr>
                <w:rFonts w:ascii="仿宋_GB2312" w:hAnsi="仿宋_GB2312" w:cs="仿宋_GB2312" w:eastAsia="仿宋_GB2312"/>
              </w:rPr>
              <w:t xml:space="preserve"> 2.合同签订后45日历日内交货。</w:t>
            </w:r>
            <w:r>
              <w:br/>
            </w:r>
            <w:r>
              <w:rPr>
                <w:rFonts w:ascii="仿宋_GB2312" w:hAnsi="仿宋_GB2312" w:cs="仿宋_GB2312" w:eastAsia="仿宋_GB2312"/>
              </w:rPr>
              <w:t xml:space="preserve"> 3.产品免费质量保证期为货物验收合格后3年。</w:t>
            </w:r>
            <w:r>
              <w:br/>
            </w:r>
            <w:r>
              <w:rPr>
                <w:rFonts w:ascii="仿宋_GB2312" w:hAnsi="仿宋_GB2312" w:cs="仿宋_GB2312" w:eastAsia="仿宋_GB2312"/>
              </w:rPr>
              <w:t xml:space="preserve"> 4.免费安装调试及技术培训，培训人数不低于5人，次数不低于3次。确保使用人能熟悉产品货物和正确使用。</w:t>
            </w:r>
            <w:r>
              <w:br/>
            </w:r>
            <w:r>
              <w:rPr>
                <w:rFonts w:ascii="仿宋_GB2312" w:hAnsi="仿宋_GB2312" w:cs="仿宋_GB2312" w:eastAsia="仿宋_GB2312"/>
              </w:rPr>
              <w:t xml:space="preserve"> 5.对售后服务需求提供7*24小时响应，48小时内到达现场实施维修。</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以上参数为实质性要求，供应商任意一项负偏离，响应文件按无效响应处理。“▲”项参数须提供相关佐证材料（不限于产品彩页、测试报告、官网和功能截图等技术支持性文件资料），未提供或虽提供但无法佐证的视为负偏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交货时间: 合同签订后45日历日内安装调试完成保证可正常使用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待验收合格后，凭成交供应商开具全额增值税专用发票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根据采购单位通知的时间和地点，安排具有相关经验的工程技术人员参与采购单位验收，根据各项技术指标提供相应测试报告对货物进行验收，供应商配合需求单位进行验收，形成验收报告。</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证期：自交货验收完毕之日算起，所有产品质保3年，质保期内：如因产品自身问题，原厂包换包退，提供双重保修保障服务。如因产品非正常使用等情况造成的问题，甲方应支付由此产生的检修及相应维修所发生的材料费。 质保期内，提供免费调试、定期维护和免费升级软件等服务；质保期内发生产品技术升级时，应及时通知采购单位，如有相应需求须提供产品免费升级服务，须免费包调、包改、包测。 质保期满后，须继续提供投标产品的终身技术支持服务。若产生额外费用，经双方协定后，可收取适当费用。具体服务条款及费用收取，由供需双方另行协商。</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技术支持及售后要求：（1）提供并且安排工程技术人员免费进行安装调试。安装调试中所产生的一切相关费用由投标供应商承担。（2）硬件安装：提供并按照产品要求完成硬件组装和上电前状态检查，确保产品运行正常、安全。免费提供一次设备移机服务。（3）免费安装调试及技术培训，培训人数不低于5人，次数不低于3次。确保使用人能熟悉产品货物和正确使用。（4）对售后服务需求提供7*24小时响应，48小时内到达现场实施维修。 2、本项目落实的政府采购政策： ①《政府采购促进中小企业发展管理办法》的通知--财库〔2020〕46号；②《财政部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 ⑩若享受以上政策优惠的企业，提供相应声明函或品目范围内产品有效认证证书。如有最新颁布的政府采购政策，按最新的文件执行。 3、保证金的退还：自成交通知书发出之日起5个工作日内退还未成交供应商的谈判保证金,自采购合同签订之日起5个工作日内退还成交供应商的投标保证金。合同签订后，成交供应商需将合同扫描件发送至指定联系人邮箱，邮箱地址为499094051@qq.com，并以邮件接收时间为退付的基准时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招标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法定代表人授权书及被授权人身份证复印件。（法定代表人直接谈判只须提交其身份证明书）</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响应函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响应报价是否超过采购预算或者最高限价</w:t>
            </w:r>
          </w:p>
        </w:tc>
        <w:tc>
          <w:tcPr>
            <w:tcW w:type="dxa" w:w="3322"/>
          </w:tcPr>
          <w:p>
            <w:pPr>
              <w:pStyle w:val="null3"/>
            </w:pPr>
            <w:r>
              <w:rPr>
                <w:rFonts w:ascii="仿宋_GB2312" w:hAnsi="仿宋_GB2312" w:cs="仿宋_GB2312" w:eastAsia="仿宋_GB2312"/>
              </w:rPr>
              <w:t>响应报价未超过采购预算或最高限价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交货时间满足采购文件要求</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质保期满足采购文件要求</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投标有效期满足采购文件要求</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标的数量满足采购要求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响应文件按谈判文件要求的数量、计量单位、报价货币及签字盖章</w:t>
            </w:r>
          </w:p>
        </w:tc>
        <w:tc>
          <w:tcPr>
            <w:tcW w:type="dxa" w:w="3322"/>
          </w:tcPr>
          <w:p>
            <w:pPr>
              <w:pStyle w:val="null3"/>
            </w:pPr>
            <w:r>
              <w:rPr>
                <w:rFonts w:ascii="仿宋_GB2312" w:hAnsi="仿宋_GB2312" w:cs="仿宋_GB2312" w:eastAsia="仿宋_GB2312"/>
              </w:rPr>
              <w:t>响应文件按谈判文件要求的数量、计量单位、报价货币及签字盖章</w:t>
            </w:r>
          </w:p>
        </w:tc>
        <w:tc>
          <w:tcPr>
            <w:tcW w:type="dxa" w:w="1661"/>
          </w:tcPr>
          <w:p>
            <w:pPr>
              <w:pStyle w:val="null3"/>
            </w:pPr>
            <w:r>
              <w:rPr>
                <w:rFonts w:ascii="仿宋_GB2312" w:hAnsi="仿宋_GB2312" w:cs="仿宋_GB2312" w:eastAsia="仿宋_GB2312"/>
              </w:rPr>
              <w:t>响应文件封面 标的清单 报价表 供应商资格条件证明文件.docx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响应文件未含有采购人不能接受的附加条件的</w:t>
            </w:r>
          </w:p>
        </w:tc>
        <w:tc>
          <w:tcPr>
            <w:tcW w:type="dxa" w:w="1661"/>
          </w:tcPr>
          <w:p>
            <w:pPr>
              <w:pStyle w:val="null3"/>
            </w:pPr>
            <w:r>
              <w:rPr>
                <w:rFonts w:ascii="仿宋_GB2312" w:hAnsi="仿宋_GB2312" w:cs="仿宋_GB2312" w:eastAsia="仿宋_GB2312"/>
              </w:rPr>
              <w:t>产品技术参数表 商务应答表 供应商认为有必要说明的问题.docx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符合法律、法规和谈判文件中规定的其他实质性要求</w:t>
            </w:r>
          </w:p>
        </w:tc>
        <w:tc>
          <w:tcPr>
            <w:tcW w:type="dxa" w:w="3322"/>
          </w:tcPr>
          <w:p>
            <w:pPr>
              <w:pStyle w:val="null3"/>
            </w:pPr>
            <w:r>
              <w:rPr>
                <w:rFonts w:ascii="仿宋_GB2312" w:hAnsi="仿宋_GB2312" w:cs="仿宋_GB2312" w:eastAsia="仿宋_GB2312"/>
              </w:rPr>
              <w:t>符合法律、法规和谈判文件中规定的其他实质性要求</w:t>
            </w:r>
          </w:p>
        </w:tc>
        <w:tc>
          <w:tcPr>
            <w:tcW w:type="dxa" w:w="1661"/>
          </w:tcPr>
          <w:p>
            <w:pPr>
              <w:pStyle w:val="null3"/>
            </w:pPr>
            <w:r>
              <w:rPr>
                <w:rFonts w:ascii="仿宋_GB2312" w:hAnsi="仿宋_GB2312" w:cs="仿宋_GB2312" w:eastAsia="仿宋_GB2312"/>
              </w:rPr>
              <w:t>产品技术参数表 商务应答表 标的清单 报价表 供应商资格条件证明文件.docx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详见附件：供应商认为有必要说明的问题.docx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详见附件：货物类合同模板-国产.docx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