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2CA04">
      <w:pPr>
        <w:pStyle w:val="5"/>
        <w:spacing w:after="0"/>
        <w:jc w:val="center"/>
        <w:rPr>
          <w:rFonts w:hint="eastAsia" w:ascii="宋体" w:hAnsi="宋体" w:eastAsia="宋体" w:cs="宋体"/>
          <w:b/>
          <w:bCs/>
          <w:spacing w:val="-20"/>
          <w:kern w:val="44"/>
          <w:sz w:val="24"/>
          <w:szCs w:val="24"/>
        </w:rPr>
      </w:pPr>
      <w:bookmarkStart w:id="0" w:name="_Toc3995"/>
    </w:p>
    <w:p w14:paraId="744CDD3B">
      <w:pPr>
        <w:pStyle w:val="5"/>
        <w:spacing w:after="0"/>
        <w:jc w:val="center"/>
        <w:rPr>
          <w:rFonts w:hint="eastAsia" w:ascii="宋体" w:hAnsi="宋体" w:eastAsia="宋体" w:cs="宋体"/>
          <w:b/>
          <w:bCs/>
          <w:spacing w:val="-20"/>
          <w:kern w:val="44"/>
          <w:sz w:val="24"/>
          <w:szCs w:val="24"/>
        </w:rPr>
      </w:pPr>
    </w:p>
    <w:p w14:paraId="43D02236">
      <w:pPr>
        <w:pStyle w:val="5"/>
        <w:spacing w:after="0"/>
        <w:jc w:val="center"/>
        <w:rPr>
          <w:rFonts w:hint="eastAsia" w:ascii="宋体" w:hAnsi="宋体" w:eastAsia="宋体" w:cs="宋体"/>
          <w:b/>
          <w:bCs/>
          <w:spacing w:val="-20"/>
          <w:kern w:val="44"/>
          <w:sz w:val="24"/>
          <w:szCs w:val="24"/>
        </w:rPr>
      </w:pPr>
    </w:p>
    <w:p w14:paraId="3A22B436">
      <w:pPr>
        <w:rPr>
          <w:rFonts w:hint="eastAsia" w:ascii="宋体" w:hAnsi="宋体" w:eastAsia="宋体" w:cs="宋体"/>
          <w:b/>
          <w:bCs/>
          <w:spacing w:val="-20"/>
          <w:kern w:val="44"/>
          <w:sz w:val="24"/>
          <w:szCs w:val="24"/>
        </w:rPr>
      </w:pPr>
    </w:p>
    <w:p w14:paraId="726C5911">
      <w:pPr>
        <w:pStyle w:val="2"/>
        <w:rPr>
          <w:rFonts w:hint="eastAsia" w:ascii="宋体" w:hAnsi="宋体" w:eastAsia="宋体" w:cs="宋体"/>
          <w:b/>
          <w:bCs/>
          <w:spacing w:val="-20"/>
          <w:kern w:val="44"/>
          <w:sz w:val="24"/>
          <w:szCs w:val="24"/>
        </w:rPr>
      </w:pPr>
    </w:p>
    <w:p w14:paraId="1A54B102">
      <w:pPr>
        <w:rPr>
          <w:rFonts w:hint="eastAsia"/>
        </w:rPr>
      </w:pPr>
    </w:p>
    <w:p w14:paraId="22BD3C2C">
      <w:pPr>
        <w:pStyle w:val="5"/>
        <w:spacing w:after="0"/>
        <w:rPr>
          <w:rFonts w:hint="eastAsia" w:ascii="宋体" w:hAnsi="宋体" w:eastAsia="宋体" w:cs="宋体"/>
          <w:b/>
          <w:bCs/>
          <w:spacing w:val="-20"/>
          <w:kern w:val="44"/>
          <w:sz w:val="24"/>
          <w:szCs w:val="24"/>
        </w:rPr>
      </w:pPr>
    </w:p>
    <w:p w14:paraId="50BA338F">
      <w:pPr>
        <w:pStyle w:val="5"/>
        <w:spacing w:after="0"/>
        <w:jc w:val="center"/>
        <w:rPr>
          <w:rFonts w:hint="eastAsia" w:ascii="宋体" w:hAnsi="宋体" w:eastAsia="宋体" w:cs="宋体"/>
          <w:b/>
          <w:bCs/>
          <w:spacing w:val="-20"/>
          <w:kern w:val="44"/>
          <w:sz w:val="24"/>
          <w:szCs w:val="24"/>
        </w:rPr>
      </w:pPr>
      <w:r>
        <w:rPr>
          <w:rFonts w:hint="eastAsia" w:ascii="仿宋" w:hAnsi="仿宋" w:eastAsia="仿宋" w:cs="仿宋"/>
          <w:b/>
          <w:bCs/>
          <w:spacing w:val="-20"/>
          <w:kern w:val="44"/>
          <w:sz w:val="48"/>
          <w:szCs w:val="48"/>
        </w:rPr>
        <w:t>政府采购货物买卖合同</w:t>
      </w:r>
    </w:p>
    <w:p w14:paraId="1258CB0C">
      <w:pPr>
        <w:rPr>
          <w:rFonts w:hint="eastAsia" w:ascii="宋体" w:hAnsi="宋体" w:eastAsia="宋体" w:cs="宋体"/>
          <w:b/>
          <w:bCs/>
          <w:spacing w:val="-20"/>
          <w:kern w:val="44"/>
          <w:sz w:val="24"/>
          <w:szCs w:val="24"/>
        </w:rPr>
      </w:pPr>
    </w:p>
    <w:p w14:paraId="73723385">
      <w:pPr>
        <w:pStyle w:val="28"/>
        <w:rPr>
          <w:rFonts w:hint="eastAsia" w:ascii="宋体" w:hAnsi="宋体" w:eastAsia="宋体" w:cs="宋体"/>
          <w:sz w:val="24"/>
          <w:szCs w:val="24"/>
        </w:rPr>
      </w:pPr>
    </w:p>
    <w:p w14:paraId="7F2F5CF0">
      <w:pPr>
        <w:pStyle w:val="28"/>
        <w:rPr>
          <w:rFonts w:hint="eastAsia" w:ascii="宋体" w:hAnsi="宋体" w:eastAsia="宋体" w:cs="宋体"/>
          <w:sz w:val="24"/>
          <w:szCs w:val="24"/>
        </w:rPr>
      </w:pPr>
    </w:p>
    <w:p w14:paraId="570D6B7B">
      <w:pPr>
        <w:pStyle w:val="28"/>
        <w:rPr>
          <w:rFonts w:hint="eastAsia" w:ascii="宋体" w:hAnsi="宋体" w:eastAsia="宋体" w:cs="宋体"/>
          <w:sz w:val="24"/>
          <w:szCs w:val="24"/>
        </w:rPr>
      </w:pPr>
    </w:p>
    <w:p w14:paraId="38E1371C">
      <w:pPr>
        <w:rPr>
          <w:rFonts w:hint="eastAsia" w:ascii="宋体" w:hAnsi="宋体" w:eastAsia="宋体" w:cs="宋体"/>
          <w:b/>
          <w:bCs/>
          <w:spacing w:val="-20"/>
          <w:kern w:val="44"/>
          <w:sz w:val="24"/>
          <w:szCs w:val="24"/>
        </w:rPr>
      </w:pPr>
    </w:p>
    <w:p w14:paraId="674B9808">
      <w:pPr>
        <w:pStyle w:val="2"/>
        <w:rPr>
          <w:rFonts w:hint="eastAsia"/>
        </w:rPr>
      </w:pPr>
    </w:p>
    <w:p w14:paraId="0EF8CD75">
      <w:pPr>
        <w:spacing w:line="360" w:lineRule="auto"/>
        <w:ind w:left="560" w:leftChars="200"/>
        <w:rPr>
          <w:rFonts w:hint="eastAsia" w:ascii="仿宋" w:hAnsi="仿宋" w:eastAsia="仿宋" w:cs="仿宋"/>
          <w:sz w:val="32"/>
          <w:szCs w:val="32"/>
          <w:u w:val="single"/>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6CFA8C57">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62E6DB64">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lang w:eastAsia="zh-CN"/>
        </w:rPr>
        <w:t>杨凌职业技术学院</w:t>
      </w:r>
      <w:r>
        <w:rPr>
          <w:rFonts w:hint="eastAsia" w:ascii="仿宋" w:hAnsi="仿宋" w:eastAsia="仿宋" w:cs="仿宋"/>
          <w:sz w:val="32"/>
          <w:szCs w:val="32"/>
          <w:u w:val="single"/>
        </w:rPr>
        <w:t xml:space="preserve">                      </w:t>
      </w:r>
    </w:p>
    <w:p w14:paraId="4D7B79D9">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乙    方：</w:t>
      </w:r>
      <w:bookmarkStart w:id="1" w:name="_Hlk165097710"/>
      <w:r>
        <w:rPr>
          <w:rFonts w:hint="eastAsia" w:ascii="仿宋" w:hAnsi="仿宋" w:eastAsia="仿宋" w:cs="仿宋"/>
          <w:sz w:val="32"/>
          <w:szCs w:val="32"/>
          <w:u w:val="single"/>
        </w:rPr>
        <w:t xml:space="preserve">                                      </w:t>
      </w:r>
    </w:p>
    <w:bookmarkEnd w:id="1"/>
    <w:p w14:paraId="14FE509A">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见 证 方：</w:t>
      </w:r>
      <w:r>
        <w:rPr>
          <w:rFonts w:hint="eastAsia" w:ascii="仿宋" w:hAnsi="仿宋" w:eastAsia="仿宋" w:cs="仿宋"/>
          <w:sz w:val="32"/>
          <w:szCs w:val="32"/>
          <w:u w:val="single"/>
        </w:rPr>
        <w:t xml:space="preserve">                                      </w:t>
      </w:r>
    </w:p>
    <w:p w14:paraId="7B66E475">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2025年*月                               </w:t>
      </w:r>
    </w:p>
    <w:p w14:paraId="35574568">
      <w:pPr>
        <w:rPr>
          <w:rFonts w:hint="eastAsia" w:ascii="宋体" w:hAnsi="宋体" w:eastAsia="宋体" w:cs="宋体"/>
          <w:sz w:val="24"/>
          <w:szCs w:val="24"/>
        </w:rPr>
      </w:pPr>
    </w:p>
    <w:p w14:paraId="700E65A5">
      <w:pPr>
        <w:rPr>
          <w:rFonts w:hint="eastAsia" w:ascii="宋体" w:hAnsi="宋体" w:eastAsia="宋体" w:cs="宋体"/>
          <w:sz w:val="24"/>
          <w:szCs w:val="24"/>
        </w:rPr>
      </w:pPr>
      <w:r>
        <w:rPr>
          <w:rFonts w:hint="eastAsia" w:ascii="宋体" w:hAnsi="宋体" w:eastAsia="宋体" w:cs="宋体"/>
          <w:sz w:val="24"/>
          <w:szCs w:val="24"/>
        </w:rPr>
        <w:br w:type="page"/>
      </w:r>
    </w:p>
    <w:p w14:paraId="735E53FD">
      <w:pPr>
        <w:rPr>
          <w:rFonts w:hint="eastAsia" w:ascii="宋体" w:hAnsi="宋体" w:eastAsia="宋体" w:cs="宋体"/>
          <w:sz w:val="24"/>
          <w:szCs w:val="24"/>
        </w:rPr>
        <w:sectPr>
          <w:footerReference r:id="rId5" w:type="default"/>
          <w:pgSz w:w="11906" w:h="16838"/>
          <w:pgMar w:top="1440" w:right="1800" w:bottom="1440" w:left="1800" w:header="851" w:footer="992" w:gutter="0"/>
          <w:pgNumType w:start="1"/>
          <w:cols w:space="425" w:num="1"/>
          <w:docGrid w:type="lines" w:linePitch="312" w:charSpace="0"/>
        </w:sectPr>
      </w:pPr>
    </w:p>
    <w:bookmarkEnd w:id="0"/>
    <w:p w14:paraId="2EB3ED87">
      <w:pPr>
        <w:pStyle w:val="2"/>
        <w:adjustRightInd w:val="0"/>
        <w:snapToGrid w:val="0"/>
        <w:spacing w:line="400" w:lineRule="exact"/>
        <w:jc w:val="center"/>
        <w:rPr>
          <w:rFonts w:hint="eastAsia" w:ascii="仿宋" w:hAnsi="仿宋" w:eastAsia="仿宋" w:cs="仿宋"/>
          <w:b w:val="0"/>
          <w:bCs w:val="0"/>
          <w:sz w:val="24"/>
          <w:szCs w:val="24"/>
        </w:rPr>
      </w:pPr>
      <w:bookmarkStart w:id="2" w:name="_Toc22209"/>
      <w:bookmarkStart w:id="10" w:name="_GoBack"/>
      <w:r>
        <w:rPr>
          <w:rFonts w:hint="eastAsia" w:ascii="仿宋" w:hAnsi="仿宋" w:eastAsia="仿宋" w:cs="仿宋"/>
          <w:b w:val="0"/>
          <w:bCs w:val="0"/>
          <w:sz w:val="24"/>
          <w:szCs w:val="24"/>
        </w:rPr>
        <w:t>第一节 政府采购合同协议书</w:t>
      </w:r>
      <w:bookmarkEnd w:id="2"/>
    </w:p>
    <w:p w14:paraId="47AC2052">
      <w:pPr>
        <w:pStyle w:val="2"/>
        <w:adjustRightInd w:val="0"/>
        <w:snapToGrid w:val="0"/>
        <w:spacing w:line="400" w:lineRule="exact"/>
        <w:jc w:val="center"/>
        <w:rPr>
          <w:rFonts w:hint="eastAsia" w:ascii="仿宋" w:hAnsi="仿宋" w:eastAsia="仿宋" w:cs="仿宋"/>
          <w:b w:val="0"/>
          <w:bCs w:val="0"/>
          <w:sz w:val="24"/>
          <w:szCs w:val="24"/>
        </w:rPr>
      </w:pPr>
    </w:p>
    <w:p w14:paraId="3160C02F">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lang w:eastAsia="zh-CN"/>
        </w:rPr>
        <w:t>杨凌职业技术学院</w:t>
      </w:r>
      <w:r>
        <w:rPr>
          <w:rFonts w:hint="eastAsia" w:ascii="仿宋" w:hAnsi="仿宋" w:eastAsia="仿宋" w:cs="仿宋"/>
          <w:sz w:val="24"/>
          <w:szCs w:val="24"/>
          <w:u w:val="single"/>
        </w:rPr>
        <w:t xml:space="preserve">       </w:t>
      </w:r>
    </w:p>
    <w:p w14:paraId="67B98F1B">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54B3FC50">
      <w:pPr>
        <w:pStyle w:val="6"/>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7E36C6C">
      <w:pPr>
        <w:numPr>
          <w:ilvl w:val="0"/>
          <w:numId w:val="2"/>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项目信息</w:t>
      </w:r>
    </w:p>
    <w:p w14:paraId="0AC3192B">
      <w:pPr>
        <w:pStyle w:val="6"/>
        <w:numPr>
          <w:ilvl w:val="0"/>
          <w:numId w:val="3"/>
        </w:numPr>
        <w:adjustRightInd w:val="0"/>
        <w:snapToGrid w:val="0"/>
        <w:spacing w:after="0" w:line="400" w:lineRule="exact"/>
        <w:ind w:left="0" w:leftChars="0" w:firstLine="420"/>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79A9475B">
      <w:pPr>
        <w:pStyle w:val="6"/>
        <w:numPr>
          <w:ilvl w:val="255"/>
          <w:numId w:val="0"/>
        </w:numPr>
        <w:tabs>
          <w:tab w:val="left" w:pos="999"/>
          <w:tab w:val="clear" w:pos="480"/>
        </w:tabs>
        <w:adjustRightInd w:val="0"/>
        <w:snapToGrid w:val="0"/>
        <w:spacing w:after="0" w:line="400" w:lineRule="exact"/>
        <w:rPr>
          <w:rFonts w:hint="eastAsia" w:ascii="仿宋" w:hAnsi="仿宋" w:eastAsia="仿宋" w:cs="仿宋"/>
          <w:sz w:val="24"/>
          <w:szCs w:val="24"/>
        </w:rPr>
      </w:pPr>
      <w:r>
        <w:rPr>
          <w:rFonts w:hint="eastAsia" w:ascii="仿宋" w:hAnsi="仿宋" w:eastAsia="仿宋" w:cs="仿宋"/>
          <w:sz w:val="24"/>
          <w:szCs w:val="24"/>
        </w:rPr>
        <w:t xml:space="preserve">         采购项目编号：</w:t>
      </w:r>
      <w:r>
        <w:rPr>
          <w:rFonts w:hint="eastAsia" w:ascii="仿宋" w:hAnsi="仿宋" w:eastAsia="仿宋" w:cs="仿宋"/>
          <w:sz w:val="24"/>
          <w:szCs w:val="24"/>
          <w:u w:val="single"/>
        </w:rPr>
        <w:t xml:space="preserve">                                              </w:t>
      </w:r>
    </w:p>
    <w:p w14:paraId="6E236BDC">
      <w:pPr>
        <w:pStyle w:val="6"/>
        <w:adjustRightInd w:val="0"/>
        <w:snapToGrid w:val="0"/>
        <w:spacing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p>
    <w:p w14:paraId="5FEDD639">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p>
    <w:p w14:paraId="424039ED">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采购标的及数量（台/套/个/架/组等）</w:t>
      </w:r>
      <w:r>
        <w:rPr>
          <w:rFonts w:hint="eastAsia" w:ascii="仿宋" w:hAnsi="仿宋" w:eastAsia="仿宋" w:cs="仿宋"/>
          <w:sz w:val="24"/>
          <w:szCs w:val="24"/>
          <w:u w:val="single"/>
        </w:rPr>
        <w:t xml:space="preserve">                                  </w:t>
      </w:r>
    </w:p>
    <w:p w14:paraId="34FAFE2F">
      <w:pPr>
        <w:numPr>
          <w:ilvl w:val="255"/>
          <w:numId w:val="0"/>
        </w:numPr>
        <w:adjustRightInd w:val="0"/>
        <w:snapToGrid w:val="0"/>
        <w:spacing w:line="400" w:lineRule="exact"/>
        <w:ind w:firstLine="1200" w:firstLineChars="500"/>
        <w:rPr>
          <w:rFonts w:hint="eastAsia" w:ascii="仿宋" w:hAnsi="仿宋" w:eastAsia="仿宋" w:cs="仿宋"/>
          <w:sz w:val="24"/>
          <w:szCs w:val="24"/>
        </w:rPr>
      </w:pPr>
      <w:r>
        <w:rPr>
          <w:rFonts w:hint="eastAsia" w:ascii="仿宋" w:hAnsi="仿宋" w:eastAsia="仿宋" w:cs="仿宋"/>
          <w:sz w:val="24"/>
          <w:szCs w:val="24"/>
        </w:rPr>
        <w:t>品牌：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
        </w:rPr>
        <w:t xml:space="preserve">     </w:t>
      </w:r>
      <w:r>
        <w:rPr>
          <w:rFonts w:hint="eastAsia" w:ascii="仿宋" w:hAnsi="仿宋" w:eastAsia="仿宋" w:cs="仿宋"/>
          <w:sz w:val="24"/>
          <w:szCs w:val="24"/>
        </w:rPr>
        <w:t>规格型号：</w:t>
      </w:r>
      <w:r>
        <w:rPr>
          <w:rFonts w:hint="eastAsia" w:ascii="仿宋" w:hAnsi="仿宋" w:eastAsia="仿宋" w:cs="仿宋"/>
          <w:sz w:val="24"/>
          <w:szCs w:val="24"/>
          <w:u w:val="single"/>
        </w:rPr>
        <w:t xml:space="preserve">                         </w:t>
      </w:r>
    </w:p>
    <w:p w14:paraId="1BF616AF">
      <w:pPr>
        <w:adjustRightInd w:val="0"/>
        <w:snapToGrid w:val="0"/>
        <w:spacing w:line="400" w:lineRule="exact"/>
        <w:ind w:firstLine="1080" w:firstLineChars="450"/>
        <w:rPr>
          <w:rFonts w:hint="eastAsia" w:ascii="仿宋" w:hAnsi="仿宋" w:eastAsia="仿宋" w:cs="仿宋"/>
          <w:sz w:val="24"/>
          <w:szCs w:val="24"/>
          <w:u w:val="single"/>
        </w:rPr>
      </w:pPr>
      <w:r>
        <w:rPr>
          <w:rFonts w:hint="eastAsia" w:ascii="仿宋" w:hAnsi="仿宋" w:eastAsia="仿宋" w:cs="仿宋"/>
          <w:sz w:val="24"/>
          <w:szCs w:val="24"/>
        </w:rPr>
        <w:t>采购标的的技术要求、商务要求具体见附件。</w:t>
      </w:r>
    </w:p>
    <w:p w14:paraId="4AD10799">
      <w:pPr>
        <w:pStyle w:val="28"/>
        <w:numPr>
          <w:ilvl w:val="255"/>
          <w:numId w:val="0"/>
        </w:numPr>
        <w:snapToGrid w:val="0"/>
        <w:rPr>
          <w:rFonts w:hint="eastAsia" w:ascii="仿宋" w:hAnsi="仿宋" w:eastAsia="仿宋" w:cs="仿宋"/>
          <w:sz w:val="24"/>
          <w:szCs w:val="24"/>
        </w:rPr>
      </w:pPr>
      <w:r>
        <w:rPr>
          <w:rFonts w:hint="eastAsia" w:ascii="仿宋" w:hAnsi="仿宋" w:eastAsia="仿宋" w:cs="仿宋"/>
          <w:sz w:val="24"/>
          <w:szCs w:val="24"/>
        </w:rPr>
        <w:t xml:space="preserve">    （4）政府采购组织形式：</w:t>
      </w:r>
      <w:bookmarkStart w:id="3" w:name="_Hlk185510191"/>
      <w:r>
        <w:rPr>
          <w:rFonts w:hint="eastAsia" w:ascii="仿宋" w:hAnsi="仿宋" w:eastAsia="仿宋" w:cs="仿宋"/>
          <w:sz w:val="24"/>
          <w:szCs w:val="24"/>
        </w:rPr>
        <w:sym w:font="Wingdings" w:char="00A8"/>
      </w:r>
      <w:bookmarkEnd w:id="3"/>
      <w:r>
        <w:rPr>
          <w:rFonts w:hint="eastAsia" w:ascii="仿宋" w:hAnsi="仿宋" w:eastAsia="仿宋" w:cs="仿宋"/>
          <w:sz w:val="24"/>
          <w:szCs w:val="24"/>
        </w:rPr>
        <w:t xml:space="preserve">政府集中采购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部门集中采购  </w:t>
      </w:r>
      <w:r>
        <w:rPr>
          <w:rFonts w:hint="eastAsia" w:ascii="仿宋" w:hAnsi="仿宋" w:eastAsia="仿宋" w:cs="仿宋"/>
          <w:sz w:val="24"/>
          <w:szCs w:val="24"/>
        </w:rPr>
        <w:sym w:font="Wingdings" w:char="00A8"/>
      </w:r>
      <w:r>
        <w:rPr>
          <w:rFonts w:hint="eastAsia" w:ascii="仿宋" w:hAnsi="仿宋" w:eastAsia="仿宋" w:cs="仿宋"/>
          <w:sz w:val="24"/>
          <w:szCs w:val="24"/>
        </w:rPr>
        <w:t>分散采购</w:t>
      </w:r>
    </w:p>
    <w:p w14:paraId="501D521F">
      <w:pPr>
        <w:pStyle w:val="28"/>
        <w:numPr>
          <w:ilvl w:val="255"/>
          <w:numId w:val="0"/>
        </w:numPr>
        <w:snapToGrid w:val="0"/>
        <w:ind w:firstLine="420"/>
        <w:rPr>
          <w:rFonts w:hint="eastAsia" w:ascii="仿宋" w:hAnsi="仿宋" w:eastAsia="仿宋" w:cs="仿宋"/>
          <w:sz w:val="24"/>
          <w:szCs w:val="24"/>
        </w:rPr>
      </w:pPr>
      <w:r>
        <w:rPr>
          <w:rFonts w:hint="eastAsia" w:ascii="仿宋" w:hAnsi="仿宋" w:eastAsia="仿宋" w:cs="仿宋"/>
          <w:sz w:val="24"/>
          <w:szCs w:val="24"/>
        </w:rPr>
        <w:t>（5）政府采购方式：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公开招标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邀请招标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竞争性谈判 </w:t>
      </w:r>
      <w:r>
        <w:rPr>
          <w:rFonts w:hint="eastAsia" w:ascii="仿宋" w:hAnsi="仿宋" w:eastAsia="仿宋" w:cs="仿宋"/>
          <w:sz w:val="24"/>
          <w:szCs w:val="24"/>
        </w:rPr>
        <w:sym w:font="Wingdings" w:char="00A8"/>
      </w:r>
      <w:r>
        <w:rPr>
          <w:rFonts w:hint="eastAsia" w:ascii="仿宋" w:hAnsi="仿宋" w:eastAsia="仿宋" w:cs="仿宋"/>
          <w:sz w:val="24"/>
          <w:szCs w:val="24"/>
        </w:rPr>
        <w:t>竞争性磋商</w:t>
      </w:r>
    </w:p>
    <w:p w14:paraId="0FE44B6D">
      <w:pPr>
        <w:pStyle w:val="28"/>
        <w:numPr>
          <w:ilvl w:val="255"/>
          <w:numId w:val="0"/>
        </w:numPr>
        <w:snapToGrid w:val="0"/>
        <w:ind w:firstLine="2880" w:firstLineChars="12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询价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单一来源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框架协议 </w:t>
      </w:r>
      <w:r>
        <w:rPr>
          <w:rFonts w:hint="eastAsia" w:ascii="仿宋" w:hAnsi="仿宋" w:eastAsia="仿宋" w:cs="仿宋"/>
          <w:sz w:val="24"/>
          <w:szCs w:val="24"/>
        </w:rPr>
        <w:sym w:font="Wingdings" w:char="00A8"/>
      </w:r>
      <w:r>
        <w:rPr>
          <w:rFonts w:hint="eastAsia" w:ascii="仿宋" w:hAnsi="仿宋" w:eastAsia="仿宋" w:cs="仿宋"/>
          <w:sz w:val="24"/>
          <w:szCs w:val="24"/>
        </w:rPr>
        <w:t>其他：</w:t>
      </w:r>
    </w:p>
    <w:p w14:paraId="442E581C">
      <w:pPr>
        <w:pStyle w:val="28"/>
        <w:numPr>
          <w:ilvl w:val="255"/>
          <w:numId w:val="0"/>
        </w:numPr>
        <w:snapToGrid w:val="0"/>
        <w:ind w:firstLine="480" w:firstLineChars="200"/>
        <w:rPr>
          <w:rFonts w:hint="eastAsia" w:ascii="仿宋" w:hAnsi="仿宋" w:eastAsia="仿宋" w:cs="仿宋"/>
          <w:kern w:val="2"/>
          <w:sz w:val="24"/>
          <w:szCs w:val="24"/>
        </w:rPr>
      </w:pPr>
      <w:r>
        <w:rPr>
          <w:rFonts w:hint="eastAsia" w:ascii="仿宋" w:hAnsi="仿宋" w:eastAsia="仿宋" w:cs="仿宋"/>
          <w:sz w:val="24"/>
          <w:szCs w:val="24"/>
        </w:rPr>
        <w:t>（6）</w:t>
      </w:r>
      <w:r>
        <w:rPr>
          <w:rFonts w:hint="eastAsia" w:ascii="仿宋" w:hAnsi="仿宋" w:eastAsia="仿宋" w:cs="仿宋"/>
          <w:kern w:val="2"/>
          <w:sz w:val="24"/>
          <w:szCs w:val="24"/>
        </w:rPr>
        <w:t>中标（成交）采购标的制造商是否为中小企业：</w:t>
      </w:r>
      <w:r>
        <w:rPr>
          <w:rFonts w:hint="eastAsia" w:ascii="仿宋" w:hAnsi="仿宋" w:eastAsia="仿宋" w:cs="仿宋"/>
          <w:sz w:val="24"/>
          <w:szCs w:val="24"/>
        </w:rPr>
        <w:sym w:font="Wingdings" w:char="00A8"/>
      </w:r>
      <w:r>
        <w:rPr>
          <w:rFonts w:hint="eastAsia" w:ascii="仿宋" w:hAnsi="仿宋" w:eastAsia="仿宋" w:cs="仿宋"/>
          <w:kern w:val="2"/>
          <w:sz w:val="24"/>
          <w:szCs w:val="24"/>
        </w:rPr>
        <w:t xml:space="preserve">是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40F6F6E6">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本合同是否为专门面向中小企业的采购合同（中小企业预留合同）：</w:t>
      </w:r>
      <w:r>
        <w:rPr>
          <w:rFonts w:hint="eastAsia" w:ascii="仿宋" w:hAnsi="仿宋" w:eastAsia="仿宋" w:cs="仿宋"/>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D6AAF64">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0D7875D">
      <w:pPr>
        <w:numPr>
          <w:ilvl w:val="255"/>
          <w:numId w:val="0"/>
        </w:numPr>
        <w:adjustRightInd w:val="0"/>
        <w:snapToGrid w:val="0"/>
        <w:spacing w:line="400" w:lineRule="exact"/>
        <w:rPr>
          <w:rFonts w:hint="eastAsia" w:ascii="仿宋" w:hAnsi="仿宋" w:eastAsia="仿宋" w:cs="仿宋"/>
          <w:iCs/>
          <w:sz w:val="24"/>
          <w:szCs w:val="24"/>
        </w:rPr>
      </w:pPr>
      <w:r>
        <w:rPr>
          <w:rFonts w:hint="eastAsia" w:ascii="仿宋" w:hAnsi="仿宋" w:eastAsia="仿宋" w:cs="仿宋"/>
          <w:sz w:val="24"/>
          <w:szCs w:val="24"/>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iCs/>
          <w:sz w:val="24"/>
          <w:szCs w:val="24"/>
        </w:rPr>
        <w:t>否</w:t>
      </w:r>
    </w:p>
    <w:p w14:paraId="4770D42D">
      <w:pPr>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iCs/>
          <w:sz w:val="24"/>
          <w:szCs w:val="24"/>
        </w:rPr>
        <w:t>否</w:t>
      </w:r>
    </w:p>
    <w:p w14:paraId="4E889092">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iCs/>
          <w:sz w:val="24"/>
          <w:szCs w:val="24"/>
        </w:rPr>
        <w:t>否</w:t>
      </w:r>
    </w:p>
    <w:p w14:paraId="681F2327">
      <w:p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 xml:space="preserve"> 分包主要内容：</w:t>
      </w:r>
    </w:p>
    <w:p w14:paraId="1539391D">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分包供应商/制造商名称（如供应商和制造商不同，请分别填写）：</w:t>
      </w:r>
    </w:p>
    <w:p w14:paraId="4F50BBB1">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分包供应商/制造商类型（如果供应商和制造商不同，只填写制造商类型）：</w:t>
      </w:r>
    </w:p>
    <w:p w14:paraId="673D4AF1">
      <w:pPr>
        <w:adjustRightInd w:val="0"/>
        <w:snapToGrid w:val="0"/>
        <w:spacing w:line="400" w:lineRule="exact"/>
        <w:ind w:firstLine="960" w:firstLineChars="400"/>
        <w:rPr>
          <w:rFonts w:hint="eastAsia" w:ascii="仿宋" w:hAnsi="仿宋" w:eastAsia="仿宋" w:cs="仿宋"/>
          <w:iCs/>
          <w:color w:val="FF0000"/>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大型企业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中型企业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小微型企业 </w:t>
      </w:r>
      <w:r>
        <w:rPr>
          <w:rFonts w:hint="eastAsia" w:ascii="仿宋" w:hAnsi="仿宋" w:eastAsia="仿宋" w:cs="仿宋"/>
          <w:iCs/>
          <w:color w:val="FF0000"/>
          <w:sz w:val="24"/>
          <w:szCs w:val="24"/>
        </w:rPr>
        <w:t xml:space="preserve"> </w:t>
      </w:r>
    </w:p>
    <w:p w14:paraId="3570F0FE">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残疾人福利性单位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监狱企业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其他</w:t>
      </w:r>
    </w:p>
    <w:p w14:paraId="48DA1A43">
      <w:pPr>
        <w:numPr>
          <w:ilvl w:val="255"/>
          <w:numId w:val="0"/>
        </w:numPr>
        <w:adjustRightInd w:val="0"/>
        <w:snapToGrid w:val="0"/>
        <w:spacing w:line="400" w:lineRule="exact"/>
        <w:ind w:firstLine="480" w:firstLineChars="200"/>
        <w:rPr>
          <w:rFonts w:hint="eastAsia" w:ascii="仿宋" w:hAnsi="仿宋" w:eastAsia="仿宋" w:cs="仿宋"/>
          <w:iCs/>
          <w:sz w:val="24"/>
          <w:szCs w:val="24"/>
        </w:rPr>
      </w:pPr>
      <w:r>
        <w:rPr>
          <w:rFonts w:hint="eastAsia" w:ascii="仿宋" w:hAnsi="仿宋" w:eastAsia="仿宋" w:cs="仿宋"/>
          <w:sz w:val="24"/>
          <w:szCs w:val="24"/>
        </w:rPr>
        <w:t>（8）中标（成交）供应商是否为外商投资企业：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iCs/>
          <w:sz w:val="24"/>
          <w:szCs w:val="24"/>
        </w:rPr>
        <w:t>否</w:t>
      </w:r>
    </w:p>
    <w:p w14:paraId="722E5BF2">
      <w:pPr>
        <w:pStyle w:val="28"/>
        <w:tabs>
          <w:tab w:val="left" w:pos="1340"/>
        </w:tabs>
        <w:ind w:firstLine="420"/>
        <w:rPr>
          <w:rFonts w:hint="eastAsia" w:ascii="仿宋" w:hAnsi="仿宋" w:eastAsia="仿宋" w:cs="仿宋"/>
          <w:sz w:val="24"/>
          <w:szCs w:val="24"/>
          <w:u w:val="single"/>
        </w:rPr>
      </w:pPr>
      <w:r>
        <w:rPr>
          <w:rFonts w:hint="eastAsia" w:ascii="仿宋" w:hAnsi="仿宋" w:eastAsia="仿宋" w:cs="仿宋"/>
          <w:sz w:val="24"/>
          <w:szCs w:val="24"/>
        </w:rPr>
        <w:t xml:space="preserve">     外商投资企业类型：</w:t>
      </w:r>
      <w:r>
        <w:rPr>
          <w:rFonts w:hint="eastAsia" w:ascii="仿宋" w:hAnsi="仿宋" w:eastAsia="仿宋" w:cs="仿宋"/>
          <w:iCs/>
          <w:sz w:val="24"/>
          <w:szCs w:val="24"/>
        </w:rPr>
        <w:sym w:font="Wingdings" w:char="00A8"/>
      </w:r>
      <w:r>
        <w:rPr>
          <w:rFonts w:hint="eastAsia" w:ascii="仿宋" w:hAnsi="仿宋" w:eastAsia="仿宋" w:cs="仿宋"/>
          <w:sz w:val="24"/>
          <w:szCs w:val="24"/>
        </w:rPr>
        <w:t xml:space="preserve">全部由外国投资者投资  </w:t>
      </w:r>
      <w:r>
        <w:rPr>
          <w:rFonts w:hint="eastAsia" w:ascii="仿宋" w:hAnsi="仿宋" w:eastAsia="仿宋" w:cs="仿宋"/>
          <w:iCs/>
          <w:sz w:val="24"/>
          <w:szCs w:val="24"/>
        </w:rPr>
        <w:sym w:font="Wingdings" w:char="00A8"/>
      </w:r>
      <w:r>
        <w:rPr>
          <w:rFonts w:hint="eastAsia" w:ascii="仿宋" w:hAnsi="仿宋" w:eastAsia="仿宋" w:cs="仿宋"/>
          <w:iCs/>
          <w:sz w:val="24"/>
          <w:szCs w:val="24"/>
        </w:rPr>
        <w:t>部分由外国投资者投资</w:t>
      </w:r>
    </w:p>
    <w:p w14:paraId="778A4A6C">
      <w:pPr>
        <w:numPr>
          <w:ilvl w:val="255"/>
          <w:numId w:val="0"/>
        </w:num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（9）是否涉及进口产品：</w:t>
      </w:r>
    </w:p>
    <w:p w14:paraId="0F5606A6">
      <w:pPr>
        <w:numPr>
          <w:ilvl w:val="255"/>
          <w:numId w:val="0"/>
        </w:numPr>
        <w:adjustRightInd w:val="0"/>
        <w:snapToGrid w:val="0"/>
        <w:spacing w:line="4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 金额：</w:t>
      </w:r>
    </w:p>
    <w:p w14:paraId="7249DA0E">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国别： 品牌： 规格型号：</w:t>
      </w:r>
    </w:p>
    <w:p w14:paraId="163F3D6E">
      <w:p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13245FA2">
      <w:pPr>
        <w:numPr>
          <w:ilvl w:val="255"/>
          <w:numId w:val="0"/>
        </w:numPr>
        <w:tabs>
          <w:tab w:val="left" w:pos="740"/>
          <w:tab w:val="clear" w:pos="48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（10）是否涉及节能产品：</w:t>
      </w:r>
    </w:p>
    <w:p w14:paraId="757585F1">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是，《节能产品政府采购品目清单》的底级品目名称：</w:t>
      </w:r>
    </w:p>
    <w:p w14:paraId="38A06251">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7BE88953">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22E9356F">
      <w:pPr>
        <w:numPr>
          <w:ilvl w:val="255"/>
          <w:numId w:val="0"/>
        </w:numPr>
        <w:tabs>
          <w:tab w:val="left" w:pos="740"/>
          <w:tab w:val="clear" w:pos="480"/>
        </w:tabs>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是否涉及环境标志产品：</w:t>
      </w:r>
    </w:p>
    <w:p w14:paraId="67B39599">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是，《环境标志产品政府采购品目清单》的底级品目名称：</w:t>
      </w:r>
    </w:p>
    <w:p w14:paraId="6F7F0A36">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77B7AE94">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5CB1526F">
      <w:pPr>
        <w:pStyle w:val="28"/>
        <w:numPr>
          <w:ilvl w:val="255"/>
          <w:numId w:val="0"/>
        </w:numPr>
        <w:snapToGrid w:val="0"/>
        <w:ind w:firstLine="960" w:firstLineChars="400"/>
        <w:rPr>
          <w:rFonts w:hint="eastAsia" w:ascii="仿宋" w:hAnsi="仿宋" w:eastAsia="仿宋" w:cs="仿宋"/>
          <w:kern w:val="2"/>
          <w:sz w:val="24"/>
          <w:szCs w:val="24"/>
        </w:rPr>
      </w:pPr>
      <w:r>
        <w:rPr>
          <w:rFonts w:hint="eastAsia" w:ascii="仿宋" w:hAnsi="仿宋" w:eastAsia="仿宋" w:cs="仿宋"/>
          <w:kern w:val="2"/>
          <w:sz w:val="24"/>
          <w:szCs w:val="24"/>
        </w:rPr>
        <w:t xml:space="preserve">是否涉及绿色产品： </w:t>
      </w:r>
    </w:p>
    <w:p w14:paraId="19B4511B">
      <w:pPr>
        <w:pStyle w:val="28"/>
        <w:ind w:firstLine="960" w:firstLineChars="400"/>
        <w:rPr>
          <w:rFonts w:hint="eastAsia" w:ascii="仿宋" w:hAnsi="仿宋" w:eastAsia="仿宋" w:cs="仿宋"/>
          <w:sz w:val="24"/>
          <w:szCs w:val="24"/>
          <w:u w:val="single"/>
        </w:rPr>
      </w:pP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是，绿色产品政府采购相关政策确定的底级品目名称：</w:t>
      </w:r>
    </w:p>
    <w:p w14:paraId="3598380D">
      <w:pPr>
        <w:numPr>
          <w:ilvl w:val="255"/>
          <w:numId w:val="0"/>
        </w:numPr>
        <w:tabs>
          <w:tab w:val="left" w:pos="740"/>
          <w:tab w:val="clear" w:pos="480"/>
        </w:tabs>
        <w:adjustRightInd w:val="0"/>
        <w:snapToGrid w:val="0"/>
        <w:spacing w:line="400" w:lineRule="exact"/>
        <w:ind w:firstLine="960" w:firstLineChars="400"/>
        <w:rPr>
          <w:rFonts w:hint="eastAsia" w:ascii="仿宋" w:hAnsi="仿宋" w:eastAsia="仿宋" w:cs="仿宋"/>
          <w:iCs/>
          <w:sz w:val="24"/>
          <w:szCs w:val="24"/>
        </w:rPr>
      </w:pP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强制采购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优先采购    </w:t>
      </w:r>
    </w:p>
    <w:p w14:paraId="2BAB09E4">
      <w:pPr>
        <w:pStyle w:val="28"/>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kern w:val="2"/>
          <w:sz w:val="24"/>
          <w:szCs w:val="24"/>
        </w:rPr>
        <w:t>否</w:t>
      </w:r>
    </w:p>
    <w:p w14:paraId="5BA72806">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（11）涉及商品包装和快递包装的，是否参考《商品包装政府采购需求标准（试行）》、《快递包装政府采购需求标准（试行）》明确产品及相关快递服务的具体包装要求：</w:t>
      </w:r>
    </w:p>
    <w:p w14:paraId="36B750DC">
      <w:pPr>
        <w:numPr>
          <w:ilvl w:val="255"/>
          <w:numId w:val="0"/>
        </w:numPr>
        <w:adjustRightInd w:val="0"/>
        <w:snapToGrid w:val="0"/>
        <w:spacing w:line="400" w:lineRule="exact"/>
        <w:ind w:firstLine="960" w:firstLineChars="4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否      </w:t>
      </w:r>
      <w:r>
        <w:rPr>
          <w:rFonts w:hint="eastAsia" w:ascii="仿宋" w:hAnsi="仿宋" w:eastAsia="仿宋" w:cs="仿宋"/>
          <w:sz w:val="24"/>
          <w:szCs w:val="24"/>
        </w:rPr>
        <w:sym w:font="Wingdings" w:char="00A8"/>
      </w:r>
      <w:r>
        <w:rPr>
          <w:rFonts w:hint="eastAsia" w:ascii="仿宋" w:hAnsi="仿宋" w:eastAsia="仿宋" w:cs="仿宋"/>
          <w:sz w:val="24"/>
          <w:szCs w:val="24"/>
        </w:rPr>
        <w:t>不涉及</w:t>
      </w:r>
    </w:p>
    <w:p w14:paraId="31A5EA3B">
      <w:pPr>
        <w:numPr>
          <w:ilvl w:val="0"/>
          <w:numId w:val="2"/>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合同金额</w:t>
      </w:r>
    </w:p>
    <w:p w14:paraId="451798E6">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元</w:t>
      </w:r>
    </w:p>
    <w:p w14:paraId="355183A0">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r>
        <w:rPr>
          <w:rFonts w:hint="eastAsia" w:ascii="仿宋" w:hAnsi="仿宋" w:eastAsia="仿宋" w:cs="仿宋"/>
          <w:sz w:val="24"/>
          <w:szCs w:val="24"/>
          <w:u w:val="single"/>
        </w:rPr>
        <w:t xml:space="preserve">            整</w:t>
      </w:r>
    </w:p>
    <w:p w14:paraId="13336353">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分包金额（如有）小写：</w:t>
      </w:r>
    </w:p>
    <w:p w14:paraId="35762498">
      <w:pPr>
        <w:adjustRightInd w:val="0"/>
        <w:snapToGrid w:val="0"/>
        <w:spacing w:line="400" w:lineRule="exact"/>
        <w:rPr>
          <w:rFonts w:hint="eastAsia" w:ascii="仿宋" w:hAnsi="仿宋" w:eastAsia="仿宋" w:cs="仿宋"/>
          <w:sz w:val="24"/>
          <w:szCs w:val="24"/>
          <w:u w:val="single"/>
        </w:rPr>
      </w:pPr>
      <w:r>
        <w:rPr>
          <w:rFonts w:hint="eastAsia" w:ascii="仿宋" w:hAnsi="仿宋" w:eastAsia="仿宋" w:cs="仿宋"/>
          <w:sz w:val="24"/>
          <w:szCs w:val="24"/>
        </w:rPr>
        <w:t xml:space="preserve">                     大写：</w:t>
      </w:r>
    </w:p>
    <w:p w14:paraId="1066B2F7">
      <w:p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（注：固定单价合同应填写单价和最高限价）</w:t>
      </w:r>
    </w:p>
    <w:p w14:paraId="4EEC55BE">
      <w:pPr>
        <w:numPr>
          <w:ilvl w:val="255"/>
          <w:numId w:val="0"/>
        </w:numPr>
        <w:adjustRightInd w:val="0"/>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（2）合同定价方式（采用组合定价方式的，可以勾选多项）：</w:t>
      </w:r>
    </w:p>
    <w:p w14:paraId="5BA233B6">
      <w:pPr>
        <w:adjustRightInd w:val="0"/>
        <w:snapToGrid w:val="0"/>
        <w:spacing w:line="400" w:lineRule="exact"/>
        <w:ind w:firstLine="720" w:firstLineChars="300"/>
        <w:rPr>
          <w:rFonts w:hint="eastAsia" w:ascii="仿宋" w:hAnsi="仿宋" w:eastAsia="仿宋" w:cs="仿宋"/>
          <w:color w:val="auto"/>
          <w:sz w:val="24"/>
          <w:szCs w:val="24"/>
        </w:rPr>
      </w:pPr>
      <w:r>
        <w:rPr>
          <w:rFonts w:hint="eastAsia" w:ascii="仿宋" w:hAnsi="仿宋" w:eastAsia="仿宋" w:cs="仿宋"/>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固定单价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固定费率</w:t>
      </w:r>
      <w:r>
        <w:rPr>
          <w:rFonts w:hint="eastAsia" w:ascii="仿宋" w:hAnsi="仿宋" w:eastAsia="仿宋" w:cs="仿宋"/>
          <w:iCs/>
          <w:color w:val="auto"/>
          <w:sz w:val="24"/>
          <w:szCs w:val="24"/>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成本补偿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绩效激励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其他</w:t>
      </w:r>
    </w:p>
    <w:p w14:paraId="78A6B736">
      <w:pPr>
        <w:pStyle w:val="29"/>
        <w:spacing w:line="400" w:lineRule="exact"/>
        <w:rPr>
          <w:rFonts w:hint="eastAsia" w:ascii="仿宋" w:hAnsi="仿宋" w:eastAsia="仿宋" w:cs="仿宋"/>
          <w:color w:val="auto"/>
          <w:sz w:val="24"/>
          <w:szCs w:val="24"/>
        </w:rPr>
      </w:pPr>
      <w:r>
        <w:rPr>
          <w:rFonts w:hint="eastAsia" w:ascii="仿宋" w:hAnsi="仿宋" w:eastAsia="仿宋" w:cs="仿宋"/>
          <w:color w:val="auto"/>
          <w:sz w:val="24"/>
          <w:szCs w:val="24"/>
        </w:rPr>
        <w:t>（3）付款方式（按项目实际勾选填写）：</w:t>
      </w:r>
    </w:p>
    <w:p w14:paraId="1D3E180B">
      <w:pPr>
        <w:tabs>
          <w:tab w:val="left" w:pos="3918"/>
          <w:tab w:val="clear" w:pos="480"/>
        </w:tabs>
        <w:adjustRightInd w:val="0"/>
        <w:snapToGrid w:val="0"/>
        <w:spacing w:line="450" w:lineRule="exact"/>
        <w:ind w:firstLine="720" w:firstLineChars="300"/>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全额付款： 货物全部运到采购人指定地方，交付完毕并经终验合格后，卖方持《终验合格单》原件和全额增值税专用发票在买方处办理百分之百（100%）货款的支付手续。</w:t>
      </w:r>
      <w:r>
        <w:rPr>
          <w:rFonts w:hint="eastAsia" w:ascii="仿宋" w:hAnsi="仿宋" w:eastAsia="仿宋" w:cs="仿宋"/>
          <w:color w:val="auto"/>
          <w:sz w:val="24"/>
          <w:szCs w:val="24"/>
          <w:u w:val="single"/>
        </w:rPr>
        <w:t xml:space="preserve">  </w:t>
      </w:r>
    </w:p>
    <w:p w14:paraId="6D6B4695">
      <w:pPr>
        <w:snapToGrid w:val="0"/>
        <w:spacing w:line="400" w:lineRule="exact"/>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分期付款：</w:t>
      </w:r>
      <w:r>
        <w:rPr>
          <w:rFonts w:hint="eastAsia" w:ascii="仿宋" w:hAnsi="仿宋" w:eastAsia="仿宋" w:cs="仿宋"/>
          <w:color w:val="auto"/>
          <w:sz w:val="24"/>
          <w:szCs w:val="24"/>
          <w:u w:val="single"/>
        </w:rPr>
        <w:t xml:space="preserve">  （应明确分期支付合同款项的各期比例和支付条件，各期支付条件应与分期履约验收情况挂钩） </w:t>
      </w:r>
      <w:r>
        <w:rPr>
          <w:rFonts w:hint="eastAsia" w:ascii="仿宋" w:hAnsi="仿宋" w:eastAsia="仿宋" w:cs="仿宋"/>
          <w:color w:val="auto"/>
          <w:sz w:val="24"/>
          <w:szCs w:val="24"/>
        </w:rPr>
        <w:t>，其中涉及预付款的：</w:t>
      </w:r>
      <w:r>
        <w:rPr>
          <w:rFonts w:hint="eastAsia" w:ascii="仿宋" w:hAnsi="仿宋" w:eastAsia="仿宋" w:cs="仿宋"/>
          <w:color w:val="auto"/>
          <w:sz w:val="24"/>
          <w:szCs w:val="24"/>
          <w:u w:val="single"/>
        </w:rPr>
        <w:t xml:space="preserve"> （应明确预付款的支付比例和支付条件） </w:t>
      </w:r>
    </w:p>
    <w:p w14:paraId="477FC242">
      <w:pPr>
        <w:adjustRightInd w:val="0"/>
        <w:snapToGrid w:val="0"/>
        <w:spacing w:line="400" w:lineRule="exact"/>
        <w:ind w:firstLine="720" w:firstLineChars="300"/>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成本补偿：</w:t>
      </w:r>
      <w:r>
        <w:rPr>
          <w:rFonts w:hint="eastAsia" w:ascii="仿宋" w:hAnsi="仿宋" w:eastAsia="仿宋" w:cs="仿宋"/>
          <w:color w:val="auto"/>
          <w:sz w:val="24"/>
          <w:szCs w:val="24"/>
          <w:u w:val="single"/>
        </w:rPr>
        <w:t xml:space="preserve">      （应明确按照成本补偿方式的支付方式和支付条件）   </w:t>
      </w:r>
    </w:p>
    <w:p w14:paraId="0B4C28D5">
      <w:pPr>
        <w:adjustRightInd w:val="0"/>
        <w:snapToGrid w:val="0"/>
        <w:spacing w:line="400" w:lineRule="exact"/>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绩效激励：</w:t>
      </w:r>
      <w:r>
        <w:rPr>
          <w:rFonts w:hint="eastAsia" w:ascii="仿宋" w:hAnsi="仿宋" w:eastAsia="仿宋" w:cs="仿宋"/>
          <w:color w:val="auto"/>
          <w:sz w:val="24"/>
          <w:szCs w:val="24"/>
          <w:u w:val="single"/>
        </w:rPr>
        <w:t xml:space="preserve">      （应明确按照绩效激励方式的支付方式和支付条件）   </w:t>
      </w:r>
    </w:p>
    <w:p w14:paraId="03C73877">
      <w:pPr>
        <w:numPr>
          <w:ilvl w:val="0"/>
          <w:numId w:val="2"/>
        </w:numPr>
        <w:adjustRightInd w:val="0"/>
        <w:snapToGrid w:val="0"/>
        <w:spacing w:line="400" w:lineRule="exact"/>
        <w:ind w:firstLine="482" w:firstLineChars="200"/>
        <w:rPr>
          <w:rFonts w:hint="eastAsia" w:ascii="仿宋" w:hAnsi="仿宋" w:eastAsia="仿宋" w:cs="仿宋"/>
          <w:b/>
          <w:color w:val="auto"/>
          <w:sz w:val="24"/>
          <w:szCs w:val="24"/>
          <w:u w:val="single"/>
        </w:rPr>
      </w:pPr>
      <w:r>
        <w:rPr>
          <w:rFonts w:hint="eastAsia" w:ascii="仿宋" w:hAnsi="仿宋" w:eastAsia="仿宋" w:cs="仿宋"/>
          <w:b/>
          <w:color w:val="auto"/>
          <w:sz w:val="24"/>
          <w:szCs w:val="24"/>
        </w:rPr>
        <w:t>合同履行</w:t>
      </w:r>
    </w:p>
    <w:p w14:paraId="0CCDF2D8">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（1）起始日期：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日，完成日期：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53E9F221">
      <w:pPr>
        <w:adjustRightInd w:val="0"/>
        <w:snapToGrid w:val="0"/>
        <w:spacing w:line="40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（2）履约地点</w:t>
      </w:r>
      <w:r>
        <w:rPr>
          <w:rFonts w:hint="eastAsia" w:ascii="仿宋" w:hAnsi="仿宋" w:eastAsia="仿宋" w:cs="仿宋"/>
          <w:bCs/>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eastAsia="zh-CN"/>
        </w:rPr>
        <w:t>杨凌职业技术学院</w:t>
      </w:r>
      <w:r>
        <w:rPr>
          <w:rFonts w:hint="eastAsia" w:ascii="仿宋" w:hAnsi="仿宋" w:eastAsia="仿宋" w:cs="仿宋"/>
          <w:color w:val="auto"/>
          <w:sz w:val="24"/>
          <w:szCs w:val="24"/>
          <w:u w:val="single"/>
        </w:rPr>
        <w:t xml:space="preserve">指定地点   </w:t>
      </w:r>
    </w:p>
    <w:p w14:paraId="50FAB587">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bCs/>
          <w:color w:val="auto"/>
          <w:sz w:val="24"/>
          <w:szCs w:val="24"/>
        </w:rPr>
        <w:t>（3）履约担保：</w:t>
      </w:r>
      <w:r>
        <w:rPr>
          <w:rFonts w:hint="eastAsia" w:ascii="仿宋" w:hAnsi="仿宋" w:eastAsia="仿宋" w:cs="仿宋"/>
          <w:color w:val="auto"/>
          <w:sz w:val="24"/>
          <w:szCs w:val="24"/>
        </w:rPr>
        <w:t>是否收取履约保证金：</w:t>
      </w: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 xml:space="preserve">是    </w:t>
      </w:r>
      <w:r>
        <w:rPr>
          <w:rFonts w:hint="eastAsia" w:ascii="仿宋" w:hAnsi="仿宋" w:eastAsia="仿宋" w:cs="仿宋"/>
          <w:color w:val="auto"/>
          <w:sz w:val="24"/>
          <w:szCs w:val="24"/>
        </w:rPr>
        <w:sym w:font="Wingdings" w:char="00FE"/>
      </w:r>
      <w:r>
        <w:rPr>
          <w:rFonts w:hint="eastAsia" w:ascii="仿宋" w:hAnsi="仿宋" w:eastAsia="仿宋" w:cs="仿宋"/>
          <w:color w:val="auto"/>
          <w:sz w:val="24"/>
          <w:szCs w:val="24"/>
        </w:rPr>
        <w:t>否</w:t>
      </w:r>
    </w:p>
    <w:p w14:paraId="3D12D835">
      <w:pPr>
        <w:pStyle w:val="28"/>
        <w:ind w:firstLine="42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收取履约保证金形式：</w:t>
      </w:r>
    </w:p>
    <w:p w14:paraId="16FD2CC4">
      <w:pPr>
        <w:pStyle w:val="28"/>
        <w:ind w:firstLine="420"/>
        <w:rPr>
          <w:rFonts w:hint="eastAsia" w:ascii="仿宋" w:hAnsi="仿宋" w:eastAsia="仿宋" w:cs="仿宋"/>
          <w:color w:val="auto"/>
          <w:sz w:val="24"/>
          <w:szCs w:val="24"/>
        </w:rPr>
      </w:pPr>
      <w:r>
        <w:rPr>
          <w:rFonts w:hint="eastAsia" w:ascii="仿宋" w:hAnsi="仿宋" w:eastAsia="仿宋" w:cs="仿宋"/>
          <w:color w:val="auto"/>
          <w:sz w:val="24"/>
          <w:szCs w:val="24"/>
        </w:rPr>
        <w:t xml:space="preserve">    收取履约保证金金额：</w:t>
      </w:r>
    </w:p>
    <w:p w14:paraId="09AB27EF">
      <w:pPr>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bCs/>
          <w:color w:val="auto"/>
          <w:sz w:val="24"/>
          <w:szCs w:val="24"/>
        </w:rPr>
        <w:t xml:space="preserve">    履约担保期限：</w:t>
      </w:r>
    </w:p>
    <w:p w14:paraId="0627AF4E">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（4）分期履行要求：</w:t>
      </w:r>
    </w:p>
    <w:p w14:paraId="33EDDE99">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（5）风险处置措施和替代方案：</w:t>
      </w:r>
    </w:p>
    <w:p w14:paraId="42DC0955">
      <w:pPr>
        <w:numPr>
          <w:ilvl w:val="0"/>
          <w:numId w:val="2"/>
        </w:numPr>
        <w:adjustRightInd w:val="0"/>
        <w:snapToGrid w:val="0"/>
        <w:spacing w:line="4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合同验收</w:t>
      </w:r>
    </w:p>
    <w:p w14:paraId="0E5ED01B">
      <w:pPr>
        <w:numPr>
          <w:ilvl w:val="0"/>
          <w:numId w:val="4"/>
        </w:num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验收组织方式：</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 xml:space="preserve">自行组织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委托第三方组织</w:t>
      </w:r>
    </w:p>
    <w:p w14:paraId="6662678F">
      <w:pPr>
        <w:adjustRightInd w:val="0"/>
        <w:snapToGrid w:val="0"/>
        <w:spacing w:line="4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         验收主体：</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eastAsia="zh-CN"/>
        </w:rPr>
        <w:t>杨凌职业技术学院</w:t>
      </w:r>
      <w:r>
        <w:rPr>
          <w:rFonts w:hint="eastAsia" w:ascii="仿宋" w:hAnsi="仿宋" w:eastAsia="仿宋" w:cs="仿宋"/>
          <w:bCs/>
          <w:color w:val="auto"/>
          <w:sz w:val="24"/>
          <w:szCs w:val="24"/>
          <w:u w:val="single"/>
        </w:rPr>
        <w:t xml:space="preserve">              </w:t>
      </w:r>
    </w:p>
    <w:p w14:paraId="682BCB4A">
      <w:pPr>
        <w:adjustRightInd w:val="0"/>
        <w:snapToGrid w:val="0"/>
        <w:spacing w:line="4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        是否邀请本项目的其他供应商参加验收：</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7322B6C3">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是否邀请专家参加验收：</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15CA51BA">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是否邀请服务对象参加验收：</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0DADFBDA">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是否邀请第三方检测机构参加验收：</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66A3A545">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是否进行抽查检测：</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是，抽查比例：</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2F08486C">
      <w:pPr>
        <w:adjustRightInd w:val="0"/>
        <w:snapToGrid w:val="0"/>
        <w:spacing w:line="400" w:lineRule="exact"/>
        <w:ind w:firstLine="960" w:firstLineChars="4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是否存在破坏性检测：</w:t>
      </w:r>
      <w:bookmarkStart w:id="4" w:name="_Hlk181687652"/>
      <w:r>
        <w:rPr>
          <w:rFonts w:hint="eastAsia" w:ascii="仿宋" w:hAnsi="仿宋" w:eastAsia="仿宋" w:cs="仿宋"/>
          <w:color w:val="auto"/>
          <w:sz w:val="24"/>
          <w:szCs w:val="24"/>
        </w:rPr>
        <w:sym w:font="Wingdings" w:char="00A8"/>
      </w:r>
      <w:bookmarkEnd w:id="4"/>
      <w:r>
        <w:rPr>
          <w:rFonts w:hint="eastAsia" w:ascii="仿宋" w:hAnsi="仿宋" w:eastAsia="仿宋" w:cs="仿宋"/>
          <w:bCs/>
          <w:color w:val="auto"/>
          <w:sz w:val="24"/>
          <w:szCs w:val="24"/>
        </w:rPr>
        <w:t>是，</w:t>
      </w:r>
      <w:r>
        <w:rPr>
          <w:rFonts w:hint="eastAsia" w:ascii="仿宋" w:hAnsi="仿宋" w:eastAsia="仿宋" w:cs="仿宋"/>
          <w:bCs/>
          <w:color w:val="auto"/>
          <w:sz w:val="24"/>
          <w:szCs w:val="24"/>
          <w:u w:val="single"/>
        </w:rPr>
        <w:t>（应明确对被破坏的检测产品的处理方式）</w:t>
      </w:r>
    </w:p>
    <w:p w14:paraId="6BCF107A">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01B80FD6">
      <w:pPr>
        <w:adjustRightInd w:val="0"/>
        <w:snapToGrid w:val="0"/>
        <w:spacing w:line="400" w:lineRule="exact"/>
        <w:ind w:firstLine="960" w:firstLineChars="4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验收组织的其他事项：</w:t>
      </w:r>
    </w:p>
    <w:p w14:paraId="0D442D6F">
      <w:pPr>
        <w:adjustRightInd w:val="0"/>
        <w:snapToGrid w:val="0"/>
        <w:spacing w:line="400" w:lineRule="exact"/>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（2）履约验收时间：</w:t>
      </w:r>
      <w:r>
        <w:rPr>
          <w:rFonts w:hint="eastAsia" w:ascii="仿宋" w:hAnsi="仿宋" w:eastAsia="仿宋" w:cs="仿宋"/>
          <w:bCs/>
          <w:color w:val="auto"/>
          <w:sz w:val="24"/>
          <w:szCs w:val="24"/>
          <w:u w:val="single"/>
        </w:rPr>
        <w:t xml:space="preserve">（计划于何时验收/供应商提出验收申请之日起 15日内组织验收） </w:t>
      </w:r>
    </w:p>
    <w:p w14:paraId="0B8FA0A5">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（3）履约验收方式：</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一次性验收         </w:t>
      </w:r>
    </w:p>
    <w:p w14:paraId="20128F95">
      <w:pPr>
        <w:adjustRightInd w:val="0"/>
        <w:snapToGrid w:val="0"/>
        <w:spacing w:line="400" w:lineRule="exact"/>
        <w:ind w:firstLine="960" w:firstLineChars="400"/>
        <w:rPr>
          <w:rFonts w:hint="eastAsia" w:ascii="仿宋" w:hAnsi="仿宋" w:eastAsia="仿宋" w:cs="仿宋"/>
          <w:bCs/>
          <w:color w:val="auto"/>
          <w:sz w:val="24"/>
          <w:szCs w:val="24"/>
        </w:rPr>
      </w:pP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分期/分项验收：</w:t>
      </w:r>
      <w:r>
        <w:rPr>
          <w:rFonts w:hint="eastAsia" w:ascii="仿宋" w:hAnsi="仿宋" w:eastAsia="仿宋" w:cs="仿宋"/>
          <w:bCs/>
          <w:color w:val="auto"/>
          <w:sz w:val="24"/>
          <w:szCs w:val="24"/>
          <w:u w:val="single"/>
        </w:rPr>
        <w:t xml:space="preserve"> 由使用单位组织初验，初验通过后，由甲方资产管理部门组织相关单位进行终验。  </w:t>
      </w:r>
    </w:p>
    <w:p w14:paraId="41212C7D">
      <w:pPr>
        <w:spacing w:line="46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（4）履约验收程序：</w:t>
      </w:r>
    </w:p>
    <w:p w14:paraId="76EF6CA1">
      <w:pPr>
        <w:spacing w:line="46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初验：货物到达交货地点后，由使用单位根据合同对货物（设备）的名称、品牌、规格、型号、产地、数量进行检查。</w:t>
      </w:r>
    </w:p>
    <w:p w14:paraId="6EA54E51">
      <w:pPr>
        <w:adjustRightInd w:val="0"/>
        <w:snapToGrid w:val="0"/>
        <w:spacing w:line="400" w:lineRule="exact"/>
        <w:ind w:firstLine="480" w:firstLineChars="200"/>
        <w:rPr>
          <w:rFonts w:hint="eastAsia" w:ascii="仿宋" w:hAnsi="仿宋" w:eastAsia="仿宋" w:cs="仿宋"/>
          <w:bCs/>
          <w:color w:val="auto"/>
          <w:sz w:val="24"/>
          <w:szCs w:val="24"/>
          <w:u w:val="single"/>
        </w:rPr>
      </w:pPr>
      <w:r>
        <w:rPr>
          <w:rFonts w:hint="eastAsia" w:ascii="仿宋" w:hAnsi="仿宋" w:eastAsia="仿宋" w:cs="仿宋"/>
          <w:color w:val="auto"/>
          <w:sz w:val="24"/>
          <w:szCs w:val="24"/>
        </w:rPr>
        <w:t>终验：所有货物(设备)安装、调试完毕，正常使用10个日历日后，由采购人进行终验（最终验收），合格后签发《终验合格单》。</w:t>
      </w:r>
      <w:r>
        <w:rPr>
          <w:rFonts w:hint="eastAsia" w:ascii="仿宋" w:hAnsi="仿宋" w:eastAsia="仿宋" w:cs="仿宋"/>
          <w:color w:val="auto"/>
          <w:sz w:val="24"/>
          <w:szCs w:val="24"/>
        </w:rPr>
        <w:cr/>
      </w:r>
      <w:r>
        <w:rPr>
          <w:rFonts w:hint="eastAsia" w:ascii="仿宋" w:hAnsi="仿宋" w:eastAsia="仿宋" w:cs="仿宋"/>
          <w:color w:val="auto"/>
          <w:sz w:val="24"/>
          <w:szCs w:val="24"/>
        </w:rPr>
        <w:t xml:space="preserve">  </w:t>
      </w:r>
      <w:r>
        <w:rPr>
          <w:rFonts w:hint="eastAsia" w:ascii="仿宋" w:hAnsi="仿宋" w:eastAsia="仿宋" w:cs="仿宋"/>
          <w:bCs/>
          <w:color w:val="auto"/>
          <w:sz w:val="24"/>
          <w:szCs w:val="24"/>
        </w:rPr>
        <w:t>（5）履约验收的内容：</w:t>
      </w:r>
      <w:r>
        <w:rPr>
          <w:rFonts w:hint="eastAsia" w:ascii="仿宋" w:hAnsi="仿宋" w:eastAsia="仿宋" w:cs="仿宋"/>
          <w:bCs/>
          <w:color w:val="auto"/>
          <w:sz w:val="24"/>
          <w:szCs w:val="24"/>
          <w:u w:val="single"/>
        </w:rPr>
        <w:t xml:space="preserve"> （应当包括每一项技术和商务要求的履约情况，特别是落实政府采购扶持中小企业，支持绿色发展和乡村振兴等政策情况）                          </w:t>
      </w:r>
    </w:p>
    <w:p w14:paraId="56BA6DF0">
      <w:pPr>
        <w:spacing w:line="48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5.1甲方或其代表应有权检验和测试产品及其部件，以确认所供产品是否符合合同规格的要求，并且不承担额外的费用。甲方要求进行的检验和测试，以及在何处进行这些检验和测试，以书面形式通知乙方。</w:t>
      </w:r>
    </w:p>
    <w:p w14:paraId="49187B69">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5.2检验和测试在甲方指定的交货地点进行。</w:t>
      </w:r>
    </w:p>
    <w:p w14:paraId="4B434236">
      <w:pPr>
        <w:spacing w:line="48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5.3如果任何被检验或测试的产品或部件不能满足招标文件及合同的要求，甲方可以拒绝接受该产品或部件，乙方应更换被拒绝的产品或部件，或者免费进行必要的修改以满足规格的要求。</w:t>
      </w:r>
    </w:p>
    <w:p w14:paraId="6E4FEE00">
      <w:pPr>
        <w:spacing w:line="480" w:lineRule="exact"/>
        <w:ind w:firstLine="480" w:firstLineChars="200"/>
        <w:rPr>
          <w:rFonts w:hint="eastAsia" w:ascii="仿宋" w:hAnsi="仿宋" w:eastAsia="仿宋" w:cs="仿宋"/>
          <w:bCs/>
          <w:color w:val="auto"/>
          <w:sz w:val="24"/>
          <w:szCs w:val="24"/>
        </w:rPr>
      </w:pPr>
      <w:r>
        <w:rPr>
          <w:rFonts w:hint="eastAsia" w:ascii="仿宋" w:hAnsi="仿宋" w:eastAsia="仿宋" w:cs="仿宋"/>
          <w:bCs/>
          <w:sz w:val="24"/>
          <w:szCs w:val="24"/>
        </w:rPr>
        <w:t>5.4在交货前，乙方应让制造商</w:t>
      </w:r>
      <w:r>
        <w:rPr>
          <w:rFonts w:hint="eastAsia" w:ascii="仿宋" w:hAnsi="仿宋" w:eastAsia="仿宋" w:cs="仿宋"/>
          <w:bCs/>
          <w:color w:val="auto"/>
          <w:sz w:val="24"/>
          <w:szCs w:val="24"/>
        </w:rPr>
        <w:t>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0B6A74C8">
      <w:pPr>
        <w:spacing w:line="48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5.5如果在产品使用寿命期内，根据检验结果，发现产品的质量或规格与合同要求不符，或被证实有缺陷，包含潜在的缺陷或使用不合适的材料，甲方应向乙方提出索赔。</w:t>
      </w:r>
    </w:p>
    <w:p w14:paraId="3FCC306A">
      <w:pPr>
        <w:adjustRightInd w:val="0"/>
        <w:snapToGrid w:val="0"/>
        <w:spacing w:line="460" w:lineRule="exact"/>
        <w:ind w:firstLine="240" w:firstLineChars="100"/>
        <w:rPr>
          <w:rFonts w:hint="eastAsia" w:ascii="仿宋" w:hAnsi="仿宋" w:eastAsia="仿宋" w:cs="仿宋"/>
          <w:bCs/>
          <w:color w:val="auto"/>
          <w:sz w:val="24"/>
          <w:szCs w:val="24"/>
        </w:rPr>
      </w:pPr>
      <w:r>
        <w:rPr>
          <w:rFonts w:hint="eastAsia" w:ascii="仿宋" w:hAnsi="仿宋" w:eastAsia="仿宋" w:cs="仿宋"/>
          <w:bCs/>
          <w:color w:val="auto"/>
          <w:sz w:val="24"/>
          <w:szCs w:val="24"/>
        </w:rPr>
        <w:t>（6）履约验收标准：符合国家相关质量验收标准及施工、质量验收规范要求，质量达到国家规定合格标准。以下为验收依据：</w:t>
      </w:r>
    </w:p>
    <w:p w14:paraId="176A3B09">
      <w:pPr>
        <w:adjustRightInd w:val="0"/>
        <w:snapToGrid w:val="0"/>
        <w:spacing w:line="460" w:lineRule="exact"/>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6.1合同文本及合同补充文件（条款）； </w:t>
      </w:r>
    </w:p>
    <w:p w14:paraId="61678AA7">
      <w:pPr>
        <w:adjustRightInd w:val="0"/>
        <w:snapToGrid w:val="0"/>
        <w:spacing w:line="460" w:lineRule="exact"/>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6.2产品的合法来源渠道证明文件、响应功能证明材料；</w:t>
      </w:r>
    </w:p>
    <w:p w14:paraId="5C3F2652">
      <w:pPr>
        <w:adjustRightInd w:val="0"/>
        <w:snapToGrid w:val="0"/>
        <w:spacing w:line="460" w:lineRule="exact"/>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6.3招标（采购）文件；</w:t>
      </w:r>
    </w:p>
    <w:p w14:paraId="7DAE0914">
      <w:pPr>
        <w:adjustRightInd w:val="0"/>
        <w:snapToGrid w:val="0"/>
        <w:spacing w:line="460" w:lineRule="exact"/>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6.4中标（成交）人的投标文件；</w:t>
      </w:r>
    </w:p>
    <w:p w14:paraId="189F36AF">
      <w:pPr>
        <w:adjustRightInd w:val="0"/>
        <w:snapToGrid w:val="0"/>
        <w:spacing w:line="460" w:lineRule="exact"/>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6.5货物清单；</w:t>
      </w:r>
    </w:p>
    <w:p w14:paraId="17727E89">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6.6生产厂家的企业资质、货物的执行标准</w:t>
      </w:r>
    </w:p>
    <w:p w14:paraId="1E6CFF13">
      <w:pPr>
        <w:pStyle w:val="28"/>
        <w:ind w:firstLine="420"/>
        <w:rPr>
          <w:rFonts w:hint="eastAsia" w:ascii="仿宋" w:hAnsi="仿宋" w:eastAsia="仿宋" w:cs="仿宋"/>
          <w:color w:val="auto"/>
          <w:sz w:val="24"/>
          <w:szCs w:val="24"/>
        </w:rPr>
      </w:pPr>
      <w:r>
        <w:rPr>
          <w:rFonts w:hint="eastAsia" w:ascii="仿宋" w:hAnsi="仿宋" w:eastAsia="仿宋" w:cs="仿宋"/>
          <w:bCs/>
          <w:color w:val="auto"/>
          <w:sz w:val="24"/>
          <w:szCs w:val="24"/>
        </w:rPr>
        <w:t>（7）是否以采购活动中供应商提供的样品作为参考：</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FE"/>
      </w:r>
      <w:r>
        <w:rPr>
          <w:rFonts w:hint="eastAsia" w:ascii="仿宋" w:hAnsi="仿宋" w:eastAsia="仿宋" w:cs="仿宋"/>
          <w:bCs/>
          <w:color w:val="auto"/>
          <w:sz w:val="24"/>
          <w:szCs w:val="24"/>
        </w:rPr>
        <w:t>否</w:t>
      </w:r>
    </w:p>
    <w:p w14:paraId="5309DB6C">
      <w:pPr>
        <w:adjustRightInd w:val="0"/>
        <w:snapToGrid w:val="0"/>
        <w:spacing w:line="400" w:lineRule="exact"/>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（8）履约验收其他事项：</w:t>
      </w:r>
      <w:r>
        <w:rPr>
          <w:rFonts w:hint="eastAsia" w:ascii="仿宋" w:hAnsi="仿宋" w:eastAsia="仿宋" w:cs="仿宋"/>
          <w:bCs/>
          <w:color w:val="auto"/>
          <w:sz w:val="24"/>
          <w:szCs w:val="24"/>
          <w:u w:val="single"/>
        </w:rPr>
        <w:t xml:space="preserve">      （产权过户登记等）         </w:t>
      </w:r>
    </w:p>
    <w:p w14:paraId="3C3393CE">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8.1、专利权</w:t>
      </w:r>
    </w:p>
    <w:p w14:paraId="21BA09F3">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乙方应保证，买方在使用该产品或产品的任何一部分，免受第三方提出的侵犯（其专利权）、商标权、著作权或其它知识产权的起诉。</w:t>
      </w:r>
    </w:p>
    <w:p w14:paraId="791C6705">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8.2、技术规格</w:t>
      </w:r>
    </w:p>
    <w:p w14:paraId="51A9306A">
      <w:pPr>
        <w:adjustRightInd w:val="0"/>
        <w:snapToGrid w:val="0"/>
        <w:spacing w:line="4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5E5D0B82">
      <w:pPr>
        <w:numPr>
          <w:ilvl w:val="0"/>
          <w:numId w:val="2"/>
        </w:numPr>
        <w:adjustRightInd w:val="0"/>
        <w:snapToGrid w:val="0"/>
        <w:spacing w:line="4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组成合同的文件</w:t>
      </w:r>
    </w:p>
    <w:p w14:paraId="328F63F4">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本协议书与下列文件一起构成合同文件，如下述文件之间有任何抵触、矛盾或歧义，应按以下顺序解释：</w:t>
      </w:r>
    </w:p>
    <w:p w14:paraId="41FA466E">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（1）政府采购合同协议书及其变更、补充协议</w:t>
      </w:r>
    </w:p>
    <w:p w14:paraId="396CCC0B">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（2）政府采购合同专用条款</w:t>
      </w:r>
    </w:p>
    <w:p w14:paraId="1DDC92EC">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（3）政府采购合同通用条款</w:t>
      </w:r>
    </w:p>
    <w:p w14:paraId="31FD21CE">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（4）中标（成交）通知书</w:t>
      </w:r>
    </w:p>
    <w:p w14:paraId="5706ACE8">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（5）投标（响应）文件</w:t>
      </w:r>
    </w:p>
    <w:p w14:paraId="36242EA7">
      <w:pPr>
        <w:adjustRightInd w:val="0"/>
        <w:snapToGrid w:val="0"/>
        <w:spacing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（6）采购文件</w:t>
      </w:r>
    </w:p>
    <w:p w14:paraId="251E8580">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（7）有关技术文件，图纸</w:t>
      </w:r>
    </w:p>
    <w:p w14:paraId="1EF44842">
      <w:pPr>
        <w:pStyle w:val="28"/>
        <w:ind w:firstLine="420"/>
        <w:rPr>
          <w:rFonts w:hint="eastAsia" w:ascii="仿宋" w:hAnsi="仿宋" w:eastAsia="仿宋" w:cs="仿宋"/>
          <w:kern w:val="2"/>
          <w:sz w:val="24"/>
          <w:szCs w:val="24"/>
        </w:rPr>
      </w:pPr>
      <w:r>
        <w:rPr>
          <w:rFonts w:hint="eastAsia" w:ascii="仿宋" w:hAnsi="仿宋" w:eastAsia="仿宋" w:cs="仿宋"/>
          <w:sz w:val="24"/>
          <w:szCs w:val="24"/>
        </w:rPr>
        <w:t>（8）</w:t>
      </w:r>
      <w:r>
        <w:rPr>
          <w:rFonts w:hint="eastAsia" w:ascii="仿宋" w:hAnsi="仿宋" w:eastAsia="仿宋" w:cs="仿宋"/>
          <w:kern w:val="2"/>
          <w:sz w:val="24"/>
          <w:szCs w:val="24"/>
        </w:rPr>
        <w:t>国家法律、行政法规和规章制度规定或合同约定的作为合同组成部分的其他文件</w:t>
      </w:r>
    </w:p>
    <w:p w14:paraId="1C84CDC4">
      <w:pPr>
        <w:numPr>
          <w:ilvl w:val="0"/>
          <w:numId w:val="2"/>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合同生效</w:t>
      </w:r>
    </w:p>
    <w:p w14:paraId="2DD69E1D">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本合同自甲、乙双方及使用方、见证方共同签字盖章，自最后一方签字盖章之日起生效。</w:t>
      </w:r>
    </w:p>
    <w:p w14:paraId="1D7C8412">
      <w:pPr>
        <w:numPr>
          <w:ilvl w:val="0"/>
          <w:numId w:val="2"/>
        </w:numPr>
        <w:adjustRightInd w:val="0"/>
        <w:snapToGrid w:val="0"/>
        <w:spacing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合同份数</w:t>
      </w:r>
    </w:p>
    <w:p w14:paraId="4CE36F9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柒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肆 </w:t>
      </w:r>
      <w:r>
        <w:rPr>
          <w:rFonts w:hint="eastAsia" w:ascii="仿宋" w:hAnsi="仿宋" w:eastAsia="仿宋" w:cs="仿宋"/>
          <w:sz w:val="24"/>
          <w:szCs w:val="24"/>
        </w:rPr>
        <w:t>份（财务处一份，资产设备处一份，招投标处一份、使用单位一份），乙方执</w:t>
      </w:r>
      <w:r>
        <w:rPr>
          <w:rFonts w:hint="eastAsia" w:ascii="仿宋" w:hAnsi="仿宋" w:eastAsia="仿宋" w:cs="仿宋"/>
          <w:sz w:val="24"/>
          <w:szCs w:val="24"/>
          <w:u w:val="single"/>
        </w:rPr>
        <w:t xml:space="preserve"> 叁 </w:t>
      </w:r>
      <w:r>
        <w:rPr>
          <w:rFonts w:hint="eastAsia" w:ascii="仿宋" w:hAnsi="仿宋" w:eastAsia="仿宋" w:cs="仿宋"/>
          <w:sz w:val="24"/>
          <w:szCs w:val="24"/>
        </w:rPr>
        <w:t>份（含招标代理公司一份），均具有同等法律效力。</w:t>
      </w:r>
    </w:p>
    <w:p w14:paraId="4C3CF7E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合同订立时间：   2025 年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9FE4E86">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杨凌职业技术学院</w:t>
      </w:r>
      <w:r>
        <w:rPr>
          <w:rFonts w:hint="eastAsia" w:ascii="仿宋" w:hAnsi="仿宋" w:eastAsia="仿宋" w:cs="仿宋"/>
          <w:sz w:val="24"/>
          <w:szCs w:val="24"/>
          <w:u w:val="single"/>
        </w:rPr>
        <w:t xml:space="preserve">                       </w:t>
      </w:r>
    </w:p>
    <w:p w14:paraId="0C175814">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附件：见第四节</w:t>
      </w:r>
    </w:p>
    <w:p w14:paraId="769AB23B">
      <w:pPr>
        <w:pStyle w:val="2"/>
        <w:spacing w:line="400" w:lineRule="exact"/>
        <w:rPr>
          <w:rFonts w:hint="eastAsia" w:ascii="仿宋" w:hAnsi="仿宋" w:eastAsia="仿宋" w:cs="仿宋"/>
          <w:b w:val="0"/>
          <w:bCs w:val="0"/>
          <w:sz w:val="24"/>
          <w:szCs w:val="24"/>
        </w:rPr>
      </w:pPr>
    </w:p>
    <w:p w14:paraId="27B47FC4">
      <w:pPr>
        <w:rPr>
          <w:rFonts w:hint="eastAsia" w:ascii="仿宋" w:hAnsi="仿宋" w:eastAsia="仿宋" w:cs="仿宋"/>
          <w:sz w:val="24"/>
          <w:szCs w:val="24"/>
        </w:rPr>
      </w:pPr>
      <w:r>
        <w:rPr>
          <w:rFonts w:hint="eastAsia" w:ascii="仿宋" w:hAnsi="仿宋" w:eastAsia="仿宋" w:cs="仿宋"/>
          <w:sz w:val="24"/>
          <w:szCs w:val="24"/>
        </w:rPr>
        <w:br w:type="page"/>
      </w:r>
    </w:p>
    <w:p w14:paraId="52963F45">
      <w:pPr>
        <w:pStyle w:val="29"/>
        <w:ind w:firstLine="0" w:firstLineChars="0"/>
        <w:rPr>
          <w:rFonts w:hint="eastAsia" w:ascii="仿宋" w:hAnsi="仿宋" w:eastAsia="仿宋" w:cs="仿宋"/>
          <w:sz w:val="24"/>
          <w:szCs w:val="24"/>
        </w:rPr>
      </w:pPr>
    </w:p>
    <w:tbl>
      <w:tblPr>
        <w:tblStyle w:val="16"/>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599E51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69061554">
            <w:pPr>
              <w:adjustRightInd w:val="0"/>
              <w:snapToGrid w:val="0"/>
              <w:spacing w:line="300" w:lineRule="exact"/>
              <w:jc w:val="center"/>
              <w:rPr>
                <w:rFonts w:hint="eastAsia" w:ascii="仿宋" w:hAnsi="仿宋" w:eastAsia="仿宋" w:cs="仿宋"/>
                <w:sz w:val="24"/>
                <w:szCs w:val="24"/>
              </w:rPr>
            </w:pPr>
            <w:bookmarkStart w:id="5" w:name="_Hlk165098480"/>
            <w:r>
              <w:rPr>
                <w:rFonts w:hint="eastAsia" w:ascii="仿宋" w:hAnsi="仿宋" w:eastAsia="仿宋" w:cs="仿宋"/>
                <w:sz w:val="24"/>
                <w:szCs w:val="24"/>
              </w:rPr>
              <w:t>甲方</w:t>
            </w:r>
          </w:p>
        </w:tc>
        <w:tc>
          <w:tcPr>
            <w:tcW w:w="3986" w:type="dxa"/>
            <w:gridSpan w:val="2"/>
            <w:tcBorders>
              <w:left w:val="single" w:color="auto" w:sz="2" w:space="0"/>
              <w:bottom w:val="single" w:color="auto" w:sz="2" w:space="0"/>
            </w:tcBorders>
            <w:vAlign w:val="center"/>
          </w:tcPr>
          <w:p w14:paraId="296D1A7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w:t>
            </w:r>
          </w:p>
        </w:tc>
      </w:tr>
      <w:tr w14:paraId="5C7C81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29BAD2F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7F3CE31D">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5DE1BA0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单位名称（公章或合同章）</w:t>
            </w:r>
          </w:p>
        </w:tc>
        <w:tc>
          <w:tcPr>
            <w:tcW w:w="2060" w:type="dxa"/>
            <w:tcBorders>
              <w:top w:val="single" w:color="auto" w:sz="2" w:space="0"/>
              <w:left w:val="single" w:color="auto" w:sz="2" w:space="0"/>
              <w:bottom w:val="single" w:color="auto" w:sz="2" w:space="0"/>
            </w:tcBorders>
            <w:vAlign w:val="center"/>
          </w:tcPr>
          <w:p w14:paraId="05C11CDA">
            <w:pPr>
              <w:adjustRightInd w:val="0"/>
              <w:snapToGrid w:val="0"/>
              <w:spacing w:line="300" w:lineRule="exact"/>
              <w:jc w:val="center"/>
              <w:rPr>
                <w:rFonts w:hint="eastAsia" w:ascii="仿宋" w:hAnsi="仿宋" w:eastAsia="仿宋" w:cs="仿宋"/>
                <w:spacing w:val="20"/>
                <w:sz w:val="24"/>
                <w:szCs w:val="24"/>
              </w:rPr>
            </w:pPr>
          </w:p>
        </w:tc>
      </w:tr>
      <w:tr w14:paraId="655ADF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2F7C4A3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4E371F7A">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2348" w:type="dxa"/>
            <w:tcBorders>
              <w:top w:val="single" w:color="auto" w:sz="2" w:space="0"/>
              <w:left w:val="single" w:color="auto" w:sz="2" w:space="0"/>
              <w:right w:val="single" w:color="auto" w:sz="2" w:space="0"/>
            </w:tcBorders>
            <w:vAlign w:val="center"/>
          </w:tcPr>
          <w:p w14:paraId="33BF77D1">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right w:val="single" w:color="auto" w:sz="2" w:space="0"/>
            </w:tcBorders>
            <w:vAlign w:val="center"/>
          </w:tcPr>
          <w:p w14:paraId="5364675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4DDE3DD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2060" w:type="dxa"/>
            <w:tcBorders>
              <w:top w:val="single" w:color="auto" w:sz="2" w:space="0"/>
              <w:left w:val="single" w:color="auto" w:sz="2" w:space="0"/>
            </w:tcBorders>
            <w:vAlign w:val="center"/>
          </w:tcPr>
          <w:p w14:paraId="61F73FE3">
            <w:pPr>
              <w:adjustRightInd w:val="0"/>
              <w:snapToGrid w:val="0"/>
              <w:spacing w:line="300" w:lineRule="exact"/>
              <w:jc w:val="center"/>
              <w:rPr>
                <w:rFonts w:hint="eastAsia" w:ascii="仿宋" w:hAnsi="仿宋" w:eastAsia="仿宋" w:cs="仿宋"/>
                <w:sz w:val="24"/>
                <w:szCs w:val="24"/>
              </w:rPr>
            </w:pPr>
          </w:p>
        </w:tc>
      </w:tr>
      <w:tr w14:paraId="4FEFF4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6A2BCBAA">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招投标处签字</w:t>
            </w:r>
          </w:p>
        </w:tc>
        <w:tc>
          <w:tcPr>
            <w:tcW w:w="2348" w:type="dxa"/>
            <w:tcBorders>
              <w:left w:val="single" w:color="auto" w:sz="2" w:space="0"/>
              <w:bottom w:val="single" w:color="auto" w:sz="2" w:space="0"/>
              <w:right w:val="single" w:color="auto" w:sz="2" w:space="0"/>
            </w:tcBorders>
            <w:vAlign w:val="center"/>
          </w:tcPr>
          <w:p w14:paraId="2D311FB6">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509A529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拥有者性别</w:t>
            </w:r>
          </w:p>
        </w:tc>
        <w:tc>
          <w:tcPr>
            <w:tcW w:w="2060" w:type="dxa"/>
            <w:tcBorders>
              <w:top w:val="single" w:color="auto" w:sz="2" w:space="0"/>
              <w:left w:val="single" w:color="auto" w:sz="2" w:space="0"/>
              <w:bottom w:val="single" w:color="auto" w:sz="2" w:space="0"/>
            </w:tcBorders>
            <w:vAlign w:val="center"/>
          </w:tcPr>
          <w:p w14:paraId="4B607EDE">
            <w:pPr>
              <w:adjustRightInd w:val="0"/>
              <w:snapToGrid w:val="0"/>
              <w:spacing w:line="300" w:lineRule="exact"/>
              <w:jc w:val="center"/>
              <w:rPr>
                <w:rFonts w:hint="eastAsia" w:ascii="仿宋" w:hAnsi="仿宋" w:eastAsia="仿宋" w:cs="仿宋"/>
                <w:spacing w:val="20"/>
                <w:sz w:val="24"/>
                <w:szCs w:val="24"/>
              </w:rPr>
            </w:pPr>
          </w:p>
        </w:tc>
      </w:tr>
      <w:tr w14:paraId="674AA5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373462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858454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陕西省杨凌示范区渭惠路24号</w:t>
            </w:r>
          </w:p>
        </w:tc>
        <w:tc>
          <w:tcPr>
            <w:tcW w:w="1926" w:type="dxa"/>
            <w:tcBorders>
              <w:top w:val="single" w:color="auto" w:sz="2" w:space="0"/>
              <w:left w:val="single" w:color="auto" w:sz="2" w:space="0"/>
              <w:bottom w:val="single" w:color="auto" w:sz="2" w:space="0"/>
              <w:right w:val="single" w:color="auto" w:sz="2" w:space="0"/>
            </w:tcBorders>
            <w:vAlign w:val="center"/>
          </w:tcPr>
          <w:p w14:paraId="2D66843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住  所</w:t>
            </w:r>
          </w:p>
        </w:tc>
        <w:tc>
          <w:tcPr>
            <w:tcW w:w="2060" w:type="dxa"/>
            <w:tcBorders>
              <w:top w:val="single" w:color="auto" w:sz="2" w:space="0"/>
              <w:left w:val="single" w:color="auto" w:sz="2" w:space="0"/>
              <w:bottom w:val="single" w:color="auto" w:sz="2" w:space="0"/>
            </w:tcBorders>
            <w:vAlign w:val="center"/>
          </w:tcPr>
          <w:p w14:paraId="50EB2080">
            <w:pPr>
              <w:adjustRightInd w:val="0"/>
              <w:snapToGrid w:val="0"/>
              <w:spacing w:line="300" w:lineRule="exact"/>
              <w:jc w:val="center"/>
              <w:rPr>
                <w:rFonts w:hint="eastAsia" w:ascii="仿宋" w:hAnsi="仿宋" w:eastAsia="仿宋" w:cs="仿宋"/>
                <w:spacing w:val="20"/>
                <w:sz w:val="24"/>
                <w:szCs w:val="24"/>
              </w:rPr>
            </w:pPr>
          </w:p>
        </w:tc>
      </w:tr>
      <w:tr w14:paraId="3ADAFA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5B3089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使用单位项目联系人</w:t>
            </w:r>
          </w:p>
        </w:tc>
        <w:tc>
          <w:tcPr>
            <w:tcW w:w="2348" w:type="dxa"/>
            <w:tcBorders>
              <w:top w:val="single" w:color="auto" w:sz="2" w:space="0"/>
              <w:left w:val="single" w:color="auto" w:sz="2" w:space="0"/>
              <w:bottom w:val="single" w:color="auto" w:sz="2" w:space="0"/>
              <w:right w:val="single" w:color="auto" w:sz="2" w:space="0"/>
            </w:tcBorders>
            <w:vAlign w:val="center"/>
          </w:tcPr>
          <w:p w14:paraId="305CFEAB">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7AA2A4F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2060" w:type="dxa"/>
            <w:tcBorders>
              <w:top w:val="single" w:color="auto" w:sz="2" w:space="0"/>
              <w:left w:val="single" w:color="auto" w:sz="2" w:space="0"/>
              <w:bottom w:val="single" w:color="auto" w:sz="2" w:space="0"/>
            </w:tcBorders>
            <w:vAlign w:val="center"/>
          </w:tcPr>
          <w:p w14:paraId="4CA04099">
            <w:pPr>
              <w:adjustRightInd w:val="0"/>
              <w:snapToGrid w:val="0"/>
              <w:spacing w:line="300" w:lineRule="exact"/>
              <w:jc w:val="center"/>
              <w:rPr>
                <w:rFonts w:hint="eastAsia" w:ascii="仿宋" w:hAnsi="仿宋" w:eastAsia="仿宋" w:cs="仿宋"/>
                <w:spacing w:val="20"/>
                <w:sz w:val="24"/>
                <w:szCs w:val="24"/>
              </w:rPr>
            </w:pPr>
          </w:p>
        </w:tc>
      </w:tr>
      <w:tr w14:paraId="748E99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DCA2226">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E8CF77A">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10FEDDE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060" w:type="dxa"/>
            <w:tcBorders>
              <w:top w:val="single" w:color="auto" w:sz="2" w:space="0"/>
              <w:left w:val="single" w:color="auto" w:sz="2" w:space="0"/>
              <w:bottom w:val="single" w:color="auto" w:sz="2" w:space="0"/>
            </w:tcBorders>
            <w:vAlign w:val="center"/>
          </w:tcPr>
          <w:p w14:paraId="1C93FE47">
            <w:pPr>
              <w:adjustRightInd w:val="0"/>
              <w:snapToGrid w:val="0"/>
              <w:spacing w:line="300" w:lineRule="exact"/>
              <w:jc w:val="center"/>
              <w:rPr>
                <w:rFonts w:hint="eastAsia" w:ascii="仿宋" w:hAnsi="仿宋" w:eastAsia="仿宋" w:cs="仿宋"/>
                <w:spacing w:val="20"/>
                <w:sz w:val="24"/>
                <w:szCs w:val="24"/>
              </w:rPr>
            </w:pPr>
          </w:p>
        </w:tc>
      </w:tr>
      <w:tr w14:paraId="7FCD5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DB5B76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5F4AC60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陕西省杨凌示范区渭惠路24号</w:t>
            </w:r>
          </w:p>
        </w:tc>
        <w:tc>
          <w:tcPr>
            <w:tcW w:w="1926" w:type="dxa"/>
            <w:tcBorders>
              <w:top w:val="single" w:color="auto" w:sz="2" w:space="0"/>
              <w:left w:val="single" w:color="auto" w:sz="2" w:space="0"/>
              <w:bottom w:val="single" w:color="auto" w:sz="2" w:space="0"/>
              <w:right w:val="single" w:color="auto" w:sz="2" w:space="0"/>
            </w:tcBorders>
            <w:vAlign w:val="center"/>
          </w:tcPr>
          <w:p w14:paraId="529B2CC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通信地址</w:t>
            </w:r>
          </w:p>
        </w:tc>
        <w:tc>
          <w:tcPr>
            <w:tcW w:w="2060" w:type="dxa"/>
            <w:tcBorders>
              <w:top w:val="single" w:color="auto" w:sz="2" w:space="0"/>
              <w:left w:val="single" w:color="auto" w:sz="2" w:space="0"/>
              <w:bottom w:val="single" w:color="auto" w:sz="2" w:space="0"/>
            </w:tcBorders>
            <w:vAlign w:val="center"/>
          </w:tcPr>
          <w:p w14:paraId="26114694">
            <w:pPr>
              <w:adjustRightInd w:val="0"/>
              <w:snapToGrid w:val="0"/>
              <w:spacing w:line="300" w:lineRule="exact"/>
              <w:jc w:val="center"/>
              <w:rPr>
                <w:rFonts w:hint="eastAsia" w:ascii="仿宋" w:hAnsi="仿宋" w:eastAsia="仿宋" w:cs="仿宋"/>
                <w:spacing w:val="20"/>
                <w:sz w:val="24"/>
                <w:szCs w:val="24"/>
              </w:rPr>
            </w:pPr>
          </w:p>
        </w:tc>
      </w:tr>
      <w:tr w14:paraId="35951A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4121BE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45C62C56">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712100</w:t>
            </w:r>
          </w:p>
        </w:tc>
        <w:tc>
          <w:tcPr>
            <w:tcW w:w="1926" w:type="dxa"/>
            <w:tcBorders>
              <w:top w:val="single" w:color="auto" w:sz="2" w:space="0"/>
              <w:left w:val="single" w:color="auto" w:sz="2" w:space="0"/>
              <w:bottom w:val="single" w:color="auto" w:sz="2" w:space="0"/>
              <w:right w:val="single" w:color="auto" w:sz="2" w:space="0"/>
            </w:tcBorders>
            <w:vAlign w:val="center"/>
          </w:tcPr>
          <w:p w14:paraId="5E9FC5E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2060" w:type="dxa"/>
            <w:tcBorders>
              <w:top w:val="single" w:color="auto" w:sz="2" w:space="0"/>
              <w:left w:val="single" w:color="auto" w:sz="2" w:space="0"/>
              <w:bottom w:val="single" w:color="auto" w:sz="2" w:space="0"/>
            </w:tcBorders>
            <w:vAlign w:val="center"/>
          </w:tcPr>
          <w:p w14:paraId="3277B630">
            <w:pPr>
              <w:adjustRightInd w:val="0"/>
              <w:snapToGrid w:val="0"/>
              <w:spacing w:line="300" w:lineRule="exact"/>
              <w:jc w:val="center"/>
              <w:rPr>
                <w:rFonts w:hint="eastAsia" w:ascii="仿宋" w:hAnsi="仿宋" w:eastAsia="仿宋" w:cs="仿宋"/>
                <w:spacing w:val="20"/>
                <w:sz w:val="24"/>
                <w:szCs w:val="24"/>
              </w:rPr>
            </w:pPr>
          </w:p>
        </w:tc>
      </w:tr>
      <w:tr w14:paraId="722058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42CD3A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36C1B7F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926" w:type="dxa"/>
            <w:tcBorders>
              <w:top w:val="single" w:color="auto" w:sz="2" w:space="0"/>
              <w:left w:val="single" w:color="auto" w:sz="2" w:space="0"/>
              <w:bottom w:val="single" w:color="auto" w:sz="2" w:space="0"/>
              <w:right w:val="single" w:color="auto" w:sz="2" w:space="0"/>
            </w:tcBorders>
            <w:vAlign w:val="center"/>
          </w:tcPr>
          <w:p w14:paraId="40BA6A7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2060" w:type="dxa"/>
            <w:tcBorders>
              <w:top w:val="single" w:color="auto" w:sz="2" w:space="0"/>
              <w:left w:val="single" w:color="auto" w:sz="2" w:space="0"/>
              <w:bottom w:val="single" w:color="auto" w:sz="2" w:space="0"/>
            </w:tcBorders>
            <w:vAlign w:val="center"/>
          </w:tcPr>
          <w:p w14:paraId="4A9285B5">
            <w:pPr>
              <w:adjustRightInd w:val="0"/>
              <w:snapToGrid w:val="0"/>
              <w:spacing w:line="300" w:lineRule="exact"/>
              <w:jc w:val="center"/>
              <w:rPr>
                <w:rFonts w:hint="eastAsia" w:ascii="仿宋" w:hAnsi="仿宋" w:eastAsia="仿宋" w:cs="仿宋"/>
                <w:spacing w:val="20"/>
                <w:sz w:val="24"/>
                <w:szCs w:val="24"/>
              </w:rPr>
            </w:pPr>
          </w:p>
        </w:tc>
      </w:tr>
      <w:tr w14:paraId="5AA372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E02620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1C78C16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12610000437096930B</w:t>
            </w:r>
          </w:p>
        </w:tc>
        <w:tc>
          <w:tcPr>
            <w:tcW w:w="1926" w:type="dxa"/>
            <w:tcBorders>
              <w:top w:val="single" w:color="auto" w:sz="2" w:space="0"/>
              <w:left w:val="single" w:color="auto" w:sz="2" w:space="0"/>
              <w:bottom w:val="single" w:color="auto" w:sz="2" w:space="0"/>
              <w:right w:val="single" w:color="auto" w:sz="2" w:space="0"/>
            </w:tcBorders>
            <w:vAlign w:val="center"/>
          </w:tcPr>
          <w:p w14:paraId="5F9F573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2060" w:type="dxa"/>
            <w:tcBorders>
              <w:top w:val="single" w:color="auto" w:sz="2" w:space="0"/>
              <w:left w:val="single" w:color="auto" w:sz="2" w:space="0"/>
              <w:bottom w:val="single" w:color="auto" w:sz="2" w:space="0"/>
            </w:tcBorders>
            <w:vAlign w:val="center"/>
          </w:tcPr>
          <w:p w14:paraId="7EE2B76B">
            <w:pPr>
              <w:adjustRightInd w:val="0"/>
              <w:snapToGrid w:val="0"/>
              <w:spacing w:line="300" w:lineRule="exact"/>
              <w:jc w:val="center"/>
              <w:rPr>
                <w:rFonts w:hint="eastAsia" w:ascii="仿宋" w:hAnsi="仿宋" w:eastAsia="仿宋" w:cs="仿宋"/>
                <w:spacing w:val="20"/>
                <w:sz w:val="24"/>
                <w:szCs w:val="24"/>
              </w:rPr>
            </w:pPr>
          </w:p>
        </w:tc>
      </w:tr>
      <w:tr w14:paraId="5C2CB7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B5F9D7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2E296AED">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05F7C78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2060" w:type="dxa"/>
            <w:tcBorders>
              <w:top w:val="single" w:color="auto" w:sz="2" w:space="0"/>
              <w:left w:val="single" w:color="auto" w:sz="2" w:space="0"/>
              <w:bottom w:val="single" w:color="auto" w:sz="2" w:space="0"/>
            </w:tcBorders>
            <w:vAlign w:val="center"/>
          </w:tcPr>
          <w:p w14:paraId="0DADB606">
            <w:pPr>
              <w:adjustRightInd w:val="0"/>
              <w:snapToGrid w:val="0"/>
              <w:spacing w:line="300" w:lineRule="exact"/>
              <w:jc w:val="center"/>
              <w:rPr>
                <w:rFonts w:hint="eastAsia" w:ascii="仿宋" w:hAnsi="仿宋" w:eastAsia="仿宋" w:cs="仿宋"/>
                <w:spacing w:val="20"/>
                <w:sz w:val="24"/>
                <w:szCs w:val="24"/>
              </w:rPr>
            </w:pPr>
          </w:p>
        </w:tc>
      </w:tr>
      <w:tr w14:paraId="276A67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A99F93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3FF96F5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5F3152B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2060" w:type="dxa"/>
            <w:tcBorders>
              <w:top w:val="single" w:color="auto" w:sz="2" w:space="0"/>
              <w:left w:val="single" w:color="auto" w:sz="2" w:space="0"/>
              <w:bottom w:val="single" w:color="auto" w:sz="2" w:space="0"/>
            </w:tcBorders>
            <w:vAlign w:val="center"/>
          </w:tcPr>
          <w:p w14:paraId="023E3456">
            <w:pPr>
              <w:adjustRightInd w:val="0"/>
              <w:snapToGrid w:val="0"/>
              <w:spacing w:line="300" w:lineRule="exact"/>
              <w:jc w:val="center"/>
              <w:rPr>
                <w:rFonts w:hint="eastAsia" w:ascii="仿宋" w:hAnsi="仿宋" w:eastAsia="仿宋" w:cs="仿宋"/>
                <w:spacing w:val="20"/>
                <w:sz w:val="24"/>
                <w:szCs w:val="24"/>
              </w:rPr>
            </w:pPr>
          </w:p>
        </w:tc>
      </w:tr>
      <w:tr w14:paraId="5260A9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8047846">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1E86E0E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2604021509026422026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76E149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2060" w:type="dxa"/>
            <w:tcBorders>
              <w:top w:val="single" w:color="auto" w:sz="2" w:space="0"/>
              <w:left w:val="single" w:color="auto" w:sz="2" w:space="0"/>
              <w:bottom w:val="single" w:color="auto" w:sz="2" w:space="0"/>
            </w:tcBorders>
            <w:vAlign w:val="center"/>
          </w:tcPr>
          <w:p w14:paraId="1517F00C">
            <w:pPr>
              <w:adjustRightInd w:val="0"/>
              <w:snapToGrid w:val="0"/>
              <w:spacing w:line="300" w:lineRule="exact"/>
              <w:jc w:val="center"/>
              <w:rPr>
                <w:rFonts w:hint="eastAsia" w:ascii="仿宋" w:hAnsi="仿宋" w:eastAsia="仿宋" w:cs="仿宋"/>
                <w:spacing w:val="20"/>
                <w:sz w:val="24"/>
                <w:szCs w:val="24"/>
              </w:rPr>
            </w:pPr>
          </w:p>
        </w:tc>
      </w:tr>
      <w:tr w14:paraId="1131F5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6140E22E">
            <w:pPr>
              <w:pStyle w:val="6"/>
              <w:adjustRightInd w:val="0"/>
              <w:snapToGrid w:val="0"/>
              <w:spacing w:before="156" w:beforeLines="50" w:after="0" w:line="360" w:lineRule="auto"/>
              <w:ind w:left="0" w:leftChars="0"/>
              <w:jc w:val="left"/>
              <w:rPr>
                <w:rFonts w:hint="eastAsia" w:ascii="仿宋" w:hAnsi="仿宋" w:eastAsia="仿宋" w:cs="仿宋"/>
                <w:spacing w:val="20"/>
                <w:sz w:val="24"/>
                <w:szCs w:val="24"/>
              </w:rPr>
            </w:pPr>
            <w:r>
              <w:rPr>
                <w:rFonts w:hint="eastAsia" w:ascii="仿宋" w:hAnsi="仿宋" w:eastAsia="仿宋" w:cs="仿宋"/>
                <w:sz w:val="24"/>
                <w:szCs w:val="24"/>
              </w:rPr>
              <w:t>注：以下为其他合同主体。</w:t>
            </w:r>
          </w:p>
        </w:tc>
      </w:tr>
      <w:bookmarkEnd w:id="5"/>
      <w:tr w14:paraId="3F1A1D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44B1585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审核方</w:t>
            </w:r>
          </w:p>
        </w:tc>
        <w:tc>
          <w:tcPr>
            <w:tcW w:w="3986" w:type="dxa"/>
            <w:gridSpan w:val="2"/>
            <w:tcBorders>
              <w:left w:val="single" w:color="auto" w:sz="2" w:space="0"/>
              <w:bottom w:val="single" w:color="auto" w:sz="2" w:space="0"/>
            </w:tcBorders>
            <w:vAlign w:val="center"/>
          </w:tcPr>
          <w:p w14:paraId="629667D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见证方</w:t>
            </w:r>
          </w:p>
        </w:tc>
      </w:tr>
      <w:tr w14:paraId="78C7E5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67EFC616">
            <w:pPr>
              <w:adjustRightInd w:val="0"/>
              <w:snapToGrid w:val="0"/>
              <w:spacing w:line="300" w:lineRule="exact"/>
              <w:rPr>
                <w:rFonts w:hint="eastAsia" w:ascii="仿宋" w:hAnsi="仿宋" w:eastAsia="仿宋" w:cs="仿宋"/>
                <w:sz w:val="24"/>
                <w:szCs w:val="24"/>
              </w:rPr>
            </w:pPr>
            <w:r>
              <w:rPr>
                <w:rFonts w:hint="eastAsia" w:ascii="仿宋" w:hAnsi="仿宋" w:eastAsia="仿宋" w:cs="仿宋"/>
                <w:sz w:val="24"/>
                <w:szCs w:val="24"/>
              </w:rPr>
              <w:t>使用部门名称</w:t>
            </w:r>
          </w:p>
          <w:p w14:paraId="748F2BF5">
            <w:pPr>
              <w:adjustRightInd w:val="0"/>
              <w:snapToGrid w:val="0"/>
              <w:spacing w:line="300" w:lineRule="exact"/>
              <w:rPr>
                <w:rFonts w:hint="eastAsia" w:ascii="仿宋" w:hAnsi="仿宋" w:eastAsia="仿宋" w:cs="仿宋"/>
                <w:sz w:val="24"/>
                <w:szCs w:val="24"/>
              </w:rPr>
            </w:pPr>
            <w:r>
              <w:rPr>
                <w:rFonts w:hint="eastAsia" w:ascii="仿宋" w:hAnsi="仿宋" w:eastAsia="仿宋" w:cs="仿宋"/>
                <w:sz w:val="24"/>
                <w:szCs w:val="24"/>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33963A69">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254B90E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见证方名称</w:t>
            </w:r>
          </w:p>
          <w:p w14:paraId="5F02E80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（单位公章）</w:t>
            </w:r>
          </w:p>
        </w:tc>
        <w:tc>
          <w:tcPr>
            <w:tcW w:w="2060" w:type="dxa"/>
            <w:tcBorders>
              <w:top w:val="single" w:color="auto" w:sz="2" w:space="0"/>
              <w:left w:val="single" w:color="auto" w:sz="2" w:space="0"/>
              <w:bottom w:val="single" w:color="auto" w:sz="2" w:space="0"/>
            </w:tcBorders>
            <w:vAlign w:val="center"/>
          </w:tcPr>
          <w:p w14:paraId="0D8D176A">
            <w:pPr>
              <w:adjustRightInd w:val="0"/>
              <w:snapToGrid w:val="0"/>
              <w:spacing w:line="300" w:lineRule="exact"/>
              <w:jc w:val="center"/>
              <w:rPr>
                <w:rFonts w:hint="eastAsia" w:ascii="仿宋" w:hAnsi="仿宋" w:eastAsia="仿宋" w:cs="仿宋"/>
                <w:spacing w:val="20"/>
                <w:sz w:val="24"/>
                <w:szCs w:val="24"/>
              </w:rPr>
            </w:pPr>
          </w:p>
        </w:tc>
      </w:tr>
      <w:tr w14:paraId="064247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7ABB9C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02030A32">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49AAE02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代表审核</w:t>
            </w:r>
          </w:p>
          <w:p w14:paraId="3B6616A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（签字）</w:t>
            </w:r>
          </w:p>
        </w:tc>
        <w:tc>
          <w:tcPr>
            <w:tcW w:w="2060" w:type="dxa"/>
            <w:tcBorders>
              <w:top w:val="single" w:color="auto" w:sz="2" w:space="0"/>
              <w:left w:val="single" w:color="auto" w:sz="2" w:space="0"/>
              <w:bottom w:val="single" w:color="auto" w:sz="2" w:space="0"/>
            </w:tcBorders>
            <w:vAlign w:val="center"/>
          </w:tcPr>
          <w:p w14:paraId="567FF762">
            <w:pPr>
              <w:adjustRightInd w:val="0"/>
              <w:snapToGrid w:val="0"/>
              <w:spacing w:line="300" w:lineRule="exact"/>
              <w:jc w:val="center"/>
              <w:rPr>
                <w:rFonts w:hint="eastAsia" w:ascii="仿宋" w:hAnsi="仿宋" w:eastAsia="仿宋" w:cs="仿宋"/>
                <w:spacing w:val="20"/>
                <w:sz w:val="24"/>
                <w:szCs w:val="24"/>
              </w:rPr>
            </w:pPr>
          </w:p>
        </w:tc>
      </w:tr>
      <w:tr w14:paraId="538C96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7CF8EA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30A02775">
            <w:pPr>
              <w:adjustRightInd w:val="0"/>
              <w:snapToGrid w:val="0"/>
              <w:spacing w:line="300" w:lineRule="exact"/>
              <w:jc w:val="center"/>
              <w:rPr>
                <w:rFonts w:hint="eastAsia" w:ascii="仿宋" w:hAnsi="仿宋" w:eastAsia="仿宋" w:cs="仿宋"/>
                <w:sz w:val="24"/>
                <w:szCs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0B16935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060" w:type="dxa"/>
            <w:tcBorders>
              <w:top w:val="single" w:color="auto" w:sz="2" w:space="0"/>
              <w:left w:val="single" w:color="auto" w:sz="2" w:space="0"/>
              <w:bottom w:val="single" w:color="auto" w:sz="2" w:space="0"/>
            </w:tcBorders>
            <w:vAlign w:val="center"/>
          </w:tcPr>
          <w:p w14:paraId="7C1F304B">
            <w:pPr>
              <w:adjustRightInd w:val="0"/>
              <w:snapToGrid w:val="0"/>
              <w:spacing w:line="300" w:lineRule="exact"/>
              <w:jc w:val="center"/>
              <w:rPr>
                <w:rFonts w:hint="eastAsia" w:ascii="仿宋" w:hAnsi="仿宋" w:eastAsia="仿宋" w:cs="仿宋"/>
                <w:spacing w:val="20"/>
                <w:sz w:val="24"/>
                <w:szCs w:val="24"/>
              </w:rPr>
            </w:pPr>
          </w:p>
        </w:tc>
      </w:tr>
    </w:tbl>
    <w:p w14:paraId="536BCE9D">
      <w:pPr>
        <w:pStyle w:val="2"/>
        <w:adjustRightInd w:val="0"/>
        <w:snapToGrid w:val="0"/>
        <w:spacing w:before="156" w:beforeLines="50"/>
        <w:jc w:val="center"/>
        <w:rPr>
          <w:rFonts w:hint="eastAsia" w:ascii="仿宋" w:hAnsi="仿宋" w:eastAsia="仿宋" w:cs="仿宋"/>
          <w:sz w:val="24"/>
          <w:szCs w:val="24"/>
        </w:rPr>
      </w:pPr>
      <w:r>
        <w:rPr>
          <w:rFonts w:hint="eastAsia" w:ascii="仿宋" w:hAnsi="仿宋" w:eastAsia="仿宋" w:cs="仿宋"/>
          <w:sz w:val="24"/>
          <w:szCs w:val="24"/>
          <w:u w:val="single"/>
        </w:rPr>
        <w:br w:type="page"/>
      </w:r>
      <w:bookmarkStart w:id="6" w:name="_Toc27624"/>
      <w:r>
        <w:rPr>
          <w:rFonts w:hint="eastAsia" w:ascii="仿宋" w:hAnsi="仿宋" w:eastAsia="仿宋" w:cs="仿宋"/>
          <w:b w:val="0"/>
          <w:bCs w:val="0"/>
          <w:sz w:val="24"/>
          <w:szCs w:val="24"/>
        </w:rPr>
        <w:t>第二节 政府采购合同通用条款</w:t>
      </w:r>
      <w:bookmarkEnd w:id="6"/>
    </w:p>
    <w:p w14:paraId="69E248EE">
      <w:pPr>
        <w:tabs>
          <w:tab w:val="left" w:pos="8820"/>
          <w:tab w:val="left" w:pos="9345"/>
          <w:tab w:val="left" w:pos="9765"/>
          <w:tab w:val="clear" w:pos="480"/>
        </w:tabs>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sz w:val="24"/>
          <w:szCs w:val="24"/>
        </w:rPr>
        <w:t xml:space="preserve">1. </w:t>
      </w:r>
      <w:r>
        <w:rPr>
          <w:rFonts w:hint="eastAsia" w:ascii="仿宋" w:hAnsi="仿宋" w:eastAsia="仿宋" w:cs="仿宋"/>
          <w:b/>
          <w:bCs/>
          <w:sz w:val="24"/>
          <w:szCs w:val="24"/>
        </w:rPr>
        <w:t>定义</w:t>
      </w:r>
    </w:p>
    <w:p w14:paraId="2914C1E2">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1.1合同当事人</w:t>
      </w:r>
    </w:p>
    <w:p w14:paraId="1C5EB26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（1）采购人（以下称甲方）是指使用财政性资金，通过政府采购方式向供应商购买货物及其相关服务的国家机关、事业单位、团体组织。</w:t>
      </w:r>
    </w:p>
    <w:p w14:paraId="77EECED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（2）供应商（以下称乙方）是指参加政府采购活动并且中标（成交），向采购人提供合同约定的货物及其相关服务的法人、非法人组织或者自然人。</w:t>
      </w:r>
    </w:p>
    <w:p w14:paraId="1F81FB8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sz w:val="24"/>
          <w:szCs w:val="24"/>
        </w:rPr>
        <w:t>。</w:t>
      </w:r>
    </w:p>
    <w:p w14:paraId="589A3ED5">
      <w:pPr>
        <w:tabs>
          <w:tab w:val="left" w:pos="570"/>
          <w:tab w:val="left" w:pos="9240"/>
          <w:tab w:val="left" w:pos="9555"/>
          <w:tab w:val="clear" w:pos="480"/>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1.2本合同下列术语应解释为：</w:t>
      </w:r>
    </w:p>
    <w:p w14:paraId="30694959">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sz w:val="24"/>
          <w:szCs w:val="24"/>
        </w:rPr>
        <w:t>政府采购合同协议书及其变更、补充协议，政府采购合同专用条款，政府采购合同通用条款，中标（成交）通知书，投标（响应）文件，采购文件，有关技术文件和图纸，以及</w:t>
      </w:r>
      <w:r>
        <w:rPr>
          <w:rFonts w:hint="eastAsia" w:ascii="仿宋" w:hAnsi="仿宋" w:eastAsia="仿宋" w:cs="仿宋"/>
          <w:color w:val="000000" w:themeColor="text1"/>
          <w:sz w:val="24"/>
          <w:szCs w:val="24"/>
          <w14:textFill>
            <w14:solidFill>
              <w14:schemeClr w14:val="tx1"/>
            </w14:solidFill>
          </w14:textFill>
        </w:rPr>
        <w:t>国家法律、行政法规和规章制度规定或合同约定的作为合同组成部分的其他文件</w:t>
      </w:r>
      <w:r>
        <w:rPr>
          <w:rFonts w:hint="eastAsia" w:ascii="仿宋" w:hAnsi="仿宋" w:eastAsia="仿宋" w:cs="仿宋"/>
          <w:sz w:val="24"/>
          <w:szCs w:val="24"/>
        </w:rPr>
        <w:t>。</w:t>
      </w:r>
    </w:p>
    <w:p w14:paraId="522F983F">
      <w:pPr>
        <w:tabs>
          <w:tab w:val="left" w:pos="570"/>
          <w:tab w:val="left" w:pos="9240"/>
          <w:tab w:val="left" w:pos="9555"/>
          <w:tab w:val="clear" w:pos="480"/>
        </w:tabs>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（2）“合同价款”系指根据本合同规定乙方在全面履行合同义务后甲方应支付给乙方的价款。</w:t>
      </w:r>
    </w:p>
    <w:p w14:paraId="06F09C94">
      <w:pPr>
        <w:tabs>
          <w:tab w:val="left" w:pos="570"/>
          <w:tab w:val="left" w:pos="9240"/>
          <w:tab w:val="left" w:pos="9555"/>
          <w:tab w:val="clear" w:pos="480"/>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（3）“货物”系指乙方根据本合同规定须向甲方提供的各种形态和种类的物品，包括原材料、设备、产品（</w:t>
      </w:r>
      <w:r>
        <w:rPr>
          <w:rFonts w:hint="eastAsia" w:ascii="仿宋" w:hAnsi="仿宋" w:eastAsia="仿宋" w:cs="仿宋"/>
          <w:color w:val="000000" w:themeColor="text1"/>
          <w:sz w:val="24"/>
          <w:szCs w:val="24"/>
          <w14:textFill>
            <w14:solidFill>
              <w14:schemeClr w14:val="tx1"/>
            </w14:solidFill>
          </w14:textFill>
        </w:rPr>
        <w:t>包括软件）及相关的其备品备件、工具、手册及其他技术资料和材料等。</w:t>
      </w:r>
    </w:p>
    <w:p w14:paraId="57B39EA0">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sz w:val="24"/>
          <w:szCs w:val="24"/>
        </w:rPr>
        <w:t>相关</w:t>
      </w:r>
      <w:r>
        <w:rPr>
          <w:rFonts w:hint="eastAsia" w:ascii="仿宋" w:hAnsi="仿宋" w:eastAsia="仿宋" w:cs="仿宋"/>
          <w:color w:val="000000" w:themeColor="text1"/>
          <w:sz w:val="24"/>
          <w:szCs w:val="24"/>
          <w14:textFill>
            <w14:solidFill>
              <w14:schemeClr w14:val="tx1"/>
            </w14:solidFill>
          </w14:textFill>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20D93732">
      <w:pPr>
        <w:adjustRightInd w:val="0"/>
        <w:snapToGrid w:val="0"/>
        <w:spacing w:line="400" w:lineRule="exact"/>
        <w:ind w:firstLine="480" w:firstLineChars="200"/>
        <w:jc w:val="left"/>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8272F30">
      <w:pPr>
        <w:tabs>
          <w:tab w:val="left" w:pos="570"/>
          <w:tab w:val="left" w:pos="9240"/>
          <w:tab w:val="left" w:pos="9555"/>
          <w:tab w:val="clear" w:pos="480"/>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r>
        <w:rPr>
          <w:rFonts w:hint="eastAsia" w:ascii="仿宋" w:hAnsi="仿宋" w:eastAsia="仿宋" w:cs="仿宋"/>
          <w:sz w:val="24"/>
          <w:szCs w:val="24"/>
        </w:rPr>
        <w:t>“联合体”系指由两个以上的自然人、法人或者非法人组织组成，以一个供应商的身份共同参加政府采购的主体</w:t>
      </w:r>
      <w:r>
        <w:rPr>
          <w:rFonts w:hint="eastAsia" w:ascii="仿宋" w:hAnsi="仿宋" w:eastAsia="仿宋" w:cs="仿宋"/>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224A1CDB">
      <w:pPr>
        <w:tabs>
          <w:tab w:val="left" w:pos="570"/>
          <w:tab w:val="left" w:pos="9240"/>
          <w:tab w:val="left" w:pos="9555"/>
          <w:tab w:val="clear" w:pos="480"/>
        </w:tabs>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（7）其他术语解释，见【</w:t>
      </w:r>
      <w:r>
        <w:rPr>
          <w:rFonts w:hint="eastAsia" w:ascii="仿宋" w:hAnsi="仿宋" w:eastAsia="仿宋" w:cs="仿宋"/>
          <w:b/>
          <w:bCs/>
          <w:color w:val="000000" w:themeColor="text1"/>
          <w:sz w:val="24"/>
          <w:szCs w:val="24"/>
          <w14:textFill>
            <w14:solidFill>
              <w14:schemeClr w14:val="tx1"/>
            </w14:solidFill>
          </w14:textFill>
        </w:rPr>
        <w:t>政府采购合同专用条款</w:t>
      </w:r>
      <w:r>
        <w:rPr>
          <w:rFonts w:hint="eastAsia" w:ascii="仿宋" w:hAnsi="仿宋" w:eastAsia="仿宋" w:cs="仿宋"/>
          <w:color w:val="000000" w:themeColor="text1"/>
          <w:sz w:val="24"/>
          <w:szCs w:val="24"/>
          <w14:textFill>
            <w14:solidFill>
              <w14:schemeClr w14:val="tx1"/>
            </w14:solidFill>
          </w14:textFill>
        </w:rPr>
        <w:t>】。</w:t>
      </w:r>
    </w:p>
    <w:p w14:paraId="1041BDED">
      <w:pPr>
        <w:numPr>
          <w:ilvl w:val="0"/>
          <w:numId w:val="5"/>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合同标的及金额</w:t>
      </w:r>
    </w:p>
    <w:p w14:paraId="451FE1B3">
      <w:pPr>
        <w:autoSpaceDE w:val="0"/>
        <w:autoSpaceDN w:val="0"/>
        <w:adjustRightInd w:val="0"/>
        <w:snapToGrid w:val="0"/>
        <w:spacing w:line="400" w:lineRule="exact"/>
        <w:ind w:firstLine="480" w:firstLineChars="200"/>
        <w:jc w:val="left"/>
        <w:rPr>
          <w:rFonts w:hint="eastAsia" w:ascii="仿宋" w:hAnsi="仿宋" w:eastAsia="仿宋" w:cs="仿宋"/>
          <w:b/>
          <w:bCs/>
          <w:i/>
          <w:i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合同标的及金额应与中标（成交）结果一致。乙方为履行本合同而发生的所有费用均应包含在合同价款中，甲方不再另行支付其他任何费用。</w:t>
      </w:r>
    </w:p>
    <w:p w14:paraId="73225722">
      <w:pPr>
        <w:adjustRightInd w:val="0"/>
        <w:snapToGrid w:val="0"/>
        <w:spacing w:line="400" w:lineRule="exact"/>
        <w:jc w:val="left"/>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3. 履行合同的时间、地点和方式</w:t>
      </w:r>
    </w:p>
    <w:p w14:paraId="07759BA8">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3.1 </w:t>
      </w:r>
      <w:r>
        <w:rPr>
          <w:rFonts w:hint="eastAsia" w:ascii="仿宋" w:hAnsi="仿宋" w:eastAsia="仿宋" w:cs="仿宋"/>
          <w:sz w:val="24"/>
          <w:szCs w:val="24"/>
        </w:rPr>
        <w:t>乙方应当在约定的时间、地点，按照约定方式履行合同。</w:t>
      </w:r>
    </w:p>
    <w:p w14:paraId="45E12983">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 甲方的权利和义务</w:t>
      </w:r>
    </w:p>
    <w:p w14:paraId="6A026A3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79B2BCB0">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58FDA8EB">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4.3甲方有权要求乙方对缺陷部分予以修复，并按合同约定享有货物保修及其他合同约定的权利。</w:t>
      </w:r>
    </w:p>
    <w:p w14:paraId="1646185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4.4 甲方应当按照合同约定及时对交付的货物进行验收，</w:t>
      </w:r>
      <w:r>
        <w:rPr>
          <w:rFonts w:hint="eastAsia" w:ascii="仿宋" w:hAnsi="仿宋" w:eastAsia="仿宋" w:cs="仿宋"/>
          <w:sz w:val="24"/>
          <w:szCs w:val="24"/>
        </w:rPr>
        <w:t>未</w:t>
      </w: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约定的期限内对乙方履约提出任何异议或者向乙方作出任何说明的，</w:t>
      </w:r>
      <w:r>
        <w:rPr>
          <w:rFonts w:hint="eastAsia" w:ascii="仿宋" w:hAnsi="仿宋" w:eastAsia="仿宋" w:cs="仿宋"/>
          <w:color w:val="000000" w:themeColor="text1"/>
          <w:sz w:val="24"/>
          <w:szCs w:val="24"/>
          <w14:textFill>
            <w14:solidFill>
              <w14:schemeClr w14:val="tx1"/>
            </w14:solidFill>
          </w14:textFill>
        </w:rPr>
        <w:t>视为验收通过。</w:t>
      </w:r>
    </w:p>
    <w:p w14:paraId="1A1F7FD8">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45783F96">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4.6国家法律法规规定及</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约定应由甲方承担的其他义务和责任。</w:t>
      </w:r>
    </w:p>
    <w:p w14:paraId="312C2739">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 乙方的权利和义务</w:t>
      </w:r>
    </w:p>
    <w:p w14:paraId="05E9855C">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5.1 签署合同后，乙方应确定项目负责人（或项目联系人），负责与本合同有关的事务。</w:t>
      </w:r>
    </w:p>
    <w:p w14:paraId="6AADD11E">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93C5CAB">
      <w:pPr>
        <w:pStyle w:val="5"/>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5.3乙方有权根据合同约定向甲方收取合同价款。</w:t>
      </w:r>
    </w:p>
    <w:p w14:paraId="0BBBCDC3">
      <w:pPr>
        <w:pStyle w:val="5"/>
        <w:spacing w:after="0" w:line="400" w:lineRule="exact"/>
        <w:ind w:firstLine="422" w:firstLineChars="1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5.4国家法律法规规定及</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约定应</w:t>
      </w:r>
      <w:r>
        <w:rPr>
          <w:rFonts w:hint="eastAsia" w:ascii="仿宋" w:hAnsi="仿宋" w:eastAsia="仿宋" w:cs="仿宋"/>
          <w:color w:val="000000" w:themeColor="text1"/>
          <w:sz w:val="24"/>
          <w:szCs w:val="24"/>
          <w14:textFill>
            <w14:solidFill>
              <w14:schemeClr w14:val="tx1"/>
            </w14:solidFill>
          </w14:textFill>
        </w:rPr>
        <w:t>由乙方承担的其他义务和责任。</w:t>
      </w:r>
    </w:p>
    <w:p w14:paraId="3ED169D0">
      <w:pPr>
        <w:numPr>
          <w:ilvl w:val="0"/>
          <w:numId w:val="6"/>
        </w:num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合同履行</w:t>
      </w:r>
    </w:p>
    <w:p w14:paraId="02D51E58">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 甲乙双方应当按照</w:t>
      </w:r>
      <w:r>
        <w:rPr>
          <w:rFonts w:hint="eastAsia" w:ascii="仿宋" w:hAnsi="仿宋" w:eastAsia="仿宋" w:cs="仿宋"/>
          <w:b/>
          <w:bCs/>
          <w:sz w:val="24"/>
          <w:szCs w:val="24"/>
        </w:rPr>
        <w:t>【政府采购合同专用条款】</w:t>
      </w:r>
      <w:r>
        <w:rPr>
          <w:rFonts w:hint="eastAsia" w:ascii="仿宋" w:hAnsi="仿宋" w:eastAsia="仿宋" w:cs="仿宋"/>
          <w:color w:val="000000" w:themeColor="text1"/>
          <w:sz w:val="24"/>
          <w:szCs w:val="24"/>
          <w14:textFill>
            <w14:solidFill>
              <w14:schemeClr w14:val="tx1"/>
            </w14:solidFill>
          </w14:textFill>
        </w:rPr>
        <w:t>约定顺序履行合同义务；如果没有先后顺序的，应当同时履行。</w:t>
      </w:r>
    </w:p>
    <w:p w14:paraId="44F9B7E9">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B114A5A">
      <w:pPr>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7. 货物包装、运输、保险和交付要求</w:t>
      </w:r>
    </w:p>
    <w:p w14:paraId="215E2DF9">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7.1 本合同</w:t>
      </w:r>
      <w:r>
        <w:rPr>
          <w:rFonts w:hint="eastAsia" w:ascii="仿宋" w:hAnsi="仿宋" w:eastAsia="仿宋" w:cs="仿宋"/>
          <w:bCs/>
          <w:color w:val="000000" w:themeColor="text1"/>
          <w:sz w:val="24"/>
          <w:szCs w:val="24"/>
          <w14:textFill>
            <w14:solidFill>
              <w14:schemeClr w14:val="tx1"/>
            </w14:solidFill>
          </w14:textFill>
        </w:rPr>
        <w:t>涉及商品包装、快递包装的，</w:t>
      </w:r>
      <w:r>
        <w:rPr>
          <w:rFonts w:hint="eastAsia" w:ascii="仿宋" w:hAnsi="仿宋" w:eastAsia="仿宋" w:cs="仿宋"/>
          <w:color w:val="000000" w:themeColor="text1"/>
          <w:sz w:val="24"/>
          <w:szCs w:val="24"/>
          <w14:textFill>
            <w14:solidFill>
              <w14:schemeClr w14:val="tx1"/>
            </w14:solidFill>
          </w14:textFill>
        </w:rPr>
        <w:t>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约定的</w:t>
      </w:r>
      <w:r>
        <w:rPr>
          <w:rFonts w:hint="eastAsia" w:ascii="仿宋" w:hAnsi="仿宋" w:eastAsia="仿宋" w:cs="仿宋"/>
          <w:color w:val="000000" w:themeColor="text1"/>
          <w:sz w:val="24"/>
          <w:szCs w:val="24"/>
          <w14:textFill>
            <w14:solidFill>
              <w14:schemeClr w14:val="tx1"/>
            </w14:solidFill>
          </w14:textFill>
        </w:rPr>
        <w:t>指定现场。</w:t>
      </w:r>
    </w:p>
    <w:p w14:paraId="351663AD">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 除</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另有约定外，</w:t>
      </w:r>
      <w:r>
        <w:rPr>
          <w:rFonts w:hint="eastAsia" w:ascii="仿宋" w:hAnsi="仿宋" w:eastAsia="仿宋" w:cs="仿宋"/>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36FAC2DC">
      <w:pPr>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7.3 货物保险要求按</w:t>
      </w:r>
      <w:r>
        <w:rPr>
          <w:rFonts w:hint="eastAsia" w:ascii="仿宋" w:hAnsi="仿宋" w:eastAsia="仿宋" w:cs="仿宋"/>
          <w:b/>
          <w:color w:val="000000" w:themeColor="text1"/>
          <w:sz w:val="24"/>
          <w:szCs w:val="24"/>
          <w14:textFill>
            <w14:solidFill>
              <w14:schemeClr w14:val="tx1"/>
            </w14:solidFill>
          </w14:textFill>
        </w:rPr>
        <w:t>【政府采购合同专用条款】</w:t>
      </w:r>
      <w:r>
        <w:rPr>
          <w:rFonts w:hint="eastAsia" w:ascii="仿宋" w:hAnsi="仿宋" w:eastAsia="仿宋" w:cs="仿宋"/>
          <w:bCs/>
          <w:color w:val="000000" w:themeColor="text1"/>
          <w:sz w:val="24"/>
          <w:szCs w:val="24"/>
          <w14:textFill>
            <w14:solidFill>
              <w14:schemeClr w14:val="tx1"/>
            </w14:solidFill>
          </w14:textFill>
        </w:rPr>
        <w:t>规定执行</w:t>
      </w:r>
      <w:r>
        <w:rPr>
          <w:rFonts w:hint="eastAsia" w:ascii="仿宋" w:hAnsi="仿宋" w:eastAsia="仿宋" w:cs="仿宋"/>
          <w:color w:val="000000" w:themeColor="text1"/>
          <w:sz w:val="24"/>
          <w:szCs w:val="24"/>
          <w14:textFill>
            <w14:solidFill>
              <w14:schemeClr w14:val="tx1"/>
            </w14:solidFill>
          </w14:textFill>
        </w:rPr>
        <w:t>。</w:t>
      </w:r>
    </w:p>
    <w:p w14:paraId="4D1231AF">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E08F684">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7.5 </w:t>
      </w:r>
      <w:r>
        <w:rPr>
          <w:rFonts w:hint="eastAsia" w:ascii="仿宋" w:hAnsi="仿宋" w:eastAsia="仿宋" w:cs="仿宋"/>
          <w:color w:val="000000"/>
          <w:sz w:val="24"/>
          <w:szCs w:val="24"/>
        </w:rPr>
        <w:t>乙方在运输到达之前应提前通知甲方，并提示货物运输装卸的注意事项，甲方配合乙方做好货物的接收工作。</w:t>
      </w:r>
    </w:p>
    <w:p w14:paraId="48E60E07">
      <w:pPr>
        <w:pStyle w:val="28"/>
        <w:ind w:firstLine="420"/>
        <w:rPr>
          <w:rFonts w:hint="eastAsia" w:ascii="仿宋" w:hAnsi="仿宋" w:eastAsia="仿宋" w:cs="仿宋"/>
          <w:sz w:val="24"/>
          <w:szCs w:val="24"/>
        </w:rPr>
      </w:pPr>
      <w:r>
        <w:rPr>
          <w:rFonts w:hint="eastAsia" w:ascii="仿宋" w:hAnsi="仿宋" w:eastAsia="仿宋" w:cs="仿宋"/>
          <w:color w:val="000000" w:themeColor="text1"/>
          <w:kern w:val="2"/>
          <w:sz w:val="24"/>
          <w:szCs w:val="24"/>
          <w14:textFill>
            <w14:solidFill>
              <w14:schemeClr w14:val="tx1"/>
            </w14:solidFill>
          </w14:textFill>
        </w:rPr>
        <w:t xml:space="preserve">7.6 </w:t>
      </w:r>
      <w:r>
        <w:rPr>
          <w:rFonts w:hint="eastAsia" w:ascii="仿宋" w:hAnsi="仿宋" w:eastAsia="仿宋" w:cs="仿宋"/>
          <w:color w:val="000000"/>
          <w:kern w:val="2"/>
          <w:sz w:val="24"/>
          <w:szCs w:val="24"/>
        </w:rPr>
        <w:t>如因包装、运输问题导致货物</w:t>
      </w:r>
      <w:r>
        <w:rPr>
          <w:rFonts w:hint="eastAsia" w:ascii="仿宋" w:hAnsi="仿宋" w:eastAsia="仿宋" w:cs="仿宋"/>
          <w:color w:val="000000" w:themeColor="text1"/>
          <w:kern w:val="2"/>
          <w:sz w:val="24"/>
          <w:szCs w:val="24"/>
          <w14:textFill>
            <w14:solidFill>
              <w14:schemeClr w14:val="tx1"/>
            </w14:solidFill>
          </w14:textFill>
        </w:rPr>
        <w:t>损毁、丢失</w:t>
      </w:r>
      <w:r>
        <w:rPr>
          <w:rFonts w:hint="eastAsia" w:ascii="仿宋" w:hAnsi="仿宋" w:eastAsia="仿宋" w:cs="仿宋"/>
          <w:color w:val="000000"/>
          <w:kern w:val="2"/>
          <w:sz w:val="24"/>
          <w:szCs w:val="24"/>
        </w:rPr>
        <w:t>或者品质下降，甲方有权要求降价、换货、拒收部分或整批货物，由此产生的费用和损失，均由乙方承担。</w:t>
      </w:r>
    </w:p>
    <w:p w14:paraId="3CB507D9">
      <w:pPr>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color w:val="000000" w:themeColor="text1"/>
          <w:sz w:val="24"/>
          <w:szCs w:val="24"/>
          <w14:textFill>
            <w14:solidFill>
              <w14:schemeClr w14:val="tx1"/>
            </w14:solidFill>
          </w14:textFill>
        </w:rPr>
        <w:t xml:space="preserve">8. </w:t>
      </w:r>
      <w:r>
        <w:rPr>
          <w:rFonts w:hint="eastAsia" w:ascii="仿宋" w:hAnsi="仿宋" w:eastAsia="仿宋" w:cs="仿宋"/>
          <w:b/>
          <w:sz w:val="24"/>
          <w:szCs w:val="24"/>
        </w:rPr>
        <w:t>质量标准和保证</w:t>
      </w:r>
    </w:p>
    <w:p w14:paraId="07FAD97E">
      <w:pPr>
        <w:pStyle w:val="8"/>
        <w:adjustRightInd w:val="0"/>
        <w:snapToGrid w:val="0"/>
        <w:spacing w:line="400" w:lineRule="exact"/>
        <w:ind w:firstLine="480" w:firstLineChars="200"/>
        <w:jc w:val="left"/>
        <w:rPr>
          <w:rFonts w:hint="eastAsia" w:ascii="仿宋" w:hAnsi="仿宋" w:eastAsia="仿宋" w:cs="仿宋"/>
          <w:b/>
          <w:sz w:val="24"/>
          <w:szCs w:val="24"/>
        </w:rPr>
      </w:pPr>
      <w:r>
        <w:rPr>
          <w:rFonts w:hint="eastAsia" w:ascii="仿宋" w:hAnsi="仿宋" w:eastAsia="仿宋" w:cs="仿宋"/>
          <w:sz w:val="24"/>
          <w:szCs w:val="24"/>
        </w:rPr>
        <w:t>8.1 质量标准</w:t>
      </w:r>
    </w:p>
    <w:p w14:paraId="3D76591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（1）本合同下提供的货物应符合合同</w:t>
      </w:r>
      <w:r>
        <w:rPr>
          <w:rFonts w:hint="eastAsia" w:ascii="仿宋" w:hAnsi="仿宋" w:eastAsia="仿宋" w:cs="仿宋"/>
          <w:color w:val="000000"/>
          <w:sz w:val="24"/>
          <w:szCs w:val="24"/>
        </w:rPr>
        <w:t>约定的</w:t>
      </w:r>
      <w:r>
        <w:rPr>
          <w:rFonts w:hint="eastAsia" w:ascii="仿宋" w:hAnsi="仿宋" w:eastAsia="仿宋" w:cs="仿宋"/>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044A88B">
      <w:pPr>
        <w:pStyle w:val="8"/>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（2）采用中华人民共和国法定计量单位。</w:t>
      </w:r>
    </w:p>
    <w:p w14:paraId="65028029">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（3）乙方所提供的货物应符合国家有关安全、环保、卫生的规定。</w:t>
      </w:r>
    </w:p>
    <w:p w14:paraId="2BFB906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（4）乙方应向甲方提交所提供货物的技术文件，包括相应的中文技术文件，如：产品目录、图纸、操作手册、使用说明、维护手册或服务指南等。上述文件应包装好随货物一同发运。</w:t>
      </w:r>
    </w:p>
    <w:p w14:paraId="6CE033D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 保证</w:t>
      </w:r>
    </w:p>
    <w:p w14:paraId="70315FD9">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规定或乙方书面承诺（两者以较长的为准）的质量保证期内，本保证保持有效。</w:t>
      </w:r>
    </w:p>
    <w:p w14:paraId="3136F03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（2）在质量保证期内所发现的缺陷，甲方应尽快以书面形式通知乙方。</w:t>
      </w:r>
    </w:p>
    <w:p w14:paraId="23A9FC2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（3）乙方收到通知后，应在</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规定的响应时间内以合理的速度免费维修或更换有缺陷的货物或部件。</w:t>
      </w:r>
    </w:p>
    <w:p w14:paraId="4B3AD794">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sz w:val="24"/>
          <w:szCs w:val="24"/>
        </w:rPr>
        <w:t>.1条规定以书面形式</w:t>
      </w:r>
      <w:r>
        <w:rPr>
          <w:rFonts w:hint="eastAsia" w:ascii="仿宋" w:hAnsi="仿宋" w:eastAsia="仿宋" w:cs="仿宋"/>
          <w:color w:val="000000" w:themeColor="text1"/>
          <w:sz w:val="24"/>
          <w:szCs w:val="24"/>
          <w14:textFill>
            <w14:solidFill>
              <w14:schemeClr w14:val="tx1"/>
            </w14:solidFill>
          </w14:textFill>
        </w:rPr>
        <w:t>追究</w:t>
      </w:r>
      <w:r>
        <w:rPr>
          <w:rFonts w:hint="eastAsia" w:ascii="仿宋" w:hAnsi="仿宋" w:eastAsia="仿宋" w:cs="仿宋"/>
          <w:sz w:val="24"/>
          <w:szCs w:val="24"/>
        </w:rPr>
        <w:t>乙方</w:t>
      </w:r>
      <w:r>
        <w:rPr>
          <w:rFonts w:hint="eastAsia" w:ascii="仿宋" w:hAnsi="仿宋" w:eastAsia="仿宋" w:cs="仿宋"/>
          <w:color w:val="000000" w:themeColor="text1"/>
          <w:sz w:val="24"/>
          <w:szCs w:val="24"/>
          <w14:textFill>
            <w14:solidFill>
              <w14:schemeClr w14:val="tx1"/>
            </w14:solidFill>
          </w14:textFill>
        </w:rPr>
        <w:t>的违约责任</w:t>
      </w:r>
      <w:r>
        <w:rPr>
          <w:rFonts w:hint="eastAsia" w:ascii="仿宋" w:hAnsi="仿宋" w:eastAsia="仿宋" w:cs="仿宋"/>
          <w:sz w:val="24"/>
          <w:szCs w:val="24"/>
        </w:rPr>
        <w:t>。</w:t>
      </w:r>
    </w:p>
    <w:p w14:paraId="2B6D3530">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（5）乙方在约定的时间内未能弥补缺陷，甲方可采取必要的补救措施，但其风险和费用将由乙方承担，甲方根据合同约定对乙方行使的其他权利不受影响。</w:t>
      </w:r>
    </w:p>
    <w:p w14:paraId="179E45E9">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color w:val="000000" w:themeColor="text1"/>
          <w:sz w:val="24"/>
          <w:szCs w:val="24"/>
          <w14:textFill>
            <w14:solidFill>
              <w14:schemeClr w14:val="tx1"/>
            </w14:solidFill>
          </w14:textFill>
        </w:rPr>
        <w:t>9</w:t>
      </w:r>
      <w:r>
        <w:rPr>
          <w:rFonts w:hint="eastAsia" w:ascii="仿宋" w:hAnsi="仿宋" w:eastAsia="仿宋" w:cs="仿宋"/>
          <w:b/>
          <w:bCs/>
          <w:sz w:val="24"/>
          <w:szCs w:val="24"/>
        </w:rPr>
        <w:t>.权利瑕疵担保</w:t>
      </w:r>
    </w:p>
    <w:p w14:paraId="2DECBC75">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9.1 乙方保证对其出售的货物享有合法的权利。</w:t>
      </w:r>
    </w:p>
    <w:p w14:paraId="6E06B2E9">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9.2 </w:t>
      </w:r>
      <w:r>
        <w:rPr>
          <w:rFonts w:hint="eastAsia" w:ascii="仿宋" w:hAnsi="仿宋" w:eastAsia="仿宋" w:cs="仿宋"/>
          <w:sz w:val="24"/>
          <w:szCs w:val="24"/>
        </w:rPr>
        <w:t>乙方保证在交付的货物上不存在抵押权等担保物权。</w:t>
      </w:r>
    </w:p>
    <w:p w14:paraId="120A8FC1">
      <w:pPr>
        <w:autoSpaceDE w:val="0"/>
        <w:autoSpaceDN w:val="0"/>
        <w:adjustRightInd w:val="0"/>
        <w:snapToGrid w:val="0"/>
        <w:spacing w:line="400" w:lineRule="exact"/>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9.3 如甲方使用上述货物构成对第三人侵权的，则由乙方承担全部责任。</w:t>
      </w:r>
    </w:p>
    <w:p w14:paraId="3A39A360">
      <w:pPr>
        <w:autoSpaceDE w:val="0"/>
        <w:autoSpaceDN w:val="0"/>
        <w:adjustRightInd w:val="0"/>
        <w:snapToGrid w:val="0"/>
        <w:spacing w:line="400" w:lineRule="exact"/>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10. 知识产权保护</w:t>
      </w:r>
    </w:p>
    <w:p w14:paraId="503D5F8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10.1 乙方对其所销售的货物应当享有知识产权或经权利人合法授权，保证没有侵犯任</w:t>
      </w:r>
      <w:r>
        <w:rPr>
          <w:rFonts w:hint="eastAsia" w:ascii="仿宋" w:hAnsi="仿宋" w:eastAsia="仿宋" w:cs="仿宋"/>
          <w:sz w:val="24"/>
          <w:szCs w:val="24"/>
        </w:rPr>
        <w:t>何第三人的知识产权等权利。</w:t>
      </w:r>
      <w:bookmarkStart w:id="7"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7"/>
      <w:r>
        <w:rPr>
          <w:rFonts w:hint="eastAsia" w:ascii="仿宋" w:hAnsi="仿宋" w:eastAsia="仿宋" w:cs="仿宋"/>
          <w:sz w:val="24"/>
          <w:szCs w:val="24"/>
        </w:rPr>
        <w:t>。</w:t>
      </w:r>
    </w:p>
    <w:p w14:paraId="5D87C7F1">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11. 保密义务</w:t>
      </w:r>
    </w:p>
    <w:p w14:paraId="3D0E3DF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666C2FA1">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12. 合同价款支付</w:t>
      </w:r>
    </w:p>
    <w:p w14:paraId="5F6C19D7">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12.1 合同价款支付按照国库集中支付制度及财政管理相关规定执行。</w:t>
      </w:r>
    </w:p>
    <w:p w14:paraId="51282B97">
      <w:pPr>
        <w:pStyle w:val="2"/>
        <w:spacing w:line="400" w:lineRule="exact"/>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sz w:val="24"/>
          <w:szCs w:val="24"/>
        </w:rPr>
        <w:t>政府采购合同专用条款</w:t>
      </w:r>
      <w:r>
        <w:rPr>
          <w:rFonts w:hint="eastAsia" w:ascii="仿宋" w:hAnsi="仿宋" w:eastAsia="仿宋" w:cs="仿宋"/>
          <w:b w:val="0"/>
          <w:bCs w:val="0"/>
          <w:sz w:val="24"/>
          <w:szCs w:val="24"/>
        </w:rPr>
        <w:t>】中约定。</w:t>
      </w:r>
    </w:p>
    <w:p w14:paraId="0D1D1B92">
      <w:pPr>
        <w:pStyle w:val="5"/>
        <w:spacing w:after="0" w:line="400" w:lineRule="exact"/>
        <w:rPr>
          <w:rFonts w:hint="eastAsia" w:ascii="仿宋" w:hAnsi="仿宋" w:eastAsia="仿宋" w:cs="仿宋"/>
          <w:b/>
          <w:bCs/>
          <w:sz w:val="24"/>
          <w:szCs w:val="24"/>
        </w:rPr>
      </w:pPr>
      <w:r>
        <w:rPr>
          <w:rFonts w:hint="eastAsia" w:ascii="仿宋" w:hAnsi="仿宋" w:eastAsia="仿宋" w:cs="仿宋"/>
          <w:b/>
          <w:bCs/>
          <w:sz w:val="24"/>
          <w:szCs w:val="24"/>
        </w:rPr>
        <w:t>13. 履约保证金</w:t>
      </w:r>
    </w:p>
    <w:p w14:paraId="30B7701B">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13.1 乙方应当以支票、汇票、本票或者金融机构、担保机构出具的保函等非现金形式提交。</w:t>
      </w:r>
    </w:p>
    <w:p w14:paraId="08547AE7">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13.2 如果乙方出现</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2BFBA126">
      <w:pPr>
        <w:spacing w:line="400" w:lineRule="exact"/>
        <w:ind w:firstLine="420"/>
        <w:rPr>
          <w:rFonts w:hint="eastAsia" w:ascii="仿宋" w:hAnsi="仿宋" w:eastAsia="仿宋" w:cs="仿宋"/>
          <w:sz w:val="24"/>
          <w:szCs w:val="24"/>
        </w:rPr>
      </w:pPr>
      <w:r>
        <w:rPr>
          <w:rFonts w:hint="eastAsia" w:ascii="仿宋" w:hAnsi="仿宋" w:eastAsia="仿宋" w:cs="仿宋"/>
          <w:sz w:val="24"/>
          <w:szCs w:val="24"/>
        </w:rPr>
        <w:t>13.3 甲方在项目通过验收后按照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规定的时间内将履约保证金退还乙方；逾期退还的，乙方可要求甲方支付违约金，违约金按照</w:t>
      </w:r>
      <w:r>
        <w:rPr>
          <w:rFonts w:hint="eastAsia" w:ascii="仿宋" w:hAnsi="仿宋" w:eastAsia="仿宋" w:cs="仿宋"/>
          <w:b/>
          <w:sz w:val="24"/>
          <w:szCs w:val="24"/>
        </w:rPr>
        <w:t>【政府采购合同专用条款】</w:t>
      </w:r>
      <w:r>
        <w:rPr>
          <w:rFonts w:hint="eastAsia" w:ascii="仿宋" w:hAnsi="仿宋" w:eastAsia="仿宋" w:cs="仿宋"/>
          <w:sz w:val="24"/>
          <w:szCs w:val="24"/>
        </w:rPr>
        <w:t>规定支付。</w:t>
      </w:r>
    </w:p>
    <w:p w14:paraId="6F61EF3E">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bCs/>
          <w:sz w:val="24"/>
          <w:szCs w:val="24"/>
        </w:rPr>
        <w:t xml:space="preserve">14. </w:t>
      </w:r>
      <w:r>
        <w:rPr>
          <w:rFonts w:hint="eastAsia" w:ascii="仿宋" w:hAnsi="仿宋" w:eastAsia="仿宋" w:cs="仿宋"/>
          <w:b/>
          <w:sz w:val="24"/>
          <w:szCs w:val="24"/>
        </w:rPr>
        <w:t>售后服务</w:t>
      </w:r>
    </w:p>
    <w:p w14:paraId="1B23FF7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14.1 除项目不涉及或采购活动中明确约定无须承担外，乙方还应提供下列服务：</w:t>
      </w:r>
    </w:p>
    <w:p w14:paraId="4F0BEE9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（1）货物的现场移动、安装、调试、启动监督及技术支持；</w:t>
      </w:r>
    </w:p>
    <w:p w14:paraId="17CBF9F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（2）提供货物组装和维修所需的专用工具和辅助材料；</w:t>
      </w:r>
    </w:p>
    <w:p w14:paraId="0740F836">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（3）在</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约定的期限内对所有的货物实施运行监督、维修，但前提条件是该服务并不能免除乙方在质量保证期内所承担的义务；</w:t>
      </w:r>
    </w:p>
    <w:p w14:paraId="627ED8AD">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（4）在制造商所在地或指定现场就货物的安装、启动、运营、维护、废弃处置等对甲方操作人员进行培训；</w:t>
      </w:r>
    </w:p>
    <w:p w14:paraId="374B535E">
      <w:pPr>
        <w:pStyle w:val="28"/>
        <w:ind w:firstLine="420"/>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5FCA13E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b/>
          <w:sz w:val="24"/>
          <w:szCs w:val="24"/>
        </w:rPr>
        <w:t>【政府采购合同专用条款】</w:t>
      </w:r>
      <w:r>
        <w:rPr>
          <w:rFonts w:hint="eastAsia" w:ascii="仿宋" w:hAnsi="仿宋" w:eastAsia="仿宋" w:cs="仿宋"/>
          <w:sz w:val="24"/>
          <w:szCs w:val="24"/>
        </w:rPr>
        <w:t>规定由乙方提供的其他服务。</w:t>
      </w:r>
    </w:p>
    <w:p w14:paraId="666ADEE2">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14.2 乙方提供的售后服务的费用已包含在合同价款中，甲方不再另行支付。</w:t>
      </w:r>
    </w:p>
    <w:p w14:paraId="2CF56D01">
      <w:p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15. 违约责任</w:t>
      </w:r>
    </w:p>
    <w:p w14:paraId="5E637E3A">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15.1质量瑕疵的违约责任</w:t>
      </w:r>
    </w:p>
    <w:p w14:paraId="29EE601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乙方提供的产品不符合合同约定的质量标准或存在产品质量缺陷，甲方有权要求乙方根据</w:t>
      </w:r>
      <w:r>
        <w:rPr>
          <w:rFonts w:hint="eastAsia" w:ascii="仿宋" w:hAnsi="仿宋" w:eastAsia="仿宋" w:cs="仿宋"/>
          <w:b/>
          <w:sz w:val="24"/>
          <w:szCs w:val="24"/>
        </w:rPr>
        <w:t>【政府采购合同专用条款】</w:t>
      </w:r>
      <w:r>
        <w:rPr>
          <w:rFonts w:hint="eastAsia" w:ascii="仿宋" w:hAnsi="仿宋" w:eastAsia="仿宋" w:cs="仿宋"/>
          <w:bCs/>
          <w:sz w:val="24"/>
          <w:szCs w:val="24"/>
        </w:rPr>
        <w:t>要求</w:t>
      </w:r>
      <w:r>
        <w:rPr>
          <w:rFonts w:hint="eastAsia" w:ascii="仿宋" w:hAnsi="仿宋" w:eastAsia="仿宋" w:cs="仿宋"/>
          <w:sz w:val="24"/>
          <w:szCs w:val="24"/>
        </w:rPr>
        <w:t>及时修理、重作、更换，并承担由此给甲方造成的损失。</w:t>
      </w:r>
    </w:p>
    <w:p w14:paraId="38EA5210">
      <w:pPr>
        <w:autoSpaceDE w:val="0"/>
        <w:autoSpaceDN w:val="0"/>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15.2 迟延交货的违约责任</w:t>
      </w:r>
    </w:p>
    <w:p w14:paraId="105B10A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099715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（2）如果乙方没有按照合同规定的时间交货和提供相关服务，甲方有权从货款中扣除误期赔偿费而不影响合同项下的其他补救方法，赔偿费按</w:t>
      </w:r>
      <w:r>
        <w:rPr>
          <w:rFonts w:hint="eastAsia" w:ascii="仿宋" w:hAnsi="仿宋" w:eastAsia="仿宋" w:cs="仿宋"/>
          <w:b/>
          <w:sz w:val="24"/>
          <w:szCs w:val="24"/>
        </w:rPr>
        <w:t>【政府采购合同专用条款】</w:t>
      </w:r>
      <w:r>
        <w:rPr>
          <w:rFonts w:hint="eastAsia" w:ascii="仿宋" w:hAnsi="仿宋" w:eastAsia="仿宋" w:cs="仿宋"/>
          <w:sz w:val="24"/>
          <w:szCs w:val="24"/>
        </w:rPr>
        <w:t>规定执行。如果涉及公共利益，且赔偿金额无法弥补公共利益损失，甲方可要求继续履行或者采取其他补救措施。</w:t>
      </w:r>
    </w:p>
    <w:p w14:paraId="699CE3D3">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15.3 迟延支付的违约责任</w:t>
      </w:r>
    </w:p>
    <w:p w14:paraId="42DD06B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甲方存在迟延支付乙方合同款项的，应当承担</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规定的逾期付款利息。</w:t>
      </w:r>
    </w:p>
    <w:p w14:paraId="34579E5B">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bCs/>
          <w:sz w:val="24"/>
          <w:szCs w:val="24"/>
        </w:rPr>
        <w:t>15.4其他违约责任根据项目实际需要按</w:t>
      </w:r>
      <w:r>
        <w:rPr>
          <w:rFonts w:hint="eastAsia" w:ascii="仿宋" w:hAnsi="仿宋" w:eastAsia="仿宋" w:cs="仿宋"/>
          <w:b/>
          <w:bCs/>
          <w:sz w:val="24"/>
          <w:szCs w:val="24"/>
        </w:rPr>
        <w:t>【政府采购合同专用条款】</w:t>
      </w:r>
      <w:r>
        <w:rPr>
          <w:rFonts w:hint="eastAsia" w:ascii="仿宋" w:hAnsi="仿宋" w:eastAsia="仿宋" w:cs="仿宋"/>
          <w:sz w:val="24"/>
          <w:szCs w:val="24"/>
        </w:rPr>
        <w:t>规定执行。</w:t>
      </w:r>
    </w:p>
    <w:p w14:paraId="2062D6E9">
      <w:pPr>
        <w:numPr>
          <w:ilvl w:val="0"/>
          <w:numId w:val="7"/>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合同变更、中止与终止</w:t>
      </w:r>
    </w:p>
    <w:p w14:paraId="0ADB77EC">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sz w:val="24"/>
          <w:szCs w:val="24"/>
        </w:rPr>
        <w:t xml:space="preserve">    16.1合同的变更</w:t>
      </w:r>
    </w:p>
    <w:p w14:paraId="209452F5">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政府采购合同履行中，在不改变合同其他条款的前提下，甲方可以在合同价款10%的范围内追加与合同标的相同的货物，并就此与乙方协商一致后签订补充协议。</w:t>
      </w:r>
    </w:p>
    <w:p w14:paraId="753F39A6">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16.2合同的中止</w:t>
      </w:r>
    </w:p>
    <w:p w14:paraId="15937B6F">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（1）合同履行过程中因供应商就采购文件、采购过程或结果提起投诉的，甲方认为有必要的，可以中止合同的履行。</w:t>
      </w:r>
    </w:p>
    <w:p w14:paraId="55F31AFA">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A5ED7DD">
      <w:pPr>
        <w:pStyle w:val="28"/>
        <w:ind w:firstLine="420"/>
        <w:jc w:val="both"/>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（3）乙方分立、合并或者变更住所的，应当及时以书面形式告知甲方。乙方没有及时告知甲方，致使合同履行发生困难的，甲方可以中止合同履行并要求乙方承担由此给甲方造成的损失。</w:t>
      </w:r>
    </w:p>
    <w:p w14:paraId="538C1A77">
      <w:pPr>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（4）甲方不得以行政区划调整、政府换届、机构或者职能调整以及相关责任人更替为由中止合同。</w:t>
      </w:r>
    </w:p>
    <w:p w14:paraId="40E037A0">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16.3合同的终止</w:t>
      </w:r>
    </w:p>
    <w:p w14:paraId="74C2BA4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（1）合同因有效期限届满而终止；</w:t>
      </w:r>
    </w:p>
    <w:p w14:paraId="6D714F18">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（2）乙方未按合同约定履行，构成根本性违约的，甲方有权终止合同，并追究乙方的违约责任。</w:t>
      </w:r>
    </w:p>
    <w:p w14:paraId="2EF43E23">
      <w:pPr>
        <w:pStyle w:val="28"/>
        <w:rPr>
          <w:rFonts w:hint="eastAsia" w:ascii="仿宋" w:hAnsi="仿宋" w:eastAsia="仿宋" w:cs="仿宋"/>
          <w:sz w:val="24"/>
          <w:szCs w:val="24"/>
        </w:rPr>
      </w:pPr>
      <w:r>
        <w:rPr>
          <w:rFonts w:hint="eastAsia" w:ascii="仿宋" w:hAnsi="仿宋" w:eastAsia="仿宋" w:cs="仿宋"/>
          <w:sz w:val="24"/>
          <w:szCs w:val="24"/>
        </w:rPr>
        <w:t xml:space="preserve">16.4 </w:t>
      </w:r>
      <w:r>
        <w:rPr>
          <w:rFonts w:hint="eastAsia" w:ascii="仿宋" w:hAnsi="仿宋" w:eastAsia="仿宋" w:cs="仿宋"/>
          <w:kern w:val="2"/>
          <w:sz w:val="24"/>
          <w:szCs w:val="24"/>
        </w:rPr>
        <w:t>涉及国家利益、社会公共利益的情形</w:t>
      </w:r>
    </w:p>
    <w:p w14:paraId="6B008646">
      <w:pPr>
        <w:pStyle w:val="28"/>
        <w:ind w:firstLine="420"/>
        <w:jc w:val="both"/>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政府采购合同继续履行将损害国家利益和社会公共利益的，双方当事人应当变更、中止或者终止合同。有过错的一方应当承担赔偿责任，双方都有过错的，各自承担相应的责任。</w:t>
      </w:r>
    </w:p>
    <w:p w14:paraId="0E2C292A">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17. 合同分包</w:t>
      </w:r>
    </w:p>
    <w:p w14:paraId="4F33DBF1">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17.1 乙方不得将合同转包给其他供应商。涉及合同分包的，乙方应根据采购文件和投标（响应）文件规定进行合同分包。</w:t>
      </w:r>
    </w:p>
    <w:p w14:paraId="1389826C">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17.2 乙方执行政府采购政策向中小企业依法分包的，乙方应当按采购文件和投标（响应）文件签订分包意向协议，分包意向协议属于本合同组成部分。</w:t>
      </w:r>
    </w:p>
    <w:p w14:paraId="1D5D22DB">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18. 不可抗力</w:t>
      </w:r>
    </w:p>
    <w:p w14:paraId="190EF930">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18.1 不可抗力是指合同双方不能预见、不能避免且不能克服的客观情况。</w:t>
      </w:r>
    </w:p>
    <w:p w14:paraId="6E7A60CE">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18.2 任何一方对由于不可抗力造成的部分或全部不能履行合同不承担违约责任。但迟延履行后发生不可抗力的，不能免除责任。</w:t>
      </w:r>
    </w:p>
    <w:p w14:paraId="67E0ABC8">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12AF5B1">
      <w:pPr>
        <w:autoSpaceDE w:val="0"/>
        <w:autoSpaceDN w:val="0"/>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19. 解决争议的方法</w:t>
      </w:r>
    </w:p>
    <w:p w14:paraId="58205F91">
      <w:pPr>
        <w:pStyle w:val="28"/>
        <w:ind w:firstLine="420"/>
        <w:jc w:val="both"/>
        <w:rPr>
          <w:rFonts w:hint="eastAsia" w:ascii="仿宋" w:hAnsi="仿宋" w:eastAsia="仿宋" w:cs="仿宋"/>
          <w:sz w:val="24"/>
          <w:szCs w:val="24"/>
        </w:rPr>
      </w:pPr>
      <w:r>
        <w:rPr>
          <w:rFonts w:hint="eastAsia" w:ascii="仿宋" w:hAnsi="仿宋" w:eastAsia="仿宋" w:cs="仿宋"/>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CFF1677">
      <w:pPr>
        <w:pStyle w:val="28"/>
        <w:ind w:firstLine="420"/>
        <w:jc w:val="both"/>
        <w:rPr>
          <w:rFonts w:hint="eastAsia" w:ascii="仿宋" w:hAnsi="仿宋" w:eastAsia="仿宋" w:cs="仿宋"/>
          <w:sz w:val="24"/>
          <w:szCs w:val="24"/>
        </w:rPr>
      </w:pPr>
      <w:r>
        <w:rPr>
          <w:rFonts w:hint="eastAsia" w:ascii="仿宋" w:hAnsi="仿宋" w:eastAsia="仿宋" w:cs="仿宋"/>
          <w:sz w:val="24"/>
          <w:szCs w:val="24"/>
        </w:rPr>
        <w:t>19.2 选择仲裁的，应在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110DB670">
      <w:pPr>
        <w:pStyle w:val="28"/>
        <w:ind w:firstLine="420"/>
        <w:jc w:val="both"/>
        <w:rPr>
          <w:rFonts w:hint="eastAsia" w:ascii="仿宋" w:hAnsi="仿宋" w:eastAsia="仿宋" w:cs="仿宋"/>
          <w:sz w:val="24"/>
          <w:szCs w:val="24"/>
        </w:rPr>
      </w:pPr>
      <w:r>
        <w:rPr>
          <w:rFonts w:hint="eastAsia" w:ascii="仿宋" w:hAnsi="仿宋" w:eastAsia="仿宋" w:cs="仿宋"/>
          <w:sz w:val="24"/>
          <w:szCs w:val="24"/>
        </w:rPr>
        <w:t>19.3 如甲乙双方有争议的事项不影响合同其他部分的履行，在争议解决期间，合同其他部分应当继续履行。</w:t>
      </w:r>
    </w:p>
    <w:p w14:paraId="561CAD0B">
      <w:pPr>
        <w:autoSpaceDE w:val="0"/>
        <w:autoSpaceDN w:val="0"/>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
          <w:sz w:val="24"/>
          <w:szCs w:val="24"/>
        </w:rPr>
        <w:t>20. 政府采购政策</w:t>
      </w:r>
    </w:p>
    <w:p w14:paraId="25276E57">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20.1 </w:t>
      </w:r>
      <w:r>
        <w:rPr>
          <w:rFonts w:hint="eastAsia" w:ascii="仿宋" w:hAnsi="仿宋" w:eastAsia="仿宋" w:cs="仿宋"/>
          <w:sz w:val="24"/>
          <w:szCs w:val="24"/>
          <w:lang w:val="en-GB"/>
        </w:rPr>
        <w:t>本合同应当按照规定执行政府采购政策。</w:t>
      </w:r>
    </w:p>
    <w:p w14:paraId="74C0D64B">
      <w:pPr>
        <w:autoSpaceDE w:val="0"/>
        <w:autoSpaceDN w:val="0"/>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20.2 本合同依法执行政府采购政策的方式和内容，属于合同履约验收的范围。甲乙双方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sz w:val="24"/>
          <w:szCs w:val="24"/>
        </w:rPr>
        <w:t>，有过错的一方应当承担赔偿责任，双方都有过错的，各自承担相应的责任。</w:t>
      </w:r>
    </w:p>
    <w:p w14:paraId="24EA0185">
      <w:pPr>
        <w:pStyle w:val="5"/>
        <w:spacing w:after="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04911F9">
      <w:p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21. 法律适用</w:t>
      </w:r>
    </w:p>
    <w:p w14:paraId="4E43624F">
      <w:pPr>
        <w:pStyle w:val="28"/>
        <w:ind w:firstLine="420"/>
        <w:jc w:val="both"/>
        <w:rPr>
          <w:rFonts w:hint="eastAsia" w:ascii="仿宋" w:hAnsi="仿宋" w:eastAsia="仿宋" w:cs="仿宋"/>
          <w:sz w:val="24"/>
          <w:szCs w:val="24"/>
        </w:rPr>
      </w:pPr>
      <w:r>
        <w:rPr>
          <w:rFonts w:hint="eastAsia" w:ascii="仿宋" w:hAnsi="仿宋" w:eastAsia="仿宋" w:cs="仿宋"/>
          <w:sz w:val="24"/>
          <w:szCs w:val="24"/>
        </w:rPr>
        <w:t>21.1 本合同的订立、生效、解释、履行及与本合同有关的争议解决，均适用法律、行政法规。</w:t>
      </w:r>
    </w:p>
    <w:p w14:paraId="0A1F5D46">
      <w:pPr>
        <w:pStyle w:val="28"/>
        <w:ind w:firstLine="420"/>
        <w:jc w:val="both"/>
        <w:rPr>
          <w:rFonts w:hint="eastAsia" w:ascii="仿宋" w:hAnsi="仿宋" w:eastAsia="仿宋" w:cs="仿宋"/>
          <w:sz w:val="24"/>
          <w:szCs w:val="24"/>
        </w:rPr>
      </w:pPr>
      <w:r>
        <w:rPr>
          <w:rFonts w:hint="eastAsia" w:ascii="仿宋" w:hAnsi="仿宋" w:eastAsia="仿宋" w:cs="仿宋"/>
          <w:sz w:val="24"/>
          <w:szCs w:val="24"/>
        </w:rPr>
        <w:t>21.2 本合同条款与法律、行政法规的强制性规定不一致的，双方当事人应按照法律、行政法规的强制性规定修改本合同的相关条款。</w:t>
      </w:r>
    </w:p>
    <w:p w14:paraId="704A0178">
      <w:pPr>
        <w:numPr>
          <w:ilvl w:val="255"/>
          <w:numId w:val="0"/>
        </w:numPr>
        <w:autoSpaceDE w:val="0"/>
        <w:autoSpaceDN w:val="0"/>
        <w:adjustRightInd w:val="0"/>
        <w:snapToGrid w:val="0"/>
        <w:spacing w:line="400" w:lineRule="exact"/>
        <w:jc w:val="left"/>
        <w:rPr>
          <w:rFonts w:hint="eastAsia" w:ascii="仿宋" w:hAnsi="仿宋" w:eastAsia="仿宋" w:cs="仿宋"/>
          <w:b/>
          <w:sz w:val="24"/>
          <w:szCs w:val="24"/>
        </w:rPr>
      </w:pPr>
      <w:r>
        <w:rPr>
          <w:rFonts w:hint="eastAsia" w:ascii="仿宋" w:hAnsi="仿宋" w:eastAsia="仿宋" w:cs="仿宋"/>
          <w:b/>
          <w:sz w:val="24"/>
          <w:szCs w:val="24"/>
        </w:rPr>
        <w:t>22. 通知</w:t>
      </w:r>
    </w:p>
    <w:p w14:paraId="62275DE4">
      <w:pPr>
        <w:pStyle w:val="28"/>
        <w:ind w:firstLine="420"/>
        <w:jc w:val="both"/>
        <w:rPr>
          <w:rFonts w:hint="eastAsia" w:ascii="仿宋" w:hAnsi="仿宋" w:eastAsia="仿宋" w:cs="仿宋"/>
          <w:sz w:val="24"/>
          <w:szCs w:val="24"/>
        </w:rPr>
      </w:pPr>
      <w:r>
        <w:rPr>
          <w:rFonts w:hint="eastAsia" w:ascii="仿宋" w:hAnsi="仿宋" w:eastAsia="仿宋" w:cs="仿宋"/>
          <w:sz w:val="24"/>
          <w:szCs w:val="24"/>
        </w:rPr>
        <w:t>22.1 本合同任何一方向对方发出的通知、信件、数据电文等，应当发送至本合同第一部分《政府采购合同协议书》所约定的通讯地址、联系人、联系电话或电子邮箱。</w:t>
      </w:r>
    </w:p>
    <w:p w14:paraId="1B49D311">
      <w:pPr>
        <w:pStyle w:val="28"/>
        <w:ind w:firstLine="0" w:firstLineChars="0"/>
        <w:jc w:val="both"/>
        <w:rPr>
          <w:rFonts w:hint="eastAsia" w:ascii="仿宋" w:hAnsi="仿宋" w:eastAsia="仿宋" w:cs="仿宋"/>
          <w:sz w:val="24"/>
          <w:szCs w:val="24"/>
        </w:rPr>
      </w:pPr>
      <w:r>
        <w:rPr>
          <w:rFonts w:hint="eastAsia" w:ascii="仿宋" w:hAnsi="仿宋" w:eastAsia="仿宋" w:cs="仿宋"/>
          <w:sz w:val="24"/>
          <w:szCs w:val="24"/>
        </w:rPr>
        <w:t xml:space="preserve">    22.2 一方当事人变更名称、住所、联系人、联系电话或电子邮箱等信息的，应当在变更后3日内及时书面通知对方，对方实际收到变更通知前的送达仍为有效送达。</w:t>
      </w:r>
    </w:p>
    <w:p w14:paraId="7A32E17A">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22.3本合同一方给另一方的通知均应采用书面形式，传真或快递送到本合同中规定的对方的地址和办理签收手续。</w:t>
      </w:r>
    </w:p>
    <w:p w14:paraId="0D010F44">
      <w:pPr>
        <w:adjustRightInd w:val="0"/>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22.4通知以送达之日或通知书中规定的生效之日起生效，两者中以较迟之日为准。</w:t>
      </w:r>
    </w:p>
    <w:p w14:paraId="7CB3669C">
      <w:pPr>
        <w:numPr>
          <w:ilvl w:val="0"/>
          <w:numId w:val="8"/>
        </w:numPr>
        <w:adjustRightInd w:val="0"/>
        <w:snapToGrid w:val="0"/>
        <w:spacing w:line="400" w:lineRule="exact"/>
        <w:jc w:val="left"/>
        <w:rPr>
          <w:rFonts w:hint="eastAsia" w:ascii="仿宋" w:hAnsi="仿宋" w:eastAsia="仿宋" w:cs="仿宋"/>
          <w:b/>
          <w:bCs/>
          <w:sz w:val="24"/>
          <w:szCs w:val="24"/>
        </w:rPr>
      </w:pPr>
      <w:r>
        <w:rPr>
          <w:rFonts w:hint="eastAsia" w:ascii="仿宋" w:hAnsi="仿宋" w:eastAsia="仿宋" w:cs="仿宋"/>
          <w:b/>
          <w:bCs/>
          <w:sz w:val="24"/>
          <w:szCs w:val="24"/>
        </w:rPr>
        <w:t>合同未尽事项</w:t>
      </w:r>
    </w:p>
    <w:p w14:paraId="097476BF">
      <w:pPr>
        <w:adjustRightInd w:val="0"/>
        <w:snapToGrid w:val="0"/>
        <w:spacing w:line="400" w:lineRule="exact"/>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23.1合同未尽事项见</w:t>
      </w:r>
      <w:r>
        <w:rPr>
          <w:rFonts w:hint="eastAsia" w:ascii="仿宋" w:hAnsi="仿宋" w:eastAsia="仿宋" w:cs="仿宋"/>
          <w:b/>
          <w:sz w:val="24"/>
          <w:szCs w:val="24"/>
        </w:rPr>
        <w:t>【政府采购合同专用条款】</w:t>
      </w:r>
      <w:r>
        <w:rPr>
          <w:rFonts w:hint="eastAsia" w:ascii="仿宋" w:hAnsi="仿宋" w:eastAsia="仿宋" w:cs="仿宋"/>
          <w:bCs/>
          <w:sz w:val="24"/>
          <w:szCs w:val="24"/>
        </w:rPr>
        <w:t>。</w:t>
      </w:r>
    </w:p>
    <w:p w14:paraId="53FC2B77">
      <w:pPr>
        <w:adjustRightInd w:val="0"/>
        <w:snapToGrid w:val="0"/>
        <w:spacing w:line="400" w:lineRule="exact"/>
        <w:jc w:val="left"/>
        <w:rPr>
          <w:rFonts w:hint="eastAsia" w:ascii="仿宋" w:hAnsi="仿宋" w:eastAsia="仿宋" w:cs="仿宋"/>
          <w:sz w:val="24"/>
          <w:szCs w:val="24"/>
        </w:rPr>
      </w:pPr>
      <w:r>
        <w:rPr>
          <w:rFonts w:hint="eastAsia" w:ascii="仿宋" w:hAnsi="仿宋" w:eastAsia="仿宋" w:cs="仿宋"/>
          <w:bCs/>
          <w:sz w:val="24"/>
          <w:szCs w:val="24"/>
        </w:rPr>
        <w:t xml:space="preserve">    23.2 合同附件与合同正文具有同等的法律效力。</w:t>
      </w:r>
      <w:bookmarkStart w:id="8" w:name="_Toc20313"/>
    </w:p>
    <w:p w14:paraId="0C1C694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br w:type="page"/>
      </w:r>
    </w:p>
    <w:p w14:paraId="38FF4B44">
      <w:pPr>
        <w:pStyle w:val="2"/>
        <w:adjustRightInd w:val="0"/>
        <w:snapToGrid w:val="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第三节 政府采购合同专用条款</w:t>
      </w:r>
      <w:bookmarkEnd w:id="8"/>
    </w:p>
    <w:tbl>
      <w:tblPr>
        <w:tblStyle w:val="1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7CBC0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F7495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DC48B8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第1.2（6）项</w:t>
            </w:r>
          </w:p>
        </w:tc>
        <w:tc>
          <w:tcPr>
            <w:tcW w:w="1742" w:type="dxa"/>
            <w:vAlign w:val="center"/>
          </w:tcPr>
          <w:p w14:paraId="482AAC5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联合体具体要求</w:t>
            </w:r>
          </w:p>
        </w:tc>
        <w:tc>
          <w:tcPr>
            <w:tcW w:w="5170" w:type="dxa"/>
            <w:vAlign w:val="center"/>
          </w:tcPr>
          <w:p w14:paraId="282252B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不接受联合体</w:t>
            </w:r>
          </w:p>
        </w:tc>
      </w:tr>
      <w:tr w14:paraId="13BA33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E9455F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BB2E65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第1.2（7）项</w:t>
            </w:r>
          </w:p>
        </w:tc>
        <w:tc>
          <w:tcPr>
            <w:tcW w:w="1742" w:type="dxa"/>
            <w:vAlign w:val="center"/>
          </w:tcPr>
          <w:p w14:paraId="293C143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其他术语解释</w:t>
            </w:r>
          </w:p>
        </w:tc>
        <w:tc>
          <w:tcPr>
            <w:tcW w:w="5170" w:type="dxa"/>
            <w:vAlign w:val="center"/>
          </w:tcPr>
          <w:p w14:paraId="00DF5B3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w:t>
            </w:r>
          </w:p>
        </w:tc>
      </w:tr>
      <w:tr w14:paraId="59371A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65FB3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8641BB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第4.4款</w:t>
            </w:r>
          </w:p>
        </w:tc>
        <w:tc>
          <w:tcPr>
            <w:tcW w:w="1742" w:type="dxa"/>
            <w:vAlign w:val="center"/>
          </w:tcPr>
          <w:p w14:paraId="0388988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履约验收中甲方提出异议或作出说明的期限</w:t>
            </w:r>
          </w:p>
        </w:tc>
        <w:tc>
          <w:tcPr>
            <w:tcW w:w="5170" w:type="dxa"/>
            <w:vAlign w:val="center"/>
          </w:tcPr>
          <w:p w14:paraId="2A4FFA0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15个日历日</w:t>
            </w:r>
          </w:p>
        </w:tc>
      </w:tr>
      <w:tr w14:paraId="55E5FF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20C493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C62CBC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第4.6款</w:t>
            </w:r>
          </w:p>
        </w:tc>
        <w:tc>
          <w:tcPr>
            <w:tcW w:w="1742" w:type="dxa"/>
            <w:vAlign w:val="center"/>
          </w:tcPr>
          <w:p w14:paraId="152F8B1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约定甲方承担的其他义务和责任</w:t>
            </w:r>
          </w:p>
        </w:tc>
        <w:tc>
          <w:tcPr>
            <w:tcW w:w="5170" w:type="dxa"/>
            <w:vAlign w:val="center"/>
          </w:tcPr>
          <w:p w14:paraId="1F5A753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1、甲方可以在任何时候书面向乙方发出指令，在本合同的一般范围内变更下述一项或几项：</w:t>
            </w:r>
          </w:p>
          <w:p w14:paraId="6C502BE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（1）本合同项下提供的货物是专为甲方制造时，变更图纸、设计或规格；</w:t>
            </w:r>
          </w:p>
          <w:p w14:paraId="5AB1241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（2）运输或包装的方法；</w:t>
            </w:r>
          </w:p>
          <w:p w14:paraId="58C28B34">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（3）交货地点；</w:t>
            </w:r>
          </w:p>
          <w:p w14:paraId="3A63259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（4）乙方提供的服务。</w:t>
            </w:r>
          </w:p>
          <w:p w14:paraId="08A66B6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5BF80BB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3、合同修改，除了上述第一条的情况，不应对合同条款进行任何变更或修改，除非双方同意并签订书面的合同修改书。</w:t>
            </w:r>
          </w:p>
        </w:tc>
      </w:tr>
      <w:tr w14:paraId="48292F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8724F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2A30229">
            <w:pPr>
              <w:snapToGrid w:val="0"/>
              <w:jc w:val="center"/>
              <w:rPr>
                <w:rFonts w:hint="eastAsia" w:ascii="仿宋" w:hAnsi="仿宋" w:eastAsia="仿宋" w:cs="仿宋"/>
                <w:sz w:val="24"/>
                <w:szCs w:val="24"/>
              </w:rPr>
            </w:pPr>
            <w:r>
              <w:rPr>
                <w:rFonts w:hint="eastAsia" w:ascii="仿宋" w:hAnsi="仿宋" w:eastAsia="仿宋" w:cs="仿宋"/>
                <w:sz w:val="24"/>
                <w:szCs w:val="24"/>
              </w:rPr>
              <w:t>第5.4款</w:t>
            </w:r>
          </w:p>
        </w:tc>
        <w:tc>
          <w:tcPr>
            <w:tcW w:w="1742" w:type="dxa"/>
            <w:vAlign w:val="center"/>
          </w:tcPr>
          <w:p w14:paraId="6296A94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约定乙方承担的其他义务和责任</w:t>
            </w:r>
          </w:p>
        </w:tc>
        <w:tc>
          <w:tcPr>
            <w:tcW w:w="5170" w:type="dxa"/>
            <w:vAlign w:val="center"/>
          </w:tcPr>
          <w:p w14:paraId="07CDC21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1.乙方应承担合同履行期间人员人身及其他财产的安全责任。</w:t>
            </w:r>
          </w:p>
          <w:p w14:paraId="1130334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2.响应产品的生产（包括设计、制造、安装、改造、维修等）、投入使用的材料等均完全符合国家现行质量、安全、环保标准和要求。</w:t>
            </w:r>
          </w:p>
          <w:p w14:paraId="6C785EF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48E9B09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4.乙方需提供的货物、工程、服务等符合现行的国家、行业、地区、企业标准及要求，标准不一致的，以更为严格的为准，乙方对提供的货物、工程、服务等的质量、安全、环保等承担全部责任。</w:t>
            </w:r>
          </w:p>
        </w:tc>
      </w:tr>
      <w:tr w14:paraId="74F8B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FD2D8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1C7762C">
            <w:pPr>
              <w:snapToGrid w:val="0"/>
              <w:jc w:val="center"/>
              <w:rPr>
                <w:rFonts w:hint="eastAsia" w:ascii="仿宋" w:hAnsi="仿宋" w:eastAsia="仿宋" w:cs="仿宋"/>
                <w:sz w:val="24"/>
                <w:szCs w:val="24"/>
              </w:rPr>
            </w:pPr>
            <w:r>
              <w:rPr>
                <w:rFonts w:hint="eastAsia" w:ascii="仿宋" w:hAnsi="仿宋" w:eastAsia="仿宋" w:cs="仿宋"/>
                <w:sz w:val="24"/>
                <w:szCs w:val="24"/>
              </w:rPr>
              <w:t>第6.1款</w:t>
            </w:r>
          </w:p>
        </w:tc>
        <w:tc>
          <w:tcPr>
            <w:tcW w:w="1742" w:type="dxa"/>
            <w:vAlign w:val="center"/>
          </w:tcPr>
          <w:p w14:paraId="5C0D346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履行合同义务的顺序</w:t>
            </w:r>
          </w:p>
        </w:tc>
        <w:tc>
          <w:tcPr>
            <w:tcW w:w="5170" w:type="dxa"/>
            <w:vAlign w:val="center"/>
          </w:tcPr>
          <w:p w14:paraId="01A012A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乙方先履行送货义务，经终验合格15日内，甲方履行支付义务。</w:t>
            </w:r>
          </w:p>
        </w:tc>
      </w:tr>
      <w:tr w14:paraId="389768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40D70D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2AD7DF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第7.1款</w:t>
            </w:r>
          </w:p>
        </w:tc>
        <w:tc>
          <w:tcPr>
            <w:tcW w:w="1742" w:type="dxa"/>
            <w:vAlign w:val="center"/>
          </w:tcPr>
          <w:p w14:paraId="24C5E1C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包装特殊要求</w:t>
            </w:r>
          </w:p>
        </w:tc>
        <w:tc>
          <w:tcPr>
            <w:tcW w:w="5170" w:type="dxa"/>
            <w:vAlign w:val="center"/>
          </w:tcPr>
          <w:p w14:paraId="5FCEAE7A">
            <w:pPr>
              <w:rPr>
                <w:rFonts w:hint="eastAsia" w:ascii="仿宋" w:hAnsi="仿宋" w:eastAsia="仿宋" w:cs="仿宋"/>
                <w:sz w:val="24"/>
                <w:szCs w:val="24"/>
              </w:rPr>
            </w:pPr>
            <w:r>
              <w:rPr>
                <w:rFonts w:hint="eastAsia" w:ascii="仿宋" w:hAnsi="仿宋" w:eastAsia="仿宋" w:cs="仿宋"/>
                <w:sz w:val="24"/>
                <w:szCs w:val="24"/>
              </w:rPr>
              <w:t>1.乙方应提供货物运至合同规定的最终目的地所需要的包装，以防止货物在运转中损坏。这类包装应采取防漏、防晒、防腐蚀、防震动及防止其它损坏的必要保护措施。</w:t>
            </w:r>
          </w:p>
          <w:p w14:paraId="5673EEA7">
            <w:pPr>
              <w:rPr>
                <w:rFonts w:hint="eastAsia" w:ascii="仿宋" w:hAnsi="仿宋" w:eastAsia="仿宋" w:cs="仿宋"/>
                <w:sz w:val="24"/>
                <w:szCs w:val="24"/>
              </w:rPr>
            </w:pPr>
            <w:r>
              <w:rPr>
                <w:rFonts w:hint="eastAsia" w:ascii="仿宋" w:hAnsi="仿宋" w:eastAsia="仿宋" w:cs="仿宋"/>
                <w:sz w:val="24"/>
                <w:szCs w:val="24"/>
              </w:rPr>
              <w:t>2.乙方应承担由于其包装或其防护措施不妥而引起货物锈蚀、损坏和丢失的任何损失责任和费用。</w:t>
            </w:r>
          </w:p>
        </w:tc>
      </w:tr>
      <w:tr w14:paraId="365AFC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3934BBC">
            <w:pPr>
              <w:adjustRightInd w:val="0"/>
              <w:snapToGrid w:val="0"/>
              <w:jc w:val="center"/>
              <w:rPr>
                <w:rFonts w:hint="eastAsia" w:ascii="仿宋" w:hAnsi="仿宋" w:eastAsia="仿宋" w:cs="仿宋"/>
                <w:sz w:val="24"/>
                <w:szCs w:val="24"/>
              </w:rPr>
            </w:pPr>
          </w:p>
        </w:tc>
        <w:tc>
          <w:tcPr>
            <w:tcW w:w="1742" w:type="dxa"/>
            <w:vAlign w:val="center"/>
          </w:tcPr>
          <w:p w14:paraId="64CD229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指定现场</w:t>
            </w:r>
          </w:p>
        </w:tc>
        <w:tc>
          <w:tcPr>
            <w:tcW w:w="5170" w:type="dxa"/>
            <w:vAlign w:val="center"/>
          </w:tcPr>
          <w:p w14:paraId="2CB4FD02">
            <w:pPr>
              <w:rPr>
                <w:rFonts w:hint="eastAsia" w:ascii="仿宋" w:hAnsi="仿宋" w:eastAsia="仿宋" w:cs="仿宋"/>
                <w:sz w:val="24"/>
                <w:szCs w:val="24"/>
              </w:rPr>
            </w:pPr>
            <w:r>
              <w:rPr>
                <w:rFonts w:hint="eastAsia" w:ascii="仿宋" w:hAnsi="仿宋" w:eastAsia="仿宋" w:cs="仿宋"/>
                <w:sz w:val="24"/>
                <w:szCs w:val="24"/>
                <w:lang w:eastAsia="zh-CN"/>
              </w:rPr>
              <w:t>杨凌职业技术学院</w:t>
            </w:r>
            <w:r>
              <w:rPr>
                <w:rFonts w:hint="eastAsia" w:ascii="仿宋" w:hAnsi="仿宋" w:eastAsia="仿宋" w:cs="仿宋"/>
                <w:sz w:val="24"/>
                <w:szCs w:val="24"/>
              </w:rPr>
              <w:t>指定地点</w:t>
            </w:r>
          </w:p>
        </w:tc>
      </w:tr>
      <w:tr w14:paraId="786240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B9F7FC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0F7002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第7.2款</w:t>
            </w:r>
          </w:p>
        </w:tc>
        <w:tc>
          <w:tcPr>
            <w:tcW w:w="1742" w:type="dxa"/>
            <w:vAlign w:val="center"/>
          </w:tcPr>
          <w:p w14:paraId="6ECE2E8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运输特殊要求</w:t>
            </w:r>
          </w:p>
        </w:tc>
        <w:tc>
          <w:tcPr>
            <w:tcW w:w="5170" w:type="dxa"/>
            <w:vAlign w:val="center"/>
          </w:tcPr>
          <w:p w14:paraId="35ACA2E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1.乙方负责货物到达交货地点前的所有包装、运输、装卸及保险事项，相关费用应包括在合同总价中。</w:t>
            </w:r>
          </w:p>
          <w:p w14:paraId="76DC317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2.货物的运输方式由乙方自行选择，但包装必须满足货物运输和装卸的要求，保证甲方收到的是无任何损伤的货物。否则，因此造成的损失由乙方自行承担。 </w:t>
            </w:r>
          </w:p>
        </w:tc>
      </w:tr>
      <w:tr w14:paraId="05B69D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C59F6B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25A878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第7.3款</w:t>
            </w:r>
          </w:p>
        </w:tc>
        <w:tc>
          <w:tcPr>
            <w:tcW w:w="1742" w:type="dxa"/>
            <w:vAlign w:val="center"/>
          </w:tcPr>
          <w:p w14:paraId="760EE13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保险要求</w:t>
            </w:r>
          </w:p>
        </w:tc>
        <w:tc>
          <w:tcPr>
            <w:tcW w:w="5170" w:type="dxa"/>
            <w:vAlign w:val="center"/>
          </w:tcPr>
          <w:p w14:paraId="33E2251D">
            <w:pPr>
              <w:rPr>
                <w:rFonts w:hint="eastAsia" w:ascii="仿宋" w:hAnsi="仿宋" w:eastAsia="仿宋" w:cs="仿宋"/>
                <w:sz w:val="24"/>
                <w:szCs w:val="24"/>
              </w:rPr>
            </w:pPr>
            <w:r>
              <w:rPr>
                <w:rFonts w:hint="eastAsia" w:ascii="仿宋" w:hAnsi="仿宋" w:eastAsia="仿宋" w:cs="仿宋"/>
                <w:sz w:val="24"/>
                <w:szCs w:val="24"/>
              </w:rPr>
              <w:t>/</w:t>
            </w:r>
          </w:p>
        </w:tc>
      </w:tr>
      <w:tr w14:paraId="12B6CC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C075E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7779BF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第8.2（1）项</w:t>
            </w:r>
          </w:p>
        </w:tc>
        <w:tc>
          <w:tcPr>
            <w:tcW w:w="1742" w:type="dxa"/>
            <w:vAlign w:val="center"/>
          </w:tcPr>
          <w:p w14:paraId="42A85C4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vAlign w:val="center"/>
          </w:tcPr>
          <w:p w14:paraId="31A119C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硬件质保三年，软件五年内免费运维升级（如采购文件无特殊约定）</w:t>
            </w:r>
          </w:p>
          <w:p w14:paraId="2808879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1.乙方应保证合同项下所供货物是合同规定厂家制造的、全新的、未使用过的，并完全符合合同规定的质量、规格和性能要求的合格产品。</w:t>
            </w:r>
          </w:p>
          <w:p w14:paraId="5180260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4FE8028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4A52E6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CAF0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9702A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第8.2（3）项</w:t>
            </w:r>
          </w:p>
        </w:tc>
        <w:tc>
          <w:tcPr>
            <w:tcW w:w="1742" w:type="dxa"/>
            <w:vAlign w:val="center"/>
          </w:tcPr>
          <w:p w14:paraId="6F18B3F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货物质量缺陷</w:t>
            </w:r>
          </w:p>
          <w:p w14:paraId="21BD348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vAlign w:val="center"/>
          </w:tcPr>
          <w:p w14:paraId="72949CD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15个日历日内免费维修或更换有缺陷的货物或部件</w:t>
            </w:r>
          </w:p>
        </w:tc>
      </w:tr>
      <w:tr w14:paraId="71B8E7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64DEBC">
            <w:pPr>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DC1AEC2">
            <w:pPr>
              <w:pStyle w:val="28"/>
              <w:ind w:firstLine="0" w:firstLineChars="0"/>
              <w:jc w:val="center"/>
              <w:rPr>
                <w:rFonts w:hint="eastAsia" w:ascii="仿宋" w:hAnsi="仿宋" w:eastAsia="仿宋" w:cs="仿宋"/>
                <w:sz w:val="24"/>
                <w:szCs w:val="24"/>
              </w:rPr>
            </w:pPr>
            <w:r>
              <w:rPr>
                <w:rFonts w:hint="eastAsia" w:ascii="仿宋" w:hAnsi="仿宋" w:eastAsia="仿宋" w:cs="仿宋"/>
                <w:sz w:val="24"/>
                <w:szCs w:val="24"/>
              </w:rPr>
              <w:t>第11.1款</w:t>
            </w:r>
          </w:p>
        </w:tc>
        <w:tc>
          <w:tcPr>
            <w:tcW w:w="1742" w:type="dxa"/>
            <w:vAlign w:val="center"/>
          </w:tcPr>
          <w:p w14:paraId="6A5A27DC">
            <w:pPr>
              <w:adjustRightInd w:val="0"/>
              <w:snapToGrid w:val="0"/>
              <w:rPr>
                <w:rFonts w:hint="eastAsia" w:ascii="仿宋" w:hAnsi="仿宋" w:eastAsia="仿宋" w:cs="仿宋"/>
                <w:sz w:val="24"/>
                <w:szCs w:val="24"/>
              </w:rPr>
            </w:pPr>
            <w:r>
              <w:rPr>
                <w:rFonts w:hint="eastAsia" w:ascii="仿宋" w:hAnsi="仿宋" w:eastAsia="仿宋" w:cs="仿宋"/>
                <w:sz w:val="24"/>
                <w:szCs w:val="24"/>
              </w:rPr>
              <w:t>其他应当保密的信息</w:t>
            </w:r>
          </w:p>
        </w:tc>
        <w:tc>
          <w:tcPr>
            <w:tcW w:w="5170" w:type="dxa"/>
            <w:vAlign w:val="center"/>
          </w:tcPr>
          <w:p w14:paraId="117BFB9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1FB8058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3E8C99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D915E2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CD72B4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第12.2款</w:t>
            </w:r>
          </w:p>
        </w:tc>
        <w:tc>
          <w:tcPr>
            <w:tcW w:w="1742" w:type="dxa"/>
            <w:vAlign w:val="center"/>
          </w:tcPr>
          <w:p w14:paraId="55A44CC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合同价款支付时间</w:t>
            </w:r>
          </w:p>
        </w:tc>
        <w:tc>
          <w:tcPr>
            <w:tcW w:w="5170" w:type="dxa"/>
            <w:vAlign w:val="center"/>
          </w:tcPr>
          <w:p w14:paraId="1B23915F">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rPr>
              <w:t xml:space="preserve"> 经初验、终验，履约完成后，乙方持《验收合格单》原件和全额增值税普通发票在甲方办理100%支付手续，无特殊情况下，甲方将在10个工作日予以支付</w:t>
            </w:r>
          </w:p>
        </w:tc>
      </w:tr>
      <w:tr w14:paraId="509BDA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F3CD2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E11CF3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第13.2款</w:t>
            </w:r>
          </w:p>
        </w:tc>
        <w:tc>
          <w:tcPr>
            <w:tcW w:w="1742" w:type="dxa"/>
            <w:vAlign w:val="center"/>
          </w:tcPr>
          <w:p w14:paraId="1C477BD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履约保证金不予退还的情形</w:t>
            </w:r>
          </w:p>
        </w:tc>
        <w:tc>
          <w:tcPr>
            <w:tcW w:w="5170" w:type="dxa"/>
            <w:vAlign w:val="center"/>
          </w:tcPr>
          <w:p w14:paraId="7D66176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w:t>
            </w:r>
          </w:p>
        </w:tc>
      </w:tr>
      <w:tr w14:paraId="7F8CB9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610A66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7CBF55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第13.3款</w:t>
            </w:r>
          </w:p>
        </w:tc>
        <w:tc>
          <w:tcPr>
            <w:tcW w:w="1742" w:type="dxa"/>
            <w:vAlign w:val="center"/>
          </w:tcPr>
          <w:p w14:paraId="768FC81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履约保证金退还时间及逾期退还的违约金</w:t>
            </w:r>
          </w:p>
        </w:tc>
        <w:tc>
          <w:tcPr>
            <w:tcW w:w="5170" w:type="dxa"/>
            <w:vAlign w:val="center"/>
          </w:tcPr>
          <w:p w14:paraId="04FD2BF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w:t>
            </w:r>
          </w:p>
        </w:tc>
      </w:tr>
      <w:tr w14:paraId="27B623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4BD552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E79AC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第14.1（3）项</w:t>
            </w:r>
          </w:p>
        </w:tc>
        <w:tc>
          <w:tcPr>
            <w:tcW w:w="1742" w:type="dxa"/>
            <w:vAlign w:val="center"/>
          </w:tcPr>
          <w:p w14:paraId="1CD91FA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运行监督、维修期限</w:t>
            </w:r>
          </w:p>
        </w:tc>
        <w:tc>
          <w:tcPr>
            <w:tcW w:w="5170" w:type="dxa"/>
            <w:vAlign w:val="center"/>
          </w:tcPr>
          <w:p w14:paraId="50A010E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硬件三年，软件五年</w:t>
            </w:r>
          </w:p>
        </w:tc>
      </w:tr>
      <w:tr w14:paraId="76BFF9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18ED31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F43CAD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第14.1（5）项</w:t>
            </w:r>
          </w:p>
        </w:tc>
        <w:tc>
          <w:tcPr>
            <w:tcW w:w="1742" w:type="dxa"/>
            <w:vAlign w:val="center"/>
          </w:tcPr>
          <w:p w14:paraId="56C9F65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货物回收的约定</w:t>
            </w:r>
          </w:p>
        </w:tc>
        <w:tc>
          <w:tcPr>
            <w:tcW w:w="5170" w:type="dxa"/>
            <w:vAlign w:val="center"/>
          </w:tcPr>
          <w:p w14:paraId="1CFB7B9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w:t>
            </w:r>
          </w:p>
        </w:tc>
      </w:tr>
      <w:tr w14:paraId="0CC9B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DD8B02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CEA2B5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第14.1（6）项</w:t>
            </w:r>
          </w:p>
        </w:tc>
        <w:tc>
          <w:tcPr>
            <w:tcW w:w="1742" w:type="dxa"/>
            <w:vAlign w:val="center"/>
          </w:tcPr>
          <w:p w14:paraId="7E8CC53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vAlign w:val="center"/>
          </w:tcPr>
          <w:p w14:paraId="0DF39E9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1.如为信息化类项目，中标单位需开放系统接口并提供技术文档，确保甲方其他的开发需求可以接入该系统，所产生的费用已包含在合同价中，不得收取其它对接兼容等费用。</w:t>
            </w:r>
          </w:p>
          <w:p w14:paraId="47BC74F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2.乙方必须在合同生效后三十 (30)天内向甲方提交所供货物的技术文件（中文技术文件），例如：产品说明、图纸、操作手册、使用说明、维护手册和服务指南等。</w:t>
            </w:r>
          </w:p>
          <w:p w14:paraId="23E032B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3.乙方应向甲方提供下列所有服务，包括本项目招标文件“商务条款”与“技术规格与要求”中规定的附加服务（如果有的话）：</w:t>
            </w:r>
          </w:p>
          <w:p w14:paraId="6B06BAD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（1）实施或监督所供货物的现场组装 和/或试运行；</w:t>
            </w:r>
          </w:p>
          <w:p w14:paraId="7C3BEAC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（2）提供货物组装 和/或 维修所需的工具；</w:t>
            </w:r>
          </w:p>
          <w:p w14:paraId="21AAD88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（3）为所供货物的每一适当的单台设备提供详细的操作和维护手册；</w:t>
            </w:r>
          </w:p>
          <w:p w14:paraId="324216E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（4）在双方商定的一定期限内对所供货物实施运行或监督或维护或修理，但前提条件是该服务并不能免除乙方在合同保证期内所承担的义务；  </w:t>
            </w:r>
          </w:p>
          <w:p w14:paraId="2C755D8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（5）在乙方或制造厂和/或在项目现场就所供货物的组装、试运行、运行、维护和/或修理、软硬件升级对甲方人员进行培训。</w:t>
            </w:r>
          </w:p>
          <w:p w14:paraId="2D92EEE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4.乙方应提供本项目招标文件“商务条款”和“技术规格与要求”中规定的所有服务。为履行要求的伴随服务的报价或双方商定的费用应包括在合同价中。</w:t>
            </w:r>
          </w:p>
          <w:p w14:paraId="797807A1">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5.如果乙方或制造厂提供的伴随服务的费用未含在货物的合同价中，双方应事先就其达成协议，但其费用单价不应超过乙方向其他人提供类似服务所收取的现行单价。</w:t>
            </w:r>
          </w:p>
        </w:tc>
      </w:tr>
      <w:tr w14:paraId="57379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1FA7C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674B6D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第15.1款</w:t>
            </w:r>
          </w:p>
        </w:tc>
        <w:tc>
          <w:tcPr>
            <w:tcW w:w="1742" w:type="dxa"/>
            <w:vAlign w:val="center"/>
          </w:tcPr>
          <w:p w14:paraId="66963FD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修理、重作、更换相关具体规定</w:t>
            </w:r>
          </w:p>
        </w:tc>
        <w:tc>
          <w:tcPr>
            <w:tcW w:w="5170" w:type="dxa"/>
            <w:vAlign w:val="center"/>
          </w:tcPr>
          <w:p w14:paraId="7E76BAE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1.乙方可能被要求提供下列与备品备件有关的材料、通知和资料：</w:t>
            </w:r>
          </w:p>
          <w:p w14:paraId="2BEC2E4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（1）甲方从乙方选购备品备件，但前提条件是该选择并不能免除乙方在合同保证期内所承担的义务；</w:t>
            </w:r>
          </w:p>
          <w:p w14:paraId="1EB8C41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（2）在备品备件停止生产的情况下，乙方应事先将要停止生产的计划通知甲方使甲方有足够的时间采购所需的备品备件；</w:t>
            </w:r>
          </w:p>
          <w:p w14:paraId="3147A62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（3）在备品备件停止生产后，如果甲方要求，乙方应免费向甲方提供备品备件的蓝图、图纸和规格。</w:t>
            </w:r>
          </w:p>
          <w:p w14:paraId="2D1D46F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2.乙方应按照本项目采购文件“商务条款”和“技术规格与要求”中的规定提供所需的备品备件。</w:t>
            </w:r>
          </w:p>
        </w:tc>
      </w:tr>
      <w:tr w14:paraId="36F28C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F071A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845570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第15.2（2）项</w:t>
            </w:r>
          </w:p>
        </w:tc>
        <w:tc>
          <w:tcPr>
            <w:tcW w:w="1742" w:type="dxa"/>
            <w:vAlign w:val="center"/>
          </w:tcPr>
          <w:p w14:paraId="4727AFC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vAlign w:val="center"/>
          </w:tcPr>
          <w:p w14:paraId="589067F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78EBB6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20A0B6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6634AA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第15.3款</w:t>
            </w:r>
          </w:p>
        </w:tc>
        <w:tc>
          <w:tcPr>
            <w:tcW w:w="1742" w:type="dxa"/>
            <w:vAlign w:val="center"/>
          </w:tcPr>
          <w:p w14:paraId="4A32B36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vAlign w:val="center"/>
          </w:tcPr>
          <w:p w14:paraId="1619DACD">
            <w:pPr>
              <w:adjustRightInd w:val="0"/>
              <w:snapToGrid w:val="0"/>
              <w:jc w:val="left"/>
              <w:rPr>
                <w:rFonts w:hint="eastAsia" w:ascii="仿宋" w:hAnsi="仿宋" w:eastAsia="仿宋" w:cs="仿宋"/>
                <w:sz w:val="24"/>
                <w:szCs w:val="24"/>
                <w:u w:val="single"/>
              </w:rPr>
            </w:pPr>
            <w:r>
              <w:rPr>
                <w:rFonts w:hint="eastAsia" w:ascii="仿宋" w:hAnsi="仿宋" w:eastAsia="仿宋" w:cs="仿宋"/>
                <w:sz w:val="24"/>
                <w:szCs w:val="24"/>
                <w:u w:val="single"/>
              </w:rPr>
              <w:t>/</w:t>
            </w:r>
          </w:p>
        </w:tc>
      </w:tr>
      <w:tr w14:paraId="2F43FC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5C61A8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BF4A3F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第15.4款</w:t>
            </w:r>
          </w:p>
        </w:tc>
        <w:tc>
          <w:tcPr>
            <w:tcW w:w="1742" w:type="dxa"/>
            <w:tcBorders>
              <w:left w:val="single" w:color="auto" w:sz="2" w:space="0"/>
              <w:bottom w:val="single" w:color="auto" w:sz="2" w:space="0"/>
              <w:right w:val="single" w:color="auto" w:sz="2" w:space="0"/>
            </w:tcBorders>
            <w:vAlign w:val="center"/>
          </w:tcPr>
          <w:p w14:paraId="1342AB9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vAlign w:val="center"/>
          </w:tcPr>
          <w:p w14:paraId="2EDE6F3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在甲方对乙方违约而采取的任何补救措施不受影响的情况下，甲方可向乙方发出书面违约通知书，提出终止部分或全部合同：</w:t>
            </w:r>
          </w:p>
          <w:p w14:paraId="265D251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（1）如果乙方未能在合同规定的期限内或甲方根据合同规定同意延长的期限内提供部分或全部货物；或误期赔偿费达到最高限额。</w:t>
            </w:r>
          </w:p>
          <w:p w14:paraId="5E63A45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（2）如果乙方未能履行合同规定的其它任何义务。</w:t>
            </w:r>
          </w:p>
          <w:p w14:paraId="2FA55D8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（3）如果甲方认为乙方在本合同的竞争和实施过程中有腐败和欺诈行为。为此目的，定义下述条件：</w:t>
            </w:r>
          </w:p>
          <w:p w14:paraId="7602B4E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“腐败行为”是指提供、给予、接受或索取任何有价值的物品来影响甲方在采购过程或合同实施过程中的行为。</w:t>
            </w:r>
          </w:p>
          <w:p w14:paraId="60E3C59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“欺诈行为”是指为了影响采购过程或合同实施过程而谎报或隐瞒事实，损害甲方利益的行为。</w:t>
            </w:r>
          </w:p>
          <w:p w14:paraId="7FBDCBE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7DFA15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E41C66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C6433E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第19.2款</w:t>
            </w:r>
          </w:p>
        </w:tc>
        <w:tc>
          <w:tcPr>
            <w:tcW w:w="1742" w:type="dxa"/>
            <w:tcBorders>
              <w:top w:val="single" w:color="auto" w:sz="2" w:space="0"/>
              <w:left w:val="single" w:color="auto" w:sz="2" w:space="0"/>
              <w:right w:val="single" w:color="auto" w:sz="2" w:space="0"/>
            </w:tcBorders>
            <w:vAlign w:val="center"/>
          </w:tcPr>
          <w:p w14:paraId="4B29103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解决争议的方法</w:t>
            </w:r>
          </w:p>
        </w:tc>
        <w:tc>
          <w:tcPr>
            <w:tcW w:w="5170" w:type="dxa"/>
            <w:tcBorders>
              <w:top w:val="single" w:color="auto" w:sz="2" w:space="0"/>
              <w:left w:val="single" w:color="auto" w:sz="2" w:space="0"/>
            </w:tcBorders>
            <w:vAlign w:val="center"/>
          </w:tcPr>
          <w:p w14:paraId="0161121D">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因本合同及合同有关事项发生的争议，按下列第</w:t>
            </w:r>
            <w:r>
              <w:rPr>
                <w:rFonts w:hint="eastAsia" w:ascii="仿宋" w:hAnsi="仿宋" w:eastAsia="仿宋" w:cs="仿宋"/>
                <w:iCs/>
                <w:sz w:val="24"/>
                <w:szCs w:val="24"/>
                <w:u w:val="single"/>
              </w:rPr>
              <w:t>2</w:t>
            </w:r>
            <w:r>
              <w:rPr>
                <w:rFonts w:hint="eastAsia" w:ascii="仿宋" w:hAnsi="仿宋" w:eastAsia="仿宋" w:cs="仿宋"/>
                <w:iCs/>
                <w:sz w:val="24"/>
                <w:szCs w:val="24"/>
              </w:rPr>
              <w:t>种方式解决：</w:t>
            </w:r>
          </w:p>
          <w:p w14:paraId="0400921E">
            <w:pPr>
              <w:autoSpaceDE w:val="0"/>
              <w:autoSpaceDN w:val="0"/>
              <w:adjustRightInd w:val="0"/>
              <w:snapToGrid w:val="0"/>
              <w:spacing w:line="400" w:lineRule="exact"/>
              <w:jc w:val="left"/>
              <w:rPr>
                <w:rFonts w:hint="eastAsia" w:ascii="仿宋" w:hAnsi="仿宋" w:eastAsia="仿宋" w:cs="仿宋"/>
                <w:iCs/>
                <w:sz w:val="24"/>
                <w:szCs w:val="24"/>
              </w:rPr>
            </w:pPr>
            <w:r>
              <w:rPr>
                <w:rFonts w:hint="eastAsia" w:ascii="仿宋" w:hAnsi="仿宋" w:eastAsia="仿宋" w:cs="仿宋"/>
                <w:iCs/>
                <w:sz w:val="24"/>
                <w:szCs w:val="24"/>
              </w:rPr>
              <w:t>（1）向</w:t>
            </w:r>
            <w:r>
              <w:rPr>
                <w:rFonts w:hint="eastAsia" w:ascii="仿宋" w:hAnsi="仿宋" w:eastAsia="仿宋" w:cs="仿宋"/>
                <w:iCs/>
                <w:sz w:val="24"/>
                <w:szCs w:val="24"/>
                <w:u w:val="single"/>
              </w:rPr>
              <w:t>/</w:t>
            </w:r>
            <w:r>
              <w:rPr>
                <w:rFonts w:hint="eastAsia" w:ascii="仿宋" w:hAnsi="仿宋" w:eastAsia="仿宋" w:cs="仿宋"/>
                <w:iCs/>
                <w:sz w:val="24"/>
                <w:szCs w:val="24"/>
              </w:rPr>
              <w:t>仲裁委员会申请仲裁，仲裁地点为</w:t>
            </w:r>
            <w:r>
              <w:rPr>
                <w:rFonts w:hint="eastAsia" w:ascii="仿宋" w:hAnsi="仿宋" w:eastAsia="仿宋" w:cs="仿宋"/>
                <w:iCs/>
                <w:sz w:val="24"/>
                <w:szCs w:val="24"/>
                <w:u w:val="single"/>
              </w:rPr>
              <w:t>/</w:t>
            </w:r>
            <w:r>
              <w:rPr>
                <w:rFonts w:hint="eastAsia" w:ascii="仿宋" w:hAnsi="仿宋" w:eastAsia="仿宋" w:cs="仿宋"/>
                <w:iCs/>
                <w:sz w:val="24"/>
                <w:szCs w:val="24"/>
              </w:rPr>
              <w:t>；</w:t>
            </w:r>
          </w:p>
          <w:p w14:paraId="24F2497D">
            <w:pPr>
              <w:adjustRightInd w:val="0"/>
              <w:snapToGrid w:val="0"/>
              <w:jc w:val="left"/>
              <w:rPr>
                <w:rFonts w:hint="eastAsia" w:ascii="仿宋" w:hAnsi="仿宋" w:eastAsia="仿宋" w:cs="仿宋"/>
                <w:sz w:val="24"/>
                <w:szCs w:val="24"/>
                <w:u w:val="single"/>
              </w:rPr>
            </w:pPr>
            <w:r>
              <w:rPr>
                <w:rFonts w:hint="eastAsia" w:ascii="仿宋" w:hAnsi="仿宋" w:eastAsia="仿宋" w:cs="仿宋"/>
                <w:iCs/>
                <w:sz w:val="24"/>
                <w:szCs w:val="24"/>
              </w:rPr>
              <w:t>（2）向</w:t>
            </w:r>
            <w:r>
              <w:rPr>
                <w:rFonts w:hint="eastAsia" w:ascii="仿宋" w:hAnsi="仿宋" w:eastAsia="仿宋" w:cs="仿宋"/>
                <w:iCs/>
                <w:sz w:val="24"/>
                <w:szCs w:val="24"/>
                <w:u w:val="single"/>
              </w:rPr>
              <w:t xml:space="preserve">   杨陵区   </w:t>
            </w:r>
            <w:r>
              <w:rPr>
                <w:rFonts w:hint="eastAsia" w:ascii="仿宋" w:hAnsi="仿宋" w:eastAsia="仿宋" w:cs="仿宋"/>
                <w:iCs/>
                <w:sz w:val="24"/>
                <w:szCs w:val="24"/>
              </w:rPr>
              <w:t>人民法院起诉。</w:t>
            </w:r>
          </w:p>
        </w:tc>
      </w:tr>
      <w:tr w14:paraId="4D116C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E14454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AB1CA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第23.1款</w:t>
            </w:r>
          </w:p>
        </w:tc>
        <w:tc>
          <w:tcPr>
            <w:tcW w:w="1742" w:type="dxa"/>
            <w:vAlign w:val="center"/>
          </w:tcPr>
          <w:p w14:paraId="41B700EA">
            <w:pPr>
              <w:adjustRightInd w:val="0"/>
              <w:snapToGrid w:val="0"/>
              <w:jc w:val="left"/>
              <w:rPr>
                <w:rFonts w:hint="eastAsia" w:ascii="仿宋" w:hAnsi="仿宋" w:eastAsia="仿宋" w:cs="仿宋"/>
                <w:sz w:val="24"/>
                <w:szCs w:val="24"/>
              </w:rPr>
            </w:pPr>
            <w:r>
              <w:rPr>
                <w:rFonts w:hint="eastAsia" w:ascii="仿宋" w:hAnsi="仿宋" w:eastAsia="仿宋" w:cs="仿宋"/>
                <w:bCs/>
                <w:sz w:val="24"/>
                <w:szCs w:val="24"/>
              </w:rPr>
              <w:t>其他专用条款</w:t>
            </w:r>
          </w:p>
        </w:tc>
        <w:tc>
          <w:tcPr>
            <w:tcW w:w="5170" w:type="dxa"/>
            <w:vAlign w:val="center"/>
          </w:tcPr>
          <w:p w14:paraId="670F5EB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 xml:space="preserve">项目经理人基本信息 </w:t>
            </w:r>
          </w:p>
          <w:p w14:paraId="53B07D4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姓    名：</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rPr>
              <w:t xml:space="preserve">； </w:t>
            </w:r>
          </w:p>
          <w:p w14:paraId="34C3B40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2DDA40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4AAF1F8">
            <w:pPr>
              <w:adjustRightInd w:val="0"/>
              <w:snapToGrid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w:t>
            </w:r>
            <w:r>
              <w:rPr>
                <w:rFonts w:hint="eastAsia" w:ascii="仿宋" w:hAnsi="仿宋" w:eastAsia="仿宋" w:cs="仿宋"/>
                <w:sz w:val="24"/>
                <w:szCs w:val="24"/>
                <w:lang w:eastAsia="zh-CN"/>
              </w:rPr>
              <w:t>杨凌职业技术学院</w:t>
            </w:r>
            <w:r>
              <w:rPr>
                <w:rFonts w:hint="eastAsia" w:ascii="仿宋" w:hAnsi="仿宋" w:eastAsia="仿宋" w:cs="仿宋"/>
                <w:sz w:val="24"/>
                <w:szCs w:val="24"/>
              </w:rPr>
              <w:t>招标采购供应商诚信管理办法（试行）》，供应商在招标采购或合同签订、履约验收、款项支付等过程中存在不诚实守信情况的，经调查核实并审批后，将供应商列入“失信名单”。</w:t>
            </w:r>
          </w:p>
        </w:tc>
      </w:tr>
    </w:tbl>
    <w:p w14:paraId="69AB44E9">
      <w:pPr>
        <w:rPr>
          <w:rFonts w:hint="eastAsia" w:ascii="仿宋" w:hAnsi="仿宋" w:eastAsia="仿宋" w:cs="仿宋"/>
          <w:sz w:val="24"/>
          <w:szCs w:val="24"/>
        </w:rPr>
      </w:pPr>
      <w:r>
        <w:rPr>
          <w:rFonts w:hint="eastAsia" w:ascii="仿宋" w:hAnsi="仿宋" w:eastAsia="仿宋" w:cs="仿宋"/>
          <w:sz w:val="24"/>
          <w:szCs w:val="24"/>
        </w:rPr>
        <w:t>招投标处审核意见：以上商务部分审核无误。</w:t>
      </w:r>
    </w:p>
    <w:p w14:paraId="6A7F9002">
      <w:pPr>
        <w:pStyle w:val="28"/>
        <w:ind w:firstLine="4560" w:firstLineChars="1900"/>
        <w:rPr>
          <w:rFonts w:hint="eastAsia" w:ascii="仿宋" w:hAnsi="仿宋" w:eastAsia="仿宋" w:cs="仿宋"/>
          <w:kern w:val="2"/>
          <w:sz w:val="24"/>
          <w:szCs w:val="24"/>
          <w:u w:val="single"/>
        </w:rPr>
      </w:pPr>
      <w:r>
        <w:rPr>
          <w:rFonts w:hint="eastAsia" w:ascii="仿宋" w:hAnsi="仿宋" w:eastAsia="仿宋" w:cs="仿宋"/>
          <w:kern w:val="2"/>
          <w:sz w:val="24"/>
          <w:szCs w:val="24"/>
        </w:rPr>
        <w:t>审核人：</w:t>
      </w:r>
      <w:r>
        <w:rPr>
          <w:rFonts w:hint="eastAsia" w:ascii="仿宋" w:hAnsi="仿宋" w:eastAsia="仿宋" w:cs="仿宋"/>
          <w:kern w:val="2"/>
          <w:sz w:val="24"/>
          <w:szCs w:val="24"/>
          <w:u w:val="single"/>
        </w:rPr>
        <w:t xml:space="preserve">         </w:t>
      </w:r>
    </w:p>
    <w:p w14:paraId="3AC4961C">
      <w:pPr>
        <w:pStyle w:val="28"/>
        <w:rPr>
          <w:rFonts w:hint="eastAsia" w:ascii="仿宋" w:hAnsi="仿宋" w:eastAsia="仿宋" w:cs="仿宋"/>
          <w:sz w:val="24"/>
          <w:szCs w:val="24"/>
        </w:rPr>
        <w:sectPr>
          <w:type w:val="continuous"/>
          <w:pgSz w:w="11906" w:h="16838"/>
          <w:pgMar w:top="1440" w:right="1800" w:bottom="1440" w:left="1800" w:header="851" w:footer="992" w:gutter="0"/>
          <w:cols w:space="425" w:num="1"/>
          <w:docGrid w:type="lines" w:linePitch="312" w:charSpace="0"/>
        </w:sectPr>
      </w:pPr>
    </w:p>
    <w:p w14:paraId="22BF93E7">
      <w:pPr>
        <w:pStyle w:val="28"/>
        <w:ind w:firstLine="4800" w:firstLineChars="2000"/>
        <w:rPr>
          <w:rFonts w:hint="eastAsia" w:ascii="仿宋" w:hAnsi="仿宋" w:eastAsia="仿宋" w:cs="仿宋"/>
          <w:kern w:val="2"/>
          <w:sz w:val="24"/>
          <w:szCs w:val="24"/>
        </w:rPr>
      </w:pPr>
      <w:r>
        <w:rPr>
          <w:rFonts w:hint="eastAsia" w:ascii="仿宋" w:hAnsi="仿宋" w:eastAsia="仿宋" w:cs="仿宋"/>
          <w:kern w:val="2"/>
          <w:sz w:val="24"/>
          <w:szCs w:val="24"/>
        </w:rPr>
        <w:t>第四节 附 件</w:t>
      </w:r>
    </w:p>
    <w:p w14:paraId="49A887FC">
      <w:pPr>
        <w:pStyle w:val="28"/>
        <w:ind w:firstLineChars="157"/>
        <w:rPr>
          <w:rFonts w:hint="eastAsia" w:ascii="仿宋" w:hAnsi="仿宋" w:eastAsia="仿宋" w:cs="仿宋"/>
          <w:kern w:val="2"/>
          <w:sz w:val="24"/>
          <w:szCs w:val="24"/>
        </w:rPr>
      </w:pPr>
      <w:r>
        <w:rPr>
          <w:rFonts w:hint="eastAsia" w:ascii="仿宋" w:hAnsi="仿宋" w:eastAsia="仿宋" w:cs="仿宋"/>
          <w:kern w:val="2"/>
          <w:sz w:val="24"/>
          <w:szCs w:val="24"/>
        </w:rPr>
        <w:t>使用单位审核意见：以下技术部分审核无误。</w:t>
      </w:r>
    </w:p>
    <w:p w14:paraId="6175BD5D">
      <w:pPr>
        <w:pStyle w:val="28"/>
        <w:ind w:firstLine="4800" w:firstLineChars="2000"/>
        <w:rPr>
          <w:rFonts w:hint="eastAsia" w:ascii="仿宋" w:hAnsi="仿宋" w:eastAsia="仿宋" w:cs="仿宋"/>
          <w:kern w:val="2"/>
          <w:sz w:val="24"/>
          <w:szCs w:val="24"/>
        </w:rPr>
      </w:pPr>
      <w:r>
        <w:rPr>
          <w:rFonts w:hint="eastAsia" w:ascii="仿宋" w:hAnsi="仿宋" w:eastAsia="仿宋" w:cs="仿宋"/>
          <w:kern w:val="2"/>
          <w:sz w:val="24"/>
          <w:szCs w:val="24"/>
        </w:rPr>
        <w:t>审核人：</w:t>
      </w:r>
      <w:r>
        <w:rPr>
          <w:rFonts w:hint="eastAsia" w:ascii="仿宋" w:hAnsi="仿宋" w:eastAsia="仿宋" w:cs="仿宋"/>
          <w:kern w:val="2"/>
          <w:sz w:val="24"/>
          <w:szCs w:val="24"/>
          <w:u w:val="single"/>
        </w:rPr>
        <w:t xml:space="preserve">           </w:t>
      </w:r>
    </w:p>
    <w:p w14:paraId="7C93B58B">
      <w:pPr>
        <w:pStyle w:val="28"/>
        <w:ind w:firstLine="4800" w:firstLineChars="2000"/>
        <w:rPr>
          <w:rFonts w:hint="eastAsia" w:ascii="仿宋" w:hAnsi="仿宋" w:eastAsia="仿宋" w:cs="仿宋"/>
          <w:sz w:val="24"/>
          <w:szCs w:val="24"/>
        </w:rPr>
      </w:pPr>
    </w:p>
    <w:p w14:paraId="2A99D5B1">
      <w:pPr>
        <w:pStyle w:val="5"/>
        <w:rPr>
          <w:rFonts w:hint="eastAsia" w:ascii="仿宋" w:hAnsi="仿宋" w:eastAsia="仿宋" w:cs="仿宋"/>
          <w:b/>
          <w:sz w:val="24"/>
          <w:szCs w:val="24"/>
        </w:rPr>
      </w:pPr>
      <w:r>
        <w:rPr>
          <w:rFonts w:hint="eastAsia" w:ascii="仿宋" w:hAnsi="仿宋" w:eastAsia="仿宋" w:cs="仿宋"/>
          <w:b/>
          <w:sz w:val="24"/>
          <w:szCs w:val="24"/>
        </w:rPr>
        <w:t>附件1—货物清单</w:t>
      </w:r>
    </w:p>
    <w:tbl>
      <w:tblPr>
        <w:tblStyle w:val="16"/>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5A61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6AA7B9CB">
            <w:pPr>
              <w:spacing w:line="460" w:lineRule="exact"/>
              <w:rPr>
                <w:rFonts w:hint="eastAsia" w:ascii="仿宋" w:hAnsi="仿宋" w:eastAsia="仿宋" w:cs="仿宋"/>
                <w:b/>
                <w:sz w:val="24"/>
                <w:szCs w:val="24"/>
              </w:rPr>
            </w:pPr>
            <w:r>
              <w:rPr>
                <w:rFonts w:hint="eastAsia" w:ascii="仿宋" w:hAnsi="仿宋" w:eastAsia="仿宋" w:cs="仿宋"/>
                <w:b/>
                <w:sz w:val="24"/>
                <w:szCs w:val="24"/>
              </w:rPr>
              <w:t>序号</w:t>
            </w:r>
          </w:p>
        </w:tc>
        <w:tc>
          <w:tcPr>
            <w:tcW w:w="2319" w:type="dxa"/>
            <w:vAlign w:val="center"/>
          </w:tcPr>
          <w:p w14:paraId="3F8FA06D">
            <w:pPr>
              <w:spacing w:line="460" w:lineRule="exact"/>
              <w:ind w:left="280" w:leftChars="100"/>
              <w:jc w:val="center"/>
              <w:rPr>
                <w:rFonts w:hint="eastAsia" w:ascii="仿宋" w:hAnsi="仿宋" w:eastAsia="仿宋" w:cs="仿宋"/>
                <w:b/>
                <w:sz w:val="24"/>
                <w:szCs w:val="24"/>
              </w:rPr>
            </w:pPr>
            <w:r>
              <w:rPr>
                <w:rFonts w:hint="eastAsia" w:ascii="仿宋" w:hAnsi="仿宋" w:eastAsia="仿宋" w:cs="仿宋"/>
                <w:b/>
                <w:sz w:val="24"/>
                <w:szCs w:val="24"/>
              </w:rPr>
              <w:t>名    称</w:t>
            </w:r>
          </w:p>
        </w:tc>
        <w:tc>
          <w:tcPr>
            <w:tcW w:w="1933" w:type="dxa"/>
            <w:vAlign w:val="center"/>
          </w:tcPr>
          <w:p w14:paraId="040A3CDC">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品牌/型号</w:t>
            </w:r>
          </w:p>
        </w:tc>
        <w:tc>
          <w:tcPr>
            <w:tcW w:w="1539" w:type="dxa"/>
            <w:vAlign w:val="center"/>
          </w:tcPr>
          <w:p w14:paraId="17CD6D6F">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制造厂家</w:t>
            </w:r>
          </w:p>
        </w:tc>
        <w:tc>
          <w:tcPr>
            <w:tcW w:w="795" w:type="dxa"/>
            <w:vAlign w:val="center"/>
          </w:tcPr>
          <w:p w14:paraId="3EEC06ED">
            <w:pPr>
              <w:spacing w:line="460" w:lineRule="exact"/>
              <w:ind w:left="17" w:leftChars="6"/>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930" w:type="dxa"/>
            <w:vAlign w:val="center"/>
          </w:tcPr>
          <w:p w14:paraId="7FD2967F">
            <w:pPr>
              <w:spacing w:line="460" w:lineRule="exact"/>
              <w:ind w:left="17" w:leftChars="6"/>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2198" w:type="dxa"/>
            <w:tcMar>
              <w:top w:w="28" w:type="dxa"/>
              <w:left w:w="57" w:type="dxa"/>
              <w:bottom w:w="28" w:type="dxa"/>
              <w:right w:w="57" w:type="dxa"/>
            </w:tcMar>
            <w:vAlign w:val="center"/>
          </w:tcPr>
          <w:p w14:paraId="4CE495A0">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单价</w:t>
            </w:r>
          </w:p>
          <w:p w14:paraId="784CEEF7">
            <w:pPr>
              <w:spacing w:line="460" w:lineRule="exact"/>
              <w:ind w:left="62" w:leftChars="22"/>
              <w:jc w:val="center"/>
              <w:rPr>
                <w:rFonts w:hint="eastAsia" w:ascii="仿宋" w:hAnsi="仿宋" w:eastAsia="仿宋" w:cs="仿宋"/>
                <w:b/>
                <w:sz w:val="24"/>
                <w:szCs w:val="24"/>
              </w:rPr>
            </w:pPr>
            <w:r>
              <w:rPr>
                <w:rFonts w:hint="eastAsia" w:ascii="仿宋" w:hAnsi="仿宋" w:eastAsia="仿宋" w:cs="仿宋"/>
                <w:b/>
                <w:sz w:val="24"/>
                <w:szCs w:val="24"/>
              </w:rPr>
              <w:t>（人民币元）</w:t>
            </w:r>
          </w:p>
        </w:tc>
        <w:tc>
          <w:tcPr>
            <w:tcW w:w="1701" w:type="dxa"/>
            <w:tcMar>
              <w:top w:w="28" w:type="dxa"/>
              <w:left w:w="57" w:type="dxa"/>
              <w:bottom w:w="28" w:type="dxa"/>
              <w:right w:w="57" w:type="dxa"/>
            </w:tcMar>
            <w:vAlign w:val="center"/>
          </w:tcPr>
          <w:p w14:paraId="3A7883C0">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总价</w:t>
            </w:r>
          </w:p>
          <w:p w14:paraId="3C6326B4">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（人民币元）</w:t>
            </w:r>
          </w:p>
        </w:tc>
        <w:tc>
          <w:tcPr>
            <w:tcW w:w="1672" w:type="dxa"/>
            <w:tcMar>
              <w:top w:w="28" w:type="dxa"/>
              <w:left w:w="57" w:type="dxa"/>
              <w:bottom w:w="28" w:type="dxa"/>
              <w:right w:w="57" w:type="dxa"/>
            </w:tcMar>
            <w:vAlign w:val="center"/>
          </w:tcPr>
          <w:p w14:paraId="42D0ABF2">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备注</w:t>
            </w:r>
          </w:p>
        </w:tc>
      </w:tr>
      <w:tr w14:paraId="587D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5E05D990">
            <w:pPr>
              <w:spacing w:line="4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2319" w:type="dxa"/>
            <w:tcMar>
              <w:left w:w="57" w:type="dxa"/>
              <w:right w:w="57" w:type="dxa"/>
            </w:tcMar>
            <w:vAlign w:val="center"/>
          </w:tcPr>
          <w:p w14:paraId="1E3EFAA2">
            <w:pPr>
              <w:spacing w:line="460" w:lineRule="exact"/>
              <w:jc w:val="center"/>
              <w:rPr>
                <w:rFonts w:hint="eastAsia" w:ascii="仿宋" w:hAnsi="仿宋" w:eastAsia="仿宋" w:cs="仿宋"/>
                <w:sz w:val="24"/>
                <w:szCs w:val="24"/>
              </w:rPr>
            </w:pPr>
          </w:p>
        </w:tc>
        <w:tc>
          <w:tcPr>
            <w:tcW w:w="1933" w:type="dxa"/>
            <w:tcMar>
              <w:left w:w="57" w:type="dxa"/>
              <w:right w:w="57" w:type="dxa"/>
            </w:tcMar>
            <w:vAlign w:val="center"/>
          </w:tcPr>
          <w:p w14:paraId="7121EC3E">
            <w:pPr>
              <w:spacing w:line="460" w:lineRule="exact"/>
              <w:jc w:val="center"/>
              <w:rPr>
                <w:rFonts w:hint="eastAsia" w:ascii="仿宋" w:hAnsi="仿宋" w:eastAsia="仿宋" w:cs="仿宋"/>
                <w:sz w:val="24"/>
                <w:szCs w:val="24"/>
              </w:rPr>
            </w:pPr>
          </w:p>
        </w:tc>
        <w:tc>
          <w:tcPr>
            <w:tcW w:w="1539" w:type="dxa"/>
            <w:tcMar>
              <w:left w:w="57" w:type="dxa"/>
              <w:right w:w="57" w:type="dxa"/>
            </w:tcMar>
            <w:vAlign w:val="center"/>
          </w:tcPr>
          <w:p w14:paraId="35103440">
            <w:pPr>
              <w:spacing w:line="460" w:lineRule="exact"/>
              <w:jc w:val="center"/>
              <w:rPr>
                <w:rFonts w:hint="eastAsia" w:ascii="仿宋" w:hAnsi="仿宋" w:eastAsia="仿宋" w:cs="仿宋"/>
                <w:sz w:val="24"/>
                <w:szCs w:val="24"/>
              </w:rPr>
            </w:pPr>
          </w:p>
        </w:tc>
        <w:tc>
          <w:tcPr>
            <w:tcW w:w="795" w:type="dxa"/>
            <w:tcMar>
              <w:left w:w="57" w:type="dxa"/>
              <w:right w:w="57" w:type="dxa"/>
            </w:tcMar>
            <w:vAlign w:val="center"/>
          </w:tcPr>
          <w:p w14:paraId="49B14F9E">
            <w:pPr>
              <w:spacing w:line="460" w:lineRule="exact"/>
              <w:jc w:val="center"/>
              <w:rPr>
                <w:rFonts w:hint="eastAsia" w:ascii="仿宋" w:hAnsi="仿宋" w:eastAsia="仿宋" w:cs="仿宋"/>
                <w:sz w:val="24"/>
                <w:szCs w:val="24"/>
              </w:rPr>
            </w:pPr>
          </w:p>
        </w:tc>
        <w:tc>
          <w:tcPr>
            <w:tcW w:w="930" w:type="dxa"/>
            <w:tcMar>
              <w:left w:w="57" w:type="dxa"/>
              <w:right w:w="57" w:type="dxa"/>
            </w:tcMar>
            <w:vAlign w:val="center"/>
          </w:tcPr>
          <w:p w14:paraId="32484E78">
            <w:pPr>
              <w:spacing w:line="460" w:lineRule="exact"/>
              <w:jc w:val="center"/>
              <w:rPr>
                <w:rFonts w:hint="eastAsia" w:ascii="仿宋" w:hAnsi="仿宋" w:eastAsia="仿宋" w:cs="仿宋"/>
                <w:sz w:val="24"/>
                <w:szCs w:val="24"/>
              </w:rPr>
            </w:pPr>
          </w:p>
        </w:tc>
        <w:tc>
          <w:tcPr>
            <w:tcW w:w="2198" w:type="dxa"/>
            <w:tcMar>
              <w:left w:w="57" w:type="dxa"/>
              <w:right w:w="57" w:type="dxa"/>
            </w:tcMar>
            <w:vAlign w:val="center"/>
          </w:tcPr>
          <w:p w14:paraId="1AF724EB">
            <w:pPr>
              <w:spacing w:line="460" w:lineRule="exact"/>
              <w:jc w:val="center"/>
              <w:rPr>
                <w:rFonts w:hint="eastAsia" w:ascii="仿宋" w:hAnsi="仿宋" w:eastAsia="仿宋" w:cs="仿宋"/>
                <w:sz w:val="24"/>
                <w:szCs w:val="24"/>
              </w:rPr>
            </w:pPr>
          </w:p>
        </w:tc>
        <w:tc>
          <w:tcPr>
            <w:tcW w:w="1701" w:type="dxa"/>
            <w:tcMar>
              <w:left w:w="57" w:type="dxa"/>
              <w:right w:w="57" w:type="dxa"/>
            </w:tcMar>
            <w:vAlign w:val="center"/>
          </w:tcPr>
          <w:p w14:paraId="164FFE40">
            <w:pPr>
              <w:spacing w:line="460" w:lineRule="exact"/>
              <w:jc w:val="center"/>
              <w:rPr>
                <w:rFonts w:hint="eastAsia" w:ascii="仿宋" w:hAnsi="仿宋" w:eastAsia="仿宋" w:cs="仿宋"/>
                <w:sz w:val="24"/>
                <w:szCs w:val="24"/>
              </w:rPr>
            </w:pPr>
          </w:p>
        </w:tc>
        <w:tc>
          <w:tcPr>
            <w:tcW w:w="1672" w:type="dxa"/>
            <w:tcMar>
              <w:left w:w="57" w:type="dxa"/>
              <w:right w:w="57" w:type="dxa"/>
            </w:tcMar>
            <w:vAlign w:val="center"/>
          </w:tcPr>
          <w:p w14:paraId="15D99D8B">
            <w:pPr>
              <w:spacing w:line="460" w:lineRule="exact"/>
              <w:ind w:firstLine="120" w:firstLineChars="50"/>
              <w:rPr>
                <w:rFonts w:hint="eastAsia" w:ascii="仿宋" w:hAnsi="仿宋" w:eastAsia="仿宋" w:cs="仿宋"/>
                <w:color w:val="FF0000"/>
                <w:sz w:val="24"/>
                <w:szCs w:val="24"/>
              </w:rPr>
            </w:pPr>
          </w:p>
        </w:tc>
      </w:tr>
      <w:tr w14:paraId="6419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3B9786C5">
            <w:pPr>
              <w:spacing w:line="460" w:lineRule="exact"/>
              <w:jc w:val="center"/>
              <w:rPr>
                <w:rFonts w:hint="eastAsia" w:ascii="仿宋" w:hAnsi="仿宋" w:eastAsia="仿宋" w:cs="仿宋"/>
                <w:sz w:val="24"/>
                <w:szCs w:val="24"/>
              </w:rPr>
            </w:pPr>
            <w:r>
              <w:rPr>
                <w:rFonts w:hint="eastAsia" w:ascii="仿宋" w:hAnsi="仿宋" w:eastAsia="仿宋" w:cs="仿宋"/>
                <w:sz w:val="24"/>
                <w:szCs w:val="24"/>
              </w:rPr>
              <w:t>总 计（人民币元）</w:t>
            </w:r>
          </w:p>
        </w:tc>
        <w:tc>
          <w:tcPr>
            <w:tcW w:w="10768" w:type="dxa"/>
            <w:gridSpan w:val="7"/>
            <w:tcMar>
              <w:left w:w="57" w:type="dxa"/>
              <w:right w:w="57" w:type="dxa"/>
            </w:tcMar>
            <w:vAlign w:val="center"/>
          </w:tcPr>
          <w:p w14:paraId="3F1A040A">
            <w:pPr>
              <w:spacing w:line="460" w:lineRule="exact"/>
              <w:jc w:val="left"/>
              <w:rPr>
                <w:rFonts w:hint="eastAsia" w:ascii="仿宋" w:hAnsi="仿宋" w:eastAsia="仿宋" w:cs="仿宋"/>
                <w:sz w:val="24"/>
                <w:szCs w:val="24"/>
              </w:rPr>
            </w:pPr>
          </w:p>
        </w:tc>
      </w:tr>
    </w:tbl>
    <w:p w14:paraId="151412FC">
      <w:pPr>
        <w:pStyle w:val="5"/>
        <w:rPr>
          <w:rFonts w:hint="eastAsia" w:ascii="仿宋" w:hAnsi="仿宋" w:eastAsia="仿宋" w:cs="仿宋"/>
          <w:b/>
          <w:sz w:val="24"/>
          <w:szCs w:val="24"/>
        </w:rPr>
      </w:pPr>
    </w:p>
    <w:p w14:paraId="7488BE19">
      <w:pPr>
        <w:pStyle w:val="5"/>
        <w:rPr>
          <w:rFonts w:hint="eastAsia" w:ascii="仿宋" w:hAnsi="仿宋" w:eastAsia="仿宋" w:cs="仿宋"/>
          <w:b/>
          <w:sz w:val="24"/>
          <w:szCs w:val="24"/>
        </w:rPr>
      </w:pPr>
    </w:p>
    <w:p w14:paraId="3CF1C908">
      <w:pPr>
        <w:rPr>
          <w:rFonts w:hint="eastAsia" w:ascii="仿宋" w:hAnsi="仿宋" w:eastAsia="仿宋" w:cs="仿宋"/>
          <w:b/>
          <w:sz w:val="24"/>
          <w:szCs w:val="24"/>
        </w:rPr>
      </w:pPr>
    </w:p>
    <w:p w14:paraId="22BA0CCD">
      <w:pPr>
        <w:pStyle w:val="28"/>
        <w:ind w:firstLine="442"/>
        <w:rPr>
          <w:rFonts w:hint="eastAsia" w:ascii="仿宋" w:hAnsi="仿宋" w:eastAsia="仿宋" w:cs="仿宋"/>
          <w:b/>
          <w:sz w:val="24"/>
          <w:szCs w:val="24"/>
        </w:rPr>
      </w:pPr>
    </w:p>
    <w:p w14:paraId="5689E698">
      <w:pPr>
        <w:pStyle w:val="28"/>
        <w:ind w:firstLine="442"/>
        <w:rPr>
          <w:rFonts w:hint="eastAsia" w:ascii="仿宋" w:hAnsi="仿宋" w:eastAsia="仿宋" w:cs="仿宋"/>
          <w:b/>
          <w:sz w:val="24"/>
          <w:szCs w:val="24"/>
        </w:rPr>
      </w:pPr>
    </w:p>
    <w:p w14:paraId="5822CAFC">
      <w:pPr>
        <w:pStyle w:val="28"/>
        <w:ind w:firstLine="0" w:firstLineChars="0"/>
        <w:rPr>
          <w:rFonts w:hint="eastAsia" w:ascii="仿宋" w:hAnsi="仿宋" w:eastAsia="仿宋" w:cs="仿宋"/>
          <w:b/>
          <w:sz w:val="24"/>
          <w:szCs w:val="24"/>
        </w:rPr>
      </w:pPr>
    </w:p>
    <w:p w14:paraId="72D0A484">
      <w:pPr>
        <w:pStyle w:val="28"/>
        <w:ind w:firstLine="0" w:firstLineChars="0"/>
        <w:rPr>
          <w:rFonts w:hint="eastAsia" w:ascii="仿宋" w:hAnsi="仿宋" w:eastAsia="仿宋" w:cs="仿宋"/>
          <w:b/>
          <w:sz w:val="24"/>
          <w:szCs w:val="24"/>
        </w:rPr>
      </w:pPr>
    </w:p>
    <w:p w14:paraId="5B71203B">
      <w:pPr>
        <w:pStyle w:val="28"/>
        <w:ind w:firstLine="0" w:firstLineChars="0"/>
        <w:rPr>
          <w:rFonts w:hint="eastAsia" w:ascii="仿宋" w:hAnsi="仿宋" w:eastAsia="仿宋" w:cs="仿宋"/>
          <w:b/>
          <w:sz w:val="24"/>
          <w:szCs w:val="24"/>
        </w:rPr>
      </w:pPr>
    </w:p>
    <w:p w14:paraId="12E75166">
      <w:pPr>
        <w:pStyle w:val="5"/>
        <w:rPr>
          <w:rFonts w:hint="eastAsia" w:ascii="仿宋" w:hAnsi="仿宋" w:eastAsia="仿宋" w:cs="仿宋"/>
          <w:b/>
          <w:sz w:val="24"/>
          <w:szCs w:val="24"/>
        </w:rPr>
      </w:pPr>
    </w:p>
    <w:p w14:paraId="1BDA12FB">
      <w:pPr>
        <w:rPr>
          <w:rFonts w:hint="eastAsia" w:ascii="仿宋" w:hAnsi="仿宋" w:eastAsia="仿宋" w:cs="仿宋"/>
          <w:sz w:val="24"/>
          <w:szCs w:val="24"/>
        </w:rPr>
      </w:pPr>
    </w:p>
    <w:p w14:paraId="3F06201F">
      <w:pPr>
        <w:pStyle w:val="2"/>
        <w:rPr>
          <w:rFonts w:hint="eastAsia" w:ascii="仿宋" w:hAnsi="仿宋" w:eastAsia="仿宋" w:cs="仿宋"/>
          <w:sz w:val="24"/>
          <w:szCs w:val="24"/>
        </w:rPr>
      </w:pPr>
    </w:p>
    <w:p w14:paraId="21491E48">
      <w:pPr>
        <w:pStyle w:val="5"/>
        <w:rPr>
          <w:rFonts w:hint="eastAsia" w:ascii="仿宋" w:hAnsi="仿宋" w:eastAsia="仿宋" w:cs="仿宋"/>
          <w:b/>
          <w:sz w:val="24"/>
          <w:szCs w:val="24"/>
        </w:rPr>
      </w:pPr>
      <w:r>
        <w:rPr>
          <w:rFonts w:hint="eastAsia" w:ascii="仿宋" w:hAnsi="仿宋" w:eastAsia="仿宋" w:cs="仿宋"/>
          <w:b/>
          <w:sz w:val="24"/>
          <w:szCs w:val="24"/>
        </w:rPr>
        <w:t>附件2—货物技术规格与要求</w:t>
      </w:r>
    </w:p>
    <w:tbl>
      <w:tblPr>
        <w:tblStyle w:val="16"/>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38DB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0D1B6702">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969" w:type="dxa"/>
            <w:vAlign w:val="center"/>
          </w:tcPr>
          <w:p w14:paraId="6F4B69B4">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名  称</w:t>
            </w:r>
          </w:p>
        </w:tc>
        <w:tc>
          <w:tcPr>
            <w:tcW w:w="1305" w:type="dxa"/>
            <w:vAlign w:val="center"/>
          </w:tcPr>
          <w:p w14:paraId="3B22FE26">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品牌/型号</w:t>
            </w:r>
          </w:p>
        </w:tc>
        <w:tc>
          <w:tcPr>
            <w:tcW w:w="8008" w:type="dxa"/>
            <w:vAlign w:val="center"/>
          </w:tcPr>
          <w:p w14:paraId="487CD70A">
            <w:pPr>
              <w:spacing w:line="460" w:lineRule="exact"/>
              <w:ind w:left="280" w:leftChars="100"/>
              <w:jc w:val="center"/>
              <w:rPr>
                <w:rFonts w:hint="eastAsia" w:ascii="仿宋" w:hAnsi="仿宋" w:eastAsia="仿宋" w:cs="仿宋"/>
                <w:b/>
                <w:sz w:val="24"/>
                <w:szCs w:val="24"/>
              </w:rPr>
            </w:pPr>
            <w:r>
              <w:rPr>
                <w:rFonts w:hint="eastAsia" w:ascii="仿宋" w:hAnsi="仿宋" w:eastAsia="仿宋" w:cs="仿宋"/>
                <w:b/>
                <w:sz w:val="24"/>
                <w:szCs w:val="24"/>
              </w:rPr>
              <w:t>配置、规格及主要技术参数</w:t>
            </w:r>
          </w:p>
        </w:tc>
        <w:tc>
          <w:tcPr>
            <w:tcW w:w="1365" w:type="dxa"/>
            <w:vAlign w:val="center"/>
          </w:tcPr>
          <w:p w14:paraId="78526F4C">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制造厂家</w:t>
            </w:r>
          </w:p>
        </w:tc>
        <w:tc>
          <w:tcPr>
            <w:tcW w:w="1052" w:type="dxa"/>
            <w:tcMar>
              <w:top w:w="28" w:type="dxa"/>
              <w:left w:w="57" w:type="dxa"/>
              <w:bottom w:w="28" w:type="dxa"/>
              <w:right w:w="57" w:type="dxa"/>
            </w:tcMar>
            <w:vAlign w:val="center"/>
          </w:tcPr>
          <w:p w14:paraId="0D84C08E">
            <w:pPr>
              <w:spacing w:line="460" w:lineRule="exact"/>
              <w:jc w:val="center"/>
              <w:rPr>
                <w:rFonts w:hint="eastAsia" w:ascii="仿宋" w:hAnsi="仿宋" w:eastAsia="仿宋" w:cs="仿宋"/>
                <w:b/>
                <w:sz w:val="24"/>
                <w:szCs w:val="24"/>
              </w:rPr>
            </w:pPr>
            <w:r>
              <w:rPr>
                <w:rFonts w:hint="eastAsia" w:ascii="仿宋" w:hAnsi="仿宋" w:eastAsia="仿宋" w:cs="仿宋"/>
                <w:b/>
                <w:sz w:val="24"/>
                <w:szCs w:val="24"/>
              </w:rPr>
              <w:t>数量</w:t>
            </w:r>
          </w:p>
        </w:tc>
      </w:tr>
      <w:tr w14:paraId="75D8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62F44BD7">
            <w:pPr>
              <w:spacing w:line="4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969" w:type="dxa"/>
            <w:vAlign w:val="center"/>
          </w:tcPr>
          <w:p w14:paraId="510E71EA">
            <w:pPr>
              <w:spacing w:line="460" w:lineRule="exact"/>
              <w:jc w:val="center"/>
              <w:rPr>
                <w:rFonts w:hint="eastAsia" w:ascii="仿宋" w:hAnsi="仿宋" w:eastAsia="仿宋" w:cs="仿宋"/>
                <w:sz w:val="24"/>
                <w:szCs w:val="24"/>
              </w:rPr>
            </w:pPr>
          </w:p>
        </w:tc>
        <w:tc>
          <w:tcPr>
            <w:tcW w:w="1305" w:type="dxa"/>
            <w:vAlign w:val="center"/>
          </w:tcPr>
          <w:p w14:paraId="3234ECAF">
            <w:pPr>
              <w:spacing w:line="460" w:lineRule="exact"/>
              <w:jc w:val="center"/>
              <w:rPr>
                <w:rFonts w:hint="eastAsia" w:ascii="仿宋" w:hAnsi="仿宋" w:eastAsia="仿宋" w:cs="仿宋"/>
                <w:sz w:val="24"/>
                <w:szCs w:val="24"/>
              </w:rPr>
            </w:pPr>
          </w:p>
        </w:tc>
        <w:tc>
          <w:tcPr>
            <w:tcW w:w="8008" w:type="dxa"/>
            <w:vAlign w:val="center"/>
          </w:tcPr>
          <w:p w14:paraId="2961D3D7">
            <w:pPr>
              <w:rPr>
                <w:rFonts w:hint="eastAsia" w:ascii="仿宋" w:hAnsi="仿宋" w:eastAsia="仿宋" w:cs="仿宋"/>
                <w:sz w:val="24"/>
                <w:szCs w:val="24"/>
              </w:rPr>
            </w:pPr>
          </w:p>
        </w:tc>
        <w:tc>
          <w:tcPr>
            <w:tcW w:w="1365" w:type="dxa"/>
            <w:vAlign w:val="center"/>
          </w:tcPr>
          <w:p w14:paraId="2908B56D">
            <w:pPr>
              <w:spacing w:line="460" w:lineRule="exact"/>
              <w:ind w:left="280" w:leftChars="100"/>
              <w:jc w:val="left"/>
              <w:rPr>
                <w:rFonts w:hint="eastAsia" w:ascii="仿宋" w:hAnsi="仿宋" w:eastAsia="仿宋" w:cs="仿宋"/>
                <w:sz w:val="24"/>
                <w:szCs w:val="24"/>
              </w:rPr>
            </w:pPr>
          </w:p>
        </w:tc>
        <w:tc>
          <w:tcPr>
            <w:tcW w:w="1052" w:type="dxa"/>
            <w:tcMar>
              <w:top w:w="28" w:type="dxa"/>
              <w:left w:w="57" w:type="dxa"/>
              <w:bottom w:w="28" w:type="dxa"/>
              <w:right w:w="57" w:type="dxa"/>
            </w:tcMar>
            <w:vAlign w:val="center"/>
          </w:tcPr>
          <w:p w14:paraId="4E24D3AA">
            <w:pPr>
              <w:spacing w:line="460" w:lineRule="exact"/>
              <w:ind w:left="280" w:leftChars="100"/>
              <w:jc w:val="left"/>
              <w:rPr>
                <w:rFonts w:hint="eastAsia" w:ascii="仿宋" w:hAnsi="仿宋" w:eastAsia="仿宋" w:cs="仿宋"/>
                <w:sz w:val="24"/>
                <w:szCs w:val="24"/>
              </w:rPr>
            </w:pPr>
          </w:p>
        </w:tc>
      </w:tr>
    </w:tbl>
    <w:p w14:paraId="3876D2D6">
      <w:pPr>
        <w:pStyle w:val="5"/>
        <w:rPr>
          <w:rFonts w:hint="eastAsia" w:ascii="仿宋" w:hAnsi="仿宋" w:eastAsia="仿宋" w:cs="仿宋"/>
          <w:sz w:val="24"/>
          <w:szCs w:val="24"/>
        </w:rPr>
        <w:sectPr>
          <w:pgSz w:w="16838" w:h="11906" w:orient="landscape"/>
          <w:pgMar w:top="1800" w:right="1440" w:bottom="1800" w:left="1440" w:header="851" w:footer="992" w:gutter="0"/>
          <w:cols w:space="425" w:num="1"/>
          <w:docGrid w:type="lines" w:linePitch="312" w:charSpace="0"/>
        </w:sectPr>
      </w:pPr>
    </w:p>
    <w:p w14:paraId="41832699">
      <w:pPr>
        <w:spacing w:line="480" w:lineRule="exact"/>
        <w:rPr>
          <w:rFonts w:hint="eastAsia" w:ascii="仿宋" w:hAnsi="仿宋" w:eastAsia="仿宋" w:cs="仿宋"/>
          <w:b/>
          <w:bCs/>
          <w:sz w:val="24"/>
          <w:szCs w:val="24"/>
        </w:rPr>
      </w:pPr>
      <w:r>
        <w:rPr>
          <w:rFonts w:hint="eastAsia" w:ascii="仿宋" w:hAnsi="仿宋" w:eastAsia="仿宋" w:cs="仿宋"/>
          <w:b/>
          <w:bCs/>
          <w:sz w:val="24"/>
          <w:szCs w:val="24"/>
        </w:rPr>
        <w:t>附件3—质量保证承诺</w:t>
      </w:r>
    </w:p>
    <w:p w14:paraId="08E7DA4F">
      <w:pPr>
        <w:spacing w:line="460" w:lineRule="exact"/>
        <w:rPr>
          <w:rFonts w:hint="eastAsia" w:ascii="仿宋" w:hAnsi="仿宋" w:eastAsia="仿宋" w:cs="仿宋"/>
          <w:b/>
          <w:bCs/>
          <w:sz w:val="24"/>
          <w:szCs w:val="24"/>
        </w:rPr>
      </w:pPr>
    </w:p>
    <w:p w14:paraId="41AEB4E8">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附件4—售后服务方案</w:t>
      </w:r>
    </w:p>
    <w:p w14:paraId="24432BB6">
      <w:pPr>
        <w:spacing w:line="460" w:lineRule="exact"/>
        <w:rPr>
          <w:rFonts w:hint="eastAsia" w:ascii="仿宋" w:hAnsi="仿宋" w:eastAsia="仿宋" w:cs="仿宋"/>
          <w:b/>
          <w:bCs/>
          <w:sz w:val="24"/>
          <w:szCs w:val="24"/>
        </w:rPr>
      </w:pPr>
    </w:p>
    <w:p w14:paraId="3FF0A123">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附件5—培训计划</w:t>
      </w:r>
    </w:p>
    <w:p w14:paraId="014189C8">
      <w:pPr>
        <w:pStyle w:val="28"/>
        <w:ind w:firstLine="0" w:firstLineChars="0"/>
        <w:rPr>
          <w:rFonts w:hint="eastAsia" w:ascii="仿宋" w:hAnsi="仿宋" w:eastAsia="仿宋" w:cs="仿宋"/>
          <w:sz w:val="24"/>
          <w:szCs w:val="24"/>
        </w:rPr>
      </w:pPr>
    </w:p>
    <w:p w14:paraId="0A80BF15">
      <w:pPr>
        <w:spacing w:line="460" w:lineRule="exact"/>
        <w:rPr>
          <w:rFonts w:hint="eastAsia" w:ascii="仿宋" w:hAnsi="仿宋" w:eastAsia="仿宋" w:cs="仿宋"/>
          <w:b/>
          <w:bCs/>
          <w:sz w:val="24"/>
          <w:szCs w:val="24"/>
        </w:rPr>
      </w:pPr>
    </w:p>
    <w:p w14:paraId="1763C682">
      <w:pPr>
        <w:tabs>
          <w:tab w:val="left" w:pos="7056"/>
          <w:tab w:val="clear" w:pos="480"/>
        </w:tabs>
        <w:spacing w:line="460" w:lineRule="exact"/>
        <w:rPr>
          <w:rFonts w:hint="eastAsia" w:ascii="仿宋" w:hAnsi="仿宋" w:eastAsia="仿宋" w:cs="仿宋"/>
          <w:b/>
          <w:bCs/>
          <w:sz w:val="24"/>
          <w:szCs w:val="24"/>
        </w:rPr>
      </w:pPr>
      <w:r>
        <w:rPr>
          <w:rFonts w:hint="eastAsia" w:ascii="仿宋" w:hAnsi="仿宋" w:eastAsia="仿宋" w:cs="仿宋"/>
          <w:b/>
          <w:bCs/>
          <w:sz w:val="24"/>
          <w:szCs w:val="24"/>
        </w:rPr>
        <w:tab/>
      </w:r>
    </w:p>
    <w:p w14:paraId="002AB4CC">
      <w:pPr>
        <w:spacing w:line="460" w:lineRule="exact"/>
        <w:rPr>
          <w:rFonts w:hint="eastAsia" w:ascii="仿宋" w:hAnsi="仿宋" w:eastAsia="仿宋" w:cs="仿宋"/>
          <w:b/>
          <w:bCs/>
          <w:sz w:val="24"/>
          <w:szCs w:val="24"/>
        </w:rPr>
      </w:pPr>
    </w:p>
    <w:p w14:paraId="57C470D9">
      <w:pPr>
        <w:spacing w:line="460" w:lineRule="exact"/>
        <w:rPr>
          <w:rFonts w:hint="eastAsia" w:ascii="仿宋" w:hAnsi="仿宋" w:eastAsia="仿宋" w:cs="仿宋"/>
          <w:b/>
          <w:bCs/>
          <w:sz w:val="24"/>
          <w:szCs w:val="24"/>
        </w:rPr>
      </w:pPr>
    </w:p>
    <w:p w14:paraId="3A6C628B">
      <w:pPr>
        <w:spacing w:line="460" w:lineRule="exact"/>
        <w:rPr>
          <w:rFonts w:hint="eastAsia" w:ascii="仿宋" w:hAnsi="仿宋" w:eastAsia="仿宋" w:cs="仿宋"/>
          <w:b/>
          <w:bCs/>
          <w:sz w:val="24"/>
          <w:szCs w:val="24"/>
        </w:rPr>
      </w:pPr>
    </w:p>
    <w:p w14:paraId="76F90448">
      <w:pPr>
        <w:spacing w:line="460" w:lineRule="exact"/>
        <w:rPr>
          <w:rFonts w:hint="eastAsia" w:ascii="仿宋" w:hAnsi="仿宋" w:eastAsia="仿宋" w:cs="仿宋"/>
          <w:b/>
          <w:bCs/>
          <w:sz w:val="24"/>
          <w:szCs w:val="24"/>
        </w:rPr>
      </w:pPr>
    </w:p>
    <w:p w14:paraId="38D9D9AB">
      <w:pPr>
        <w:spacing w:line="460" w:lineRule="exact"/>
        <w:rPr>
          <w:rFonts w:hint="eastAsia" w:ascii="仿宋" w:hAnsi="仿宋" w:eastAsia="仿宋" w:cs="仿宋"/>
          <w:b/>
          <w:bCs/>
          <w:sz w:val="24"/>
          <w:szCs w:val="24"/>
        </w:rPr>
      </w:pPr>
    </w:p>
    <w:p w14:paraId="0D08E90D">
      <w:pPr>
        <w:spacing w:line="460" w:lineRule="exact"/>
        <w:rPr>
          <w:rFonts w:hint="eastAsia" w:ascii="仿宋" w:hAnsi="仿宋" w:eastAsia="仿宋" w:cs="仿宋"/>
          <w:b/>
          <w:bCs/>
          <w:sz w:val="24"/>
          <w:szCs w:val="24"/>
        </w:rPr>
      </w:pPr>
    </w:p>
    <w:p w14:paraId="44E3401E">
      <w:pPr>
        <w:spacing w:line="460" w:lineRule="exact"/>
        <w:rPr>
          <w:rFonts w:hint="eastAsia" w:ascii="仿宋" w:hAnsi="仿宋" w:eastAsia="仿宋" w:cs="仿宋"/>
          <w:b/>
          <w:bCs/>
          <w:sz w:val="24"/>
          <w:szCs w:val="24"/>
        </w:rPr>
      </w:pPr>
    </w:p>
    <w:p w14:paraId="22F39CA6">
      <w:pPr>
        <w:spacing w:line="460" w:lineRule="exact"/>
        <w:rPr>
          <w:rFonts w:hint="eastAsia" w:ascii="仿宋" w:hAnsi="仿宋" w:eastAsia="仿宋" w:cs="仿宋"/>
          <w:b/>
          <w:bCs/>
          <w:sz w:val="24"/>
          <w:szCs w:val="24"/>
        </w:rPr>
      </w:pPr>
    </w:p>
    <w:p w14:paraId="3EEEA0F8">
      <w:pPr>
        <w:spacing w:line="460" w:lineRule="exact"/>
        <w:rPr>
          <w:rFonts w:hint="eastAsia" w:ascii="仿宋" w:hAnsi="仿宋" w:eastAsia="仿宋" w:cs="仿宋"/>
          <w:b/>
          <w:bCs/>
          <w:sz w:val="24"/>
          <w:szCs w:val="24"/>
        </w:rPr>
      </w:pPr>
    </w:p>
    <w:p w14:paraId="5F1E0FED">
      <w:pPr>
        <w:spacing w:line="460" w:lineRule="exact"/>
        <w:rPr>
          <w:rFonts w:hint="eastAsia" w:ascii="仿宋" w:hAnsi="仿宋" w:eastAsia="仿宋" w:cs="仿宋"/>
          <w:b/>
          <w:bCs/>
          <w:sz w:val="24"/>
          <w:szCs w:val="24"/>
        </w:rPr>
      </w:pPr>
    </w:p>
    <w:p w14:paraId="3A76D646">
      <w:pPr>
        <w:spacing w:line="460" w:lineRule="exact"/>
        <w:rPr>
          <w:rFonts w:hint="eastAsia" w:ascii="仿宋" w:hAnsi="仿宋" w:eastAsia="仿宋" w:cs="仿宋"/>
          <w:b/>
          <w:bCs/>
          <w:sz w:val="24"/>
          <w:szCs w:val="24"/>
        </w:rPr>
      </w:pPr>
    </w:p>
    <w:p w14:paraId="35DC1458">
      <w:pPr>
        <w:spacing w:line="460" w:lineRule="exact"/>
        <w:rPr>
          <w:rFonts w:hint="eastAsia" w:ascii="仿宋" w:hAnsi="仿宋" w:eastAsia="仿宋" w:cs="仿宋"/>
          <w:b/>
          <w:bCs/>
          <w:sz w:val="24"/>
          <w:szCs w:val="24"/>
        </w:rPr>
      </w:pPr>
    </w:p>
    <w:p w14:paraId="005BDD53">
      <w:pPr>
        <w:spacing w:line="460" w:lineRule="exact"/>
        <w:rPr>
          <w:rFonts w:hint="eastAsia" w:ascii="仿宋" w:hAnsi="仿宋" w:eastAsia="仿宋" w:cs="仿宋"/>
          <w:b/>
          <w:bCs/>
          <w:sz w:val="24"/>
          <w:szCs w:val="24"/>
        </w:rPr>
      </w:pPr>
    </w:p>
    <w:p w14:paraId="2CADE38F">
      <w:pPr>
        <w:spacing w:line="460" w:lineRule="exact"/>
        <w:rPr>
          <w:rFonts w:hint="eastAsia" w:ascii="仿宋" w:hAnsi="仿宋" w:eastAsia="仿宋" w:cs="仿宋"/>
          <w:b/>
          <w:bCs/>
          <w:sz w:val="24"/>
          <w:szCs w:val="24"/>
        </w:rPr>
      </w:pPr>
    </w:p>
    <w:p w14:paraId="5CB7BA8A">
      <w:pPr>
        <w:spacing w:line="460" w:lineRule="exact"/>
        <w:rPr>
          <w:rFonts w:hint="eastAsia" w:ascii="仿宋" w:hAnsi="仿宋" w:eastAsia="仿宋" w:cs="仿宋"/>
          <w:b/>
          <w:bCs/>
          <w:sz w:val="24"/>
          <w:szCs w:val="24"/>
        </w:rPr>
      </w:pPr>
    </w:p>
    <w:p w14:paraId="29C05751">
      <w:pPr>
        <w:spacing w:line="460" w:lineRule="exact"/>
        <w:rPr>
          <w:rFonts w:hint="eastAsia" w:ascii="仿宋" w:hAnsi="仿宋" w:eastAsia="仿宋" w:cs="仿宋"/>
          <w:b/>
          <w:bCs/>
          <w:sz w:val="24"/>
          <w:szCs w:val="24"/>
        </w:rPr>
      </w:pPr>
    </w:p>
    <w:p w14:paraId="57745758">
      <w:pPr>
        <w:spacing w:line="460" w:lineRule="exact"/>
        <w:rPr>
          <w:rFonts w:hint="eastAsia" w:ascii="仿宋" w:hAnsi="仿宋" w:eastAsia="仿宋" w:cs="仿宋"/>
          <w:b/>
          <w:bCs/>
          <w:sz w:val="24"/>
          <w:szCs w:val="24"/>
        </w:rPr>
      </w:pPr>
    </w:p>
    <w:p w14:paraId="48D52782">
      <w:pPr>
        <w:spacing w:line="460" w:lineRule="exact"/>
        <w:rPr>
          <w:rFonts w:hint="eastAsia" w:ascii="仿宋" w:hAnsi="仿宋" w:eastAsia="仿宋" w:cs="仿宋"/>
          <w:b/>
          <w:bCs/>
          <w:sz w:val="24"/>
          <w:szCs w:val="24"/>
        </w:rPr>
      </w:pPr>
    </w:p>
    <w:p w14:paraId="69B250EA">
      <w:pPr>
        <w:spacing w:line="460" w:lineRule="exact"/>
        <w:rPr>
          <w:rFonts w:hint="eastAsia" w:ascii="仿宋" w:hAnsi="仿宋" w:eastAsia="仿宋" w:cs="仿宋"/>
          <w:b/>
          <w:bCs/>
          <w:sz w:val="24"/>
          <w:szCs w:val="24"/>
        </w:rPr>
      </w:pPr>
    </w:p>
    <w:p w14:paraId="6BCC5835">
      <w:pPr>
        <w:spacing w:line="460" w:lineRule="exact"/>
        <w:rPr>
          <w:rFonts w:hint="eastAsia" w:ascii="仿宋" w:hAnsi="仿宋" w:eastAsia="仿宋" w:cs="仿宋"/>
          <w:b/>
          <w:bCs/>
          <w:sz w:val="24"/>
          <w:szCs w:val="24"/>
        </w:rPr>
      </w:pPr>
    </w:p>
    <w:p w14:paraId="32C42377">
      <w:pPr>
        <w:spacing w:line="460" w:lineRule="exact"/>
        <w:rPr>
          <w:rFonts w:hint="eastAsia" w:ascii="仿宋" w:hAnsi="仿宋" w:eastAsia="仿宋" w:cs="仿宋"/>
          <w:b/>
          <w:bCs/>
          <w:sz w:val="24"/>
          <w:szCs w:val="24"/>
        </w:rPr>
      </w:pPr>
    </w:p>
    <w:p w14:paraId="45B2E400">
      <w:pPr>
        <w:spacing w:line="460" w:lineRule="exact"/>
        <w:rPr>
          <w:rFonts w:hint="eastAsia" w:ascii="仿宋" w:hAnsi="仿宋" w:eastAsia="仿宋" w:cs="仿宋"/>
          <w:b/>
          <w:bCs/>
          <w:sz w:val="24"/>
          <w:szCs w:val="24"/>
        </w:rPr>
      </w:pPr>
    </w:p>
    <w:p w14:paraId="4A4F81C4">
      <w:pPr>
        <w:spacing w:line="460" w:lineRule="exact"/>
        <w:rPr>
          <w:rFonts w:hint="eastAsia" w:ascii="仿宋" w:hAnsi="仿宋" w:eastAsia="仿宋" w:cs="仿宋"/>
          <w:b/>
          <w:bCs/>
          <w:sz w:val="24"/>
          <w:szCs w:val="24"/>
        </w:rPr>
      </w:pPr>
      <w:r>
        <w:rPr>
          <w:rFonts w:hint="eastAsia" w:ascii="仿宋" w:hAnsi="仿宋" w:eastAsia="仿宋" w:cs="仿宋"/>
          <w:b/>
          <w:bCs/>
          <w:sz w:val="24"/>
          <w:szCs w:val="24"/>
        </w:rPr>
        <w:t>附件6--（中标（成交）通知书复印件）</w:t>
      </w:r>
    </w:p>
    <w:p w14:paraId="67321A50">
      <w:pPr>
        <w:pStyle w:val="5"/>
        <w:rPr>
          <w:rFonts w:hint="eastAsia" w:ascii="仿宋" w:hAnsi="仿宋" w:eastAsia="仿宋" w:cs="仿宋"/>
          <w:sz w:val="24"/>
          <w:szCs w:val="24"/>
        </w:rPr>
      </w:pPr>
    </w:p>
    <w:tbl>
      <w:tblPr>
        <w:tblStyle w:val="17"/>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0F085A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082859C4">
            <w:pPr>
              <w:pStyle w:val="5"/>
              <w:rPr>
                <w:rFonts w:hint="eastAsia" w:ascii="仿宋" w:hAnsi="仿宋" w:eastAsia="仿宋" w:cs="仿宋"/>
                <w:sz w:val="24"/>
                <w:szCs w:val="24"/>
              </w:rPr>
            </w:pPr>
          </w:p>
        </w:tc>
      </w:tr>
    </w:tbl>
    <w:p w14:paraId="4E8466A5">
      <w:pPr>
        <w:pStyle w:val="28"/>
        <w:ind w:firstLine="0" w:firstLineChars="0"/>
        <w:rPr>
          <w:rFonts w:hint="eastAsia" w:ascii="仿宋" w:hAnsi="仿宋" w:eastAsia="仿宋" w:cs="仿宋"/>
          <w:sz w:val="24"/>
          <w:szCs w:val="24"/>
        </w:rPr>
      </w:pPr>
    </w:p>
    <w:p w14:paraId="51289F82">
      <w:pPr>
        <w:ind w:firstLine="1200" w:firstLineChars="500"/>
        <w:rPr>
          <w:rFonts w:hint="eastAsia" w:ascii="仿宋" w:hAnsi="仿宋" w:eastAsia="仿宋" w:cs="仿宋"/>
          <w:sz w:val="24"/>
          <w:szCs w:val="24"/>
        </w:rPr>
      </w:pPr>
      <w:r>
        <w:rPr>
          <w:rFonts w:hint="eastAsia" w:ascii="仿宋" w:hAnsi="仿宋" w:eastAsia="仿宋" w:cs="仿宋"/>
          <w:sz w:val="24"/>
          <w:szCs w:val="24"/>
        </w:rPr>
        <w:t>政府采购供应商基本信息采集表</w:t>
      </w:r>
    </w:p>
    <w:p w14:paraId="1E7C2149">
      <w:pPr>
        <w:rPr>
          <w:rFonts w:hint="eastAsia" w:ascii="仿宋" w:hAnsi="仿宋" w:eastAsia="仿宋" w:cs="仿宋"/>
          <w:sz w:val="24"/>
          <w:szCs w:val="24"/>
        </w:rPr>
      </w:pPr>
      <w:r>
        <w:rPr>
          <w:rFonts w:hint="eastAsia" w:ascii="仿宋" w:hAnsi="仿宋" w:eastAsia="仿宋" w:cs="仿宋"/>
          <w:sz w:val="24"/>
          <w:szCs w:val="24"/>
        </w:rPr>
        <w:t xml:space="preserve">   按照财政部地方政府采购信息统计报表编报说明要求，请供应商如实填写下表：</w:t>
      </w:r>
    </w:p>
    <w:p w14:paraId="1B15A5F1">
      <w:pPr>
        <w:pStyle w:val="28"/>
        <w:numPr>
          <w:ilvl w:val="0"/>
          <w:numId w:val="9"/>
        </w:numPr>
        <w:snapToGrid w:val="0"/>
        <w:ind w:firstLineChars="0"/>
        <w:rPr>
          <w:rFonts w:hint="eastAsia" w:ascii="仿宋" w:hAnsi="仿宋" w:eastAsia="仿宋" w:cs="仿宋"/>
          <w:kern w:val="2"/>
          <w:sz w:val="24"/>
          <w:szCs w:val="24"/>
        </w:rPr>
      </w:pPr>
      <w:r>
        <w:rPr>
          <w:rFonts w:hint="eastAsia" w:ascii="仿宋" w:hAnsi="仿宋" w:eastAsia="仿宋" w:cs="仿宋"/>
          <w:kern w:val="2"/>
          <w:sz w:val="24"/>
          <w:szCs w:val="24"/>
        </w:rPr>
        <w:t>供应商规模：</w:t>
      </w:r>
    </w:p>
    <w:p w14:paraId="288BDFC6">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大型企业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中型企业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小型企业  </w:t>
      </w:r>
      <w:r>
        <w:rPr>
          <w:rFonts w:hint="eastAsia" w:ascii="仿宋" w:hAnsi="仿宋" w:eastAsia="仿宋" w:cs="仿宋"/>
          <w:sz w:val="24"/>
          <w:szCs w:val="24"/>
        </w:rPr>
        <w:sym w:font="Wingdings" w:char="00A8"/>
      </w:r>
      <w:r>
        <w:rPr>
          <w:rFonts w:hint="eastAsia" w:ascii="仿宋" w:hAnsi="仿宋" w:eastAsia="仿宋" w:cs="仿宋"/>
          <w:sz w:val="24"/>
          <w:szCs w:val="24"/>
        </w:rPr>
        <w:t>微型企业</w:t>
      </w:r>
    </w:p>
    <w:p w14:paraId="191484E0">
      <w:pPr>
        <w:pStyle w:val="28"/>
        <w:numPr>
          <w:ilvl w:val="255"/>
          <w:numId w:val="0"/>
        </w:numPr>
        <w:snapToGrid w:val="0"/>
        <w:ind w:firstLine="720" w:firstLineChars="300"/>
        <w:rPr>
          <w:rFonts w:hint="eastAsia" w:ascii="仿宋" w:hAnsi="仿宋" w:eastAsia="仿宋" w:cs="仿宋"/>
          <w:sz w:val="24"/>
          <w:szCs w:val="24"/>
        </w:rPr>
      </w:pPr>
      <w:r>
        <w:rPr>
          <w:rFonts w:hint="eastAsia" w:ascii="仿宋" w:hAnsi="仿宋" w:eastAsia="仿宋" w:cs="仿宋"/>
          <w:sz w:val="24"/>
          <w:szCs w:val="24"/>
        </w:rPr>
        <w:t>说明：根据《关于印发中小企业划型标准规定的通知》（工信部联企业〔2011〕300号）规定。</w:t>
      </w:r>
    </w:p>
    <w:p w14:paraId="433A45F7">
      <w:pPr>
        <w:pStyle w:val="28"/>
        <w:numPr>
          <w:ilvl w:val="0"/>
          <w:numId w:val="9"/>
        </w:numPr>
        <w:snapToGrid w:val="0"/>
        <w:ind w:firstLineChars="0"/>
        <w:rPr>
          <w:rFonts w:hint="eastAsia" w:ascii="仿宋" w:hAnsi="仿宋" w:eastAsia="仿宋" w:cs="仿宋"/>
          <w:kern w:val="2"/>
          <w:sz w:val="24"/>
          <w:szCs w:val="24"/>
        </w:rPr>
      </w:pPr>
      <w:r>
        <w:rPr>
          <w:rFonts w:hint="eastAsia" w:ascii="仿宋" w:hAnsi="仿宋" w:eastAsia="仿宋" w:cs="仿宋"/>
          <w:kern w:val="2"/>
          <w:sz w:val="24"/>
          <w:szCs w:val="24"/>
        </w:rPr>
        <w:t>供应商特殊性质：</w:t>
      </w:r>
    </w:p>
    <w:p w14:paraId="2D9ADE3D">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残疾人福利性单位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监狱企业 </w:t>
      </w:r>
      <w:r>
        <w:rPr>
          <w:rFonts w:hint="eastAsia" w:ascii="仿宋" w:hAnsi="仿宋" w:eastAsia="仿宋" w:cs="仿宋"/>
          <w:sz w:val="24"/>
          <w:szCs w:val="24"/>
        </w:rPr>
        <w:sym w:font="Wingdings" w:char="00A8"/>
      </w:r>
      <w:r>
        <w:rPr>
          <w:rFonts w:hint="eastAsia" w:ascii="仿宋" w:hAnsi="仿宋" w:eastAsia="仿宋" w:cs="仿宋"/>
          <w:sz w:val="24"/>
          <w:szCs w:val="24"/>
        </w:rPr>
        <w:t>其他</w:t>
      </w:r>
    </w:p>
    <w:p w14:paraId="294C84E8">
      <w:pPr>
        <w:pStyle w:val="28"/>
        <w:numPr>
          <w:ilvl w:val="255"/>
          <w:numId w:val="0"/>
        </w:numPr>
        <w:snapToGrid w:val="0"/>
        <w:ind w:firstLine="720" w:firstLineChars="300"/>
        <w:rPr>
          <w:rFonts w:hint="eastAsia" w:ascii="仿宋" w:hAnsi="仿宋" w:eastAsia="仿宋" w:cs="仿宋"/>
          <w:kern w:val="2"/>
          <w:sz w:val="24"/>
          <w:szCs w:val="24"/>
        </w:rPr>
      </w:pPr>
      <w:r>
        <w:rPr>
          <w:rFonts w:hint="eastAsia" w:ascii="仿宋" w:hAnsi="仿宋" w:eastAsia="仿宋" w:cs="仿宋"/>
          <w:sz w:val="24"/>
          <w:szCs w:val="24"/>
        </w:rPr>
        <w:t>说明：根据《财政部司法部关于政府采购支持监狱企业发展有关问题的通知》（财库〔2014〕68号）、《财政部 民政部 中国残疾人联合会关于促进残疾人就业政府采购政策 的通知》（财库〔2017〕141号）的有关规定判断。</w:t>
      </w:r>
    </w:p>
    <w:p w14:paraId="77937B57">
      <w:pPr>
        <w:pStyle w:val="28"/>
        <w:numPr>
          <w:ilvl w:val="255"/>
          <w:numId w:val="0"/>
        </w:numPr>
        <w:snapToGrid w:val="0"/>
        <w:ind w:firstLine="480" w:firstLineChars="200"/>
        <w:rPr>
          <w:rFonts w:hint="eastAsia" w:ascii="仿宋" w:hAnsi="仿宋" w:eastAsia="仿宋" w:cs="仿宋"/>
          <w:kern w:val="2"/>
          <w:sz w:val="24"/>
          <w:szCs w:val="24"/>
        </w:rPr>
      </w:pPr>
      <w:r>
        <w:rPr>
          <w:rFonts w:hint="eastAsia" w:ascii="仿宋" w:hAnsi="仿宋" w:eastAsia="仿宋" w:cs="仿宋"/>
          <w:kern w:val="2"/>
          <w:sz w:val="24"/>
          <w:szCs w:val="24"/>
        </w:rPr>
        <w:t xml:space="preserve">（3）供应商拥有者性别：   </w:t>
      </w:r>
      <w:bookmarkStart w:id="9" w:name="_Hlk184734448"/>
      <w:r>
        <w:rPr>
          <w:rFonts w:hint="eastAsia" w:ascii="仿宋" w:hAnsi="仿宋" w:eastAsia="仿宋" w:cs="仿宋"/>
          <w:kern w:val="2"/>
          <w:sz w:val="24"/>
          <w:szCs w:val="24"/>
        </w:rPr>
        <w:sym w:font="Wingdings" w:char="00A8"/>
      </w:r>
      <w:bookmarkEnd w:id="9"/>
      <w:r>
        <w:rPr>
          <w:rFonts w:hint="eastAsia" w:ascii="仿宋" w:hAnsi="仿宋" w:eastAsia="仿宋" w:cs="仿宋"/>
          <w:kern w:val="2"/>
          <w:sz w:val="24"/>
          <w:szCs w:val="24"/>
        </w:rPr>
        <w:t xml:space="preserve">男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女</w:t>
      </w:r>
    </w:p>
    <w:p w14:paraId="6FEFA83F">
      <w:pPr>
        <w:pStyle w:val="28"/>
        <w:numPr>
          <w:ilvl w:val="255"/>
          <w:numId w:val="0"/>
        </w:numPr>
        <w:snapToGrid w:val="0"/>
        <w:ind w:firstLine="720" w:firstLineChars="300"/>
        <w:rPr>
          <w:rFonts w:hint="eastAsia" w:ascii="仿宋" w:hAnsi="仿宋" w:eastAsia="仿宋" w:cs="仿宋"/>
          <w:kern w:val="2"/>
          <w:sz w:val="24"/>
          <w:szCs w:val="24"/>
        </w:rPr>
      </w:pPr>
      <w:r>
        <w:rPr>
          <w:rFonts w:hint="eastAsia" w:ascii="仿宋" w:hAnsi="仿宋" w:eastAsia="仿宋" w:cs="仿宋"/>
          <w:sz w:val="24"/>
          <w:szCs w:val="24"/>
        </w:rPr>
        <w:t>说明：指拥有中标（成交） 供应商51%以上绝对所有权的性别。</w:t>
      </w:r>
    </w:p>
    <w:p w14:paraId="58166B9A">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（4）供应商是否为外商投资企业：</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6F2AD061">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外商投资企业类型：</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外商单独投资  </w:t>
      </w:r>
      <w:r>
        <w:rPr>
          <w:rFonts w:hint="eastAsia" w:ascii="仿宋" w:hAnsi="仿宋" w:eastAsia="仿宋" w:cs="仿宋"/>
          <w:sz w:val="24"/>
          <w:szCs w:val="24"/>
        </w:rPr>
        <w:sym w:font="Wingdings" w:char="00A8"/>
      </w:r>
      <w:r>
        <w:rPr>
          <w:rFonts w:hint="eastAsia" w:ascii="仿宋" w:hAnsi="仿宋" w:eastAsia="仿宋" w:cs="仿宋"/>
          <w:sz w:val="24"/>
          <w:szCs w:val="24"/>
        </w:rPr>
        <w:t>外商部分投资</w:t>
      </w:r>
    </w:p>
    <w:p w14:paraId="5889067C">
      <w:pPr>
        <w:adjustRightInd w:val="0"/>
        <w:snapToGrid w:val="0"/>
        <w:spacing w:line="400" w:lineRule="exact"/>
        <w:ind w:firstLine="720" w:firstLineChars="300"/>
        <w:rPr>
          <w:rFonts w:hint="eastAsia" w:ascii="仿宋" w:hAnsi="仿宋" w:eastAsia="仿宋" w:cs="仿宋"/>
          <w:kern w:val="0"/>
          <w:sz w:val="24"/>
          <w:szCs w:val="24"/>
        </w:rPr>
      </w:pPr>
      <w:r>
        <w:rPr>
          <w:rFonts w:hint="eastAsia" w:ascii="仿宋" w:hAnsi="仿宋" w:eastAsia="仿宋" w:cs="仿宋"/>
          <w:kern w:val="0"/>
          <w:sz w:val="24"/>
          <w:szCs w:val="24"/>
        </w:rPr>
        <w:t>说明：当“是否为外商投资企业”选择“否”时无需进一步填写；当“是否为外商投资企业”选择“是”时， 应进一步选择“外商单独投资”或者“外商部分投资”。</w:t>
      </w:r>
    </w:p>
    <w:p w14:paraId="1BCA9698">
      <w:pPr>
        <w:adjustRightInd w:val="0"/>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（5）供应商承接主体：</w:t>
      </w:r>
    </w:p>
    <w:p w14:paraId="46000D00">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企业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社会组织  </w:t>
      </w:r>
    </w:p>
    <w:p w14:paraId="0AFF934B">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公益二类事业单位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从事生产经营活动事业单位 </w:t>
      </w:r>
    </w:p>
    <w:p w14:paraId="09C25301">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 xml:space="preserve">农村集体经济组织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基层群众性自治组织  </w:t>
      </w:r>
    </w:p>
    <w:p w14:paraId="7EF70E06">
      <w:pPr>
        <w:adjustRightInd w:val="0"/>
        <w:snapToGrid w:val="0"/>
        <w:spacing w:line="4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个人</w:t>
      </w:r>
    </w:p>
    <w:p w14:paraId="66E1F304">
      <w:pPr>
        <w:pStyle w:val="28"/>
        <w:numPr>
          <w:ilvl w:val="255"/>
          <w:numId w:val="0"/>
        </w:numPr>
        <w:snapToGrid w:val="0"/>
        <w:ind w:firstLine="720" w:firstLineChars="300"/>
        <w:rPr>
          <w:rFonts w:hint="eastAsia" w:ascii="仿宋" w:hAnsi="仿宋" w:eastAsia="仿宋" w:cs="仿宋"/>
          <w:sz w:val="24"/>
          <w:szCs w:val="24"/>
        </w:rPr>
      </w:pPr>
      <w:r>
        <w:rPr>
          <w:rFonts w:hint="eastAsia" w:ascii="仿宋" w:hAnsi="仿宋" w:eastAsia="仿宋" w:cs="仿宋"/>
          <w:sz w:val="24"/>
          <w:szCs w:val="24"/>
        </w:rPr>
        <w:t>说明：按照《政府购买服务管理办法》（财政部令第102号）的规定。</w:t>
      </w:r>
    </w:p>
    <w:p w14:paraId="0534BD98">
      <w:pPr>
        <w:pStyle w:val="28"/>
        <w:numPr>
          <w:ilvl w:val="255"/>
          <w:numId w:val="0"/>
        </w:numPr>
        <w:snapToGrid w:val="0"/>
        <w:ind w:firstLine="720" w:firstLineChars="300"/>
        <w:rPr>
          <w:rFonts w:hint="eastAsia" w:ascii="仿宋" w:hAnsi="仿宋" w:eastAsia="仿宋" w:cs="仿宋"/>
          <w:sz w:val="24"/>
          <w:szCs w:val="24"/>
        </w:rPr>
      </w:pPr>
    </w:p>
    <w:p w14:paraId="535A1B3A">
      <w:pPr>
        <w:rPr>
          <w:rFonts w:hint="eastAsia" w:ascii="仿宋" w:hAnsi="仿宋" w:eastAsia="仿宋" w:cs="仿宋"/>
          <w:sz w:val="24"/>
          <w:szCs w:val="24"/>
        </w:rPr>
      </w:pPr>
      <w:r>
        <w:rPr>
          <w:rFonts w:hint="eastAsia" w:ascii="仿宋" w:hAnsi="仿宋" w:eastAsia="仿宋" w:cs="仿宋"/>
          <w:sz w:val="24"/>
          <w:szCs w:val="24"/>
        </w:rPr>
        <w:t xml:space="preserve">                                   </w:t>
      </w:r>
    </w:p>
    <w:p w14:paraId="42D363F3">
      <w:pPr>
        <w:ind w:firstLine="4800" w:firstLineChars="2000"/>
        <w:rPr>
          <w:rFonts w:hint="eastAsia" w:ascii="仿宋" w:hAnsi="仿宋" w:eastAsia="仿宋" w:cs="仿宋"/>
          <w:sz w:val="24"/>
          <w:szCs w:val="24"/>
          <w:u w:val="single"/>
        </w:rPr>
      </w:pPr>
      <w:r>
        <w:rPr>
          <w:rFonts w:hint="eastAsia" w:ascii="仿宋" w:hAnsi="仿宋" w:eastAsia="仿宋" w:cs="仿宋"/>
          <w:sz w:val="24"/>
          <w:szCs w:val="24"/>
        </w:rPr>
        <w:t>公司名称：</w:t>
      </w:r>
      <w:r>
        <w:rPr>
          <w:rFonts w:hint="eastAsia" w:ascii="仿宋" w:hAnsi="仿宋" w:eastAsia="仿宋" w:cs="仿宋"/>
          <w:sz w:val="24"/>
          <w:szCs w:val="24"/>
          <w:u w:val="single"/>
        </w:rPr>
        <w:t xml:space="preserve">           </w:t>
      </w:r>
    </w:p>
    <w:p w14:paraId="42AE3FFD">
      <w:pPr>
        <w:ind w:firstLine="5040" w:firstLineChars="2100"/>
        <w:rPr>
          <w:rFonts w:hint="eastAsia" w:ascii="仿宋" w:hAnsi="仿宋" w:eastAsia="仿宋" w:cs="仿宋"/>
          <w:sz w:val="24"/>
          <w:szCs w:val="24"/>
        </w:rPr>
      </w:pPr>
      <w:r>
        <w:rPr>
          <w:rFonts w:hint="eastAsia" w:ascii="仿宋" w:hAnsi="仿宋" w:eastAsia="仿宋" w:cs="仿宋"/>
          <w:sz w:val="24"/>
          <w:szCs w:val="24"/>
        </w:rPr>
        <w:t>年   月   日</w:t>
      </w:r>
    </w:p>
    <w:p w14:paraId="159B065D">
      <w:pPr>
        <w:pStyle w:val="28"/>
        <w:ind w:firstLine="0" w:firstLineChars="0"/>
        <w:rPr>
          <w:rFonts w:hint="eastAsia" w:ascii="仿宋" w:hAnsi="仿宋" w:eastAsia="仿宋" w:cs="仿宋"/>
          <w:sz w:val="24"/>
          <w:szCs w:val="24"/>
        </w:rPr>
      </w:pPr>
    </w:p>
    <w:p w14:paraId="19DED023">
      <w:pPr>
        <w:pStyle w:val="21"/>
        <w:rPr>
          <w:rFonts w:hint="eastAsia" w:ascii="仿宋" w:hAnsi="仿宋" w:eastAsia="仿宋" w:cs="仿宋"/>
          <w:sz w:val="24"/>
          <w:szCs w:val="24"/>
        </w:rPr>
      </w:pPr>
    </w:p>
    <w:p w14:paraId="228D3FE9">
      <w:pPr>
        <w:pStyle w:val="21"/>
        <w:ind w:firstLine="720" w:firstLineChars="300"/>
        <w:rPr>
          <w:rFonts w:hint="eastAsia" w:ascii="仿宋" w:hAnsi="仿宋" w:eastAsia="仿宋" w:cs="仿宋"/>
          <w:sz w:val="24"/>
          <w:szCs w:val="24"/>
          <w:lang w:val="en-US" w:eastAsia="zh-Hans"/>
        </w:rPr>
      </w:pPr>
      <w:r>
        <w:rPr>
          <w:rFonts w:hint="eastAsia" w:ascii="仿宋" w:hAnsi="仿宋" w:eastAsia="仿宋" w:cs="仿宋"/>
          <w:sz w:val="24"/>
          <w:szCs w:val="24"/>
        </w:rPr>
        <w:t>　</w:t>
      </w:r>
    </w:p>
    <w:p w14:paraId="65418DB3">
      <w:pPr>
        <w:rPr>
          <w:rFonts w:hint="eastAsia" w:ascii="仿宋" w:hAnsi="仿宋" w:eastAsia="仿宋" w:cs="仿宋"/>
          <w:sz w:val="24"/>
          <w:szCs w:val="24"/>
        </w:rPr>
      </w:pPr>
    </w:p>
    <w:bookmarkEnd w:id="10"/>
    <w:sectPr>
      <w:head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15723">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3E0939">
                          <w:pPr>
                            <w:pStyle w:val="10"/>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93E0939">
                    <w:pPr>
                      <w:pStyle w:val="10"/>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5FC33">
    <w:pPr>
      <w:pStyle w:val="11"/>
      <w:pBdr>
        <w:bottom w:val="single" w:color="auto" w:sz="6" w:space="2"/>
      </w:pBdr>
      <w:jc w:val="left"/>
      <w:rPr>
        <w:rFonts w:hint="eastAsia"/>
        <w:color w:val="FF0000"/>
      </w:rPr>
    </w:pP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A9F2F"/>
    <w:multiLevelType w:val="multilevel"/>
    <w:tmpl w:val="A22A9F2F"/>
    <w:lvl w:ilvl="0" w:tentative="0">
      <w:start w:val="1"/>
      <w:numFmt w:val="chineseCounting"/>
      <w:pStyle w:val="3"/>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BF6BC116"/>
    <w:multiLevelType w:val="singleLevel"/>
    <w:tmpl w:val="BF6BC116"/>
    <w:lvl w:ilvl="0" w:tentative="0">
      <w:start w:val="16"/>
      <w:numFmt w:val="decimal"/>
      <w:suff w:val="space"/>
      <w:lvlText w:val="%1."/>
      <w:lvlJc w:val="left"/>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7A0F6431"/>
    <w:multiLevelType w:val="singleLevel"/>
    <w:tmpl w:val="7A0F6431"/>
    <w:lvl w:ilvl="0" w:tentative="0">
      <w:start w:val="1"/>
      <w:numFmt w:val="decimal"/>
      <w:suff w:val="space"/>
      <w:lvlText w:val="%1."/>
      <w:lvlJc w:val="left"/>
    </w:lvl>
  </w:abstractNum>
  <w:num w:numId="1">
    <w:abstractNumId w:val="0"/>
  </w:num>
  <w:num w:numId="2">
    <w:abstractNumId w:val="8"/>
  </w:num>
  <w:num w:numId="3">
    <w:abstractNumId w:val="2"/>
  </w:num>
  <w:num w:numId="4">
    <w:abstractNumId w:val="6"/>
  </w:num>
  <w:num w:numId="5">
    <w:abstractNumId w:val="4"/>
  </w:num>
  <w:num w:numId="6">
    <w:abstractNumId w:val="3"/>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2Q2YTNkZTc1Mjk4ODRhOWVjZTc0YTFmYTE5NzcifQ=="/>
  </w:docVars>
  <w:rsids>
    <w:rsidRoot w:val="00000000"/>
    <w:rsid w:val="043546EB"/>
    <w:rsid w:val="0780761F"/>
    <w:rsid w:val="08F80D49"/>
    <w:rsid w:val="0A3604C6"/>
    <w:rsid w:val="0C833AFC"/>
    <w:rsid w:val="0D644DF8"/>
    <w:rsid w:val="108C1CB0"/>
    <w:rsid w:val="1F1C0DD2"/>
    <w:rsid w:val="22E8305F"/>
    <w:rsid w:val="24FB07BE"/>
    <w:rsid w:val="29051210"/>
    <w:rsid w:val="32046FDA"/>
    <w:rsid w:val="33F13175"/>
    <w:rsid w:val="35883D35"/>
    <w:rsid w:val="3626024B"/>
    <w:rsid w:val="3A683CF4"/>
    <w:rsid w:val="3D510A70"/>
    <w:rsid w:val="48B84D92"/>
    <w:rsid w:val="53F20D8F"/>
    <w:rsid w:val="55B160F8"/>
    <w:rsid w:val="568C134A"/>
    <w:rsid w:val="58523BC2"/>
    <w:rsid w:val="589A1111"/>
    <w:rsid w:val="5FB76A00"/>
    <w:rsid w:val="61700C15"/>
    <w:rsid w:val="641F2262"/>
    <w:rsid w:val="64C41181"/>
    <w:rsid w:val="65840A91"/>
    <w:rsid w:val="68A55E8B"/>
    <w:rsid w:val="6B710AA3"/>
    <w:rsid w:val="767B20DE"/>
    <w:rsid w:val="7CDB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abs>
        <w:tab w:val="left" w:pos="480"/>
      </w:tabs>
      <w:spacing w:line="360" w:lineRule="auto"/>
    </w:pPr>
    <w:rPr>
      <w:rFonts w:ascii="Calibri" w:hAnsi="Calibri" w:eastAsia="仿宋_GB2312" w:cs="Times New Roman"/>
      <w:sz w:val="28"/>
      <w:szCs w:val="24"/>
      <w:lang w:val="en-US" w:eastAsia="en-US" w:bidi="en-US"/>
    </w:rPr>
  </w:style>
  <w:style w:type="paragraph" w:styleId="3">
    <w:name w:val="heading 1"/>
    <w:basedOn w:val="1"/>
    <w:next w:val="1"/>
    <w:link w:val="20"/>
    <w:qFormat/>
    <w:uiPriority w:val="9"/>
    <w:pPr>
      <w:keepNext/>
      <w:numPr>
        <w:ilvl w:val="0"/>
        <w:numId w:val="1"/>
      </w:numPr>
      <w:spacing w:before="240" w:after="60"/>
      <w:ind w:left="432" w:hanging="432"/>
      <w:outlineLvl w:val="0"/>
    </w:pPr>
    <w:rPr>
      <w:rFonts w:ascii="Cambria" w:hAnsi="Cambria" w:eastAsia="宋体"/>
      <w:b/>
      <w:bCs/>
      <w:kern w:val="32"/>
      <w:sz w:val="32"/>
      <w:szCs w:val="32"/>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4">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99"/>
    <w:rPr>
      <w:rFonts w:ascii="Calibri" w:hAnsi="Calibri"/>
      <w:kern w:val="0"/>
      <w:sz w:val="20"/>
      <w:szCs w:val="20"/>
    </w:rPr>
  </w:style>
  <w:style w:type="paragraph" w:styleId="6">
    <w:name w:val="Body Text Indent"/>
    <w:basedOn w:val="1"/>
    <w:semiHidden/>
    <w:unhideWhenUsed/>
    <w:qFormat/>
    <w:uiPriority w:val="99"/>
    <w:pPr>
      <w:spacing w:after="120"/>
      <w:ind w:left="420" w:leftChars="200"/>
    </w:pPr>
  </w:style>
  <w:style w:type="paragraph" w:styleId="7">
    <w:name w:val="Block Text"/>
    <w:basedOn w:val="1"/>
    <w:qFormat/>
    <w:uiPriority w:val="0"/>
    <w:pPr>
      <w:adjustRightInd w:val="0"/>
      <w:ind w:left="420" w:right="33"/>
      <w:textAlignment w:val="baseline"/>
    </w:pPr>
    <w:rPr>
      <w:sz w:val="24"/>
    </w:rPr>
  </w:style>
  <w:style w:type="paragraph" w:styleId="8">
    <w:name w:val="Plain Text"/>
    <w:basedOn w:val="1"/>
    <w:qFormat/>
    <w:uiPriority w:val="99"/>
    <w:rPr>
      <w:rFonts w:ascii="宋体" w:hAnsi="Courier New"/>
      <w:szCs w:val="21"/>
    </w:rPr>
  </w:style>
  <w:style w:type="paragraph" w:styleId="9">
    <w:name w:val="Body Text Indent 2"/>
    <w:basedOn w:val="1"/>
    <w:qFormat/>
    <w:uiPriority w:val="0"/>
    <w:pPr>
      <w:spacing w:after="120" w:line="480" w:lineRule="auto"/>
      <w:ind w:left="420" w:leftChars="200"/>
    </w:pPr>
  </w:style>
  <w:style w:type="paragraph" w:styleId="10">
    <w:name w:val="footer"/>
    <w:basedOn w:val="1"/>
    <w:qFormat/>
    <w:uiPriority w:val="0"/>
    <w:pPr>
      <w:tabs>
        <w:tab w:val="center" w:pos="4153"/>
        <w:tab w:val="right" w:pos="8306"/>
        <w:tab w:val="clear" w:pos="480"/>
      </w:tabs>
      <w:snapToGrid w:val="0"/>
      <w:jc w:val="left"/>
    </w:pPr>
    <w:rPr>
      <w:sz w:val="18"/>
    </w:rPr>
  </w:style>
  <w:style w:type="paragraph" w:styleId="11">
    <w:name w:val="header"/>
    <w:basedOn w:val="1"/>
    <w:qFormat/>
    <w:uiPriority w:val="99"/>
    <w:pPr>
      <w:pBdr>
        <w:bottom w:val="single" w:color="auto" w:sz="6" w:space="1"/>
      </w:pBdr>
      <w:tabs>
        <w:tab w:val="center" w:pos="4153"/>
        <w:tab w:val="right" w:pos="8306"/>
        <w:tab w:val="clear" w:pos="480"/>
      </w:tabs>
      <w:snapToGrid w:val="0"/>
      <w:spacing w:line="240" w:lineRule="auto"/>
      <w:jc w:val="center"/>
    </w:pPr>
    <w:rPr>
      <w:sz w:val="18"/>
      <w:szCs w:val="18"/>
    </w:rPr>
  </w:style>
  <w:style w:type="paragraph" w:styleId="12">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3">
    <w:name w:val="Title"/>
    <w:basedOn w:val="1"/>
    <w:next w:val="1"/>
    <w:qFormat/>
    <w:uiPriority w:val="10"/>
    <w:pPr>
      <w:spacing w:before="400" w:after="200" w:line="360" w:lineRule="auto"/>
      <w:ind w:firstLine="200" w:firstLineChars="200"/>
      <w:jc w:val="center"/>
      <w:outlineLvl w:val="0"/>
    </w:pPr>
    <w:rPr>
      <w:rFonts w:ascii="Arial" w:hAnsi="Arial" w:eastAsia="宋体" w:cs="Times New Roman"/>
      <w:b/>
      <w:bCs/>
      <w:sz w:val="36"/>
      <w:szCs w:val="32"/>
    </w:rPr>
  </w:style>
  <w:style w:type="paragraph" w:styleId="14">
    <w:name w:val="Body Text First Indent"/>
    <w:basedOn w:val="5"/>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15">
    <w:name w:val="Body Text First Indent 2"/>
    <w:basedOn w:val="6"/>
    <w:unhideWhenUsed/>
    <w:qFormat/>
    <w:uiPriority w:val="99"/>
    <w:pPr>
      <w:spacing w:after="0" w:line="640" w:lineRule="exact"/>
      <w:ind w:left="0" w:leftChars="0"/>
    </w:pPr>
    <w:rPr>
      <w:rFonts w:ascii="楷体_GB2312" w:eastAsia="楷体_GB2312" w:cs="Times New Roman" w:hAnsiTheme="minorHAnsi"/>
      <w:sz w:val="32"/>
      <w:szCs w:val="24"/>
    </w:rPr>
  </w:style>
  <w:style w:type="table" w:styleId="17">
    <w:name w:val="Table Grid"/>
    <w:basedOn w:val="1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Default"/>
    <w:qFormat/>
    <w:uiPriority w:val="0"/>
    <w:pPr>
      <w:widowControl w:val="0"/>
      <w:autoSpaceDE w:val="0"/>
      <w:autoSpaceDN w:val="0"/>
      <w:adjustRightInd w:val="0"/>
    </w:pPr>
    <w:rPr>
      <w:rFonts w:ascii="黑体" w:hAnsi="Times New Roman" w:eastAsia="黑体" w:cs="Times New Roman"/>
      <w:color w:val="000000"/>
      <w:kern w:val="0"/>
      <w:sz w:val="24"/>
      <w:szCs w:val="20"/>
      <w:lang w:val="en-US" w:eastAsia="zh-CN" w:bidi="ar-SA"/>
    </w:rPr>
  </w:style>
  <w:style w:type="character" w:customStyle="1" w:styleId="20">
    <w:name w:val="标题 1 Char"/>
    <w:link w:val="3"/>
    <w:qFormat/>
    <w:uiPriority w:val="0"/>
    <w:rPr>
      <w:rFonts w:ascii="Cambria" w:hAnsi="Cambria" w:eastAsia="宋体"/>
      <w:b/>
      <w:bCs/>
      <w:kern w:val="32"/>
      <w:sz w:val="32"/>
      <w:szCs w:val="32"/>
    </w:rPr>
  </w:style>
  <w:style w:type="paragraph" w:customStyle="1" w:styleId="21">
    <w:name w:val="null3"/>
    <w:autoRedefine/>
    <w:hidden/>
    <w:qFormat/>
    <w:uiPriority w:val="0"/>
    <w:rPr>
      <w:rFonts w:hint="eastAsia" w:asciiTheme="minorHAnsi" w:hAnsiTheme="minorHAnsi" w:eastAsiaTheme="minorEastAsia" w:cstheme="minorBidi"/>
      <w:lang w:val="en-US" w:eastAsia="zh-Hans"/>
    </w:rPr>
  </w:style>
  <w:style w:type="paragraph" w:customStyle="1" w:styleId="22">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23">
    <w:name w:val="列出段落2"/>
    <w:basedOn w:val="1"/>
    <w:qFormat/>
    <w:uiPriority w:val="0"/>
    <w:pPr>
      <w:spacing w:line="240" w:lineRule="auto"/>
      <w:ind w:firstLine="420" w:firstLineChars="200"/>
    </w:pPr>
  </w:style>
  <w:style w:type="paragraph" w:styleId="24">
    <w:name w:val="List Paragraph"/>
    <w:basedOn w:val="1"/>
    <w:next w:val="1"/>
    <w:qFormat/>
    <w:uiPriority w:val="34"/>
    <w:pPr>
      <w:ind w:firstLine="420" w:firstLineChars="200"/>
    </w:pPr>
  </w:style>
  <w:style w:type="paragraph" w:customStyle="1" w:styleId="25">
    <w:name w:val="Heading #2|1"/>
    <w:basedOn w:val="1"/>
    <w:qFormat/>
    <w:uiPriority w:val="0"/>
    <w:pPr>
      <w:widowControl w:val="0"/>
      <w:shd w:val="clear" w:color="auto" w:fill="auto"/>
      <w:spacing w:after="520" w:line="557"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26">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27">
    <w:name w:val="Body text|5"/>
    <w:basedOn w:val="1"/>
    <w:qFormat/>
    <w:uiPriority w:val="0"/>
    <w:pPr>
      <w:widowControl w:val="0"/>
      <w:shd w:val="clear" w:color="auto" w:fill="auto"/>
      <w:spacing w:line="391" w:lineRule="auto"/>
    </w:pPr>
    <w:rPr>
      <w:sz w:val="30"/>
      <w:szCs w:val="30"/>
      <w:u w:val="none"/>
      <w:shd w:val="clear" w:color="auto" w:fill="auto"/>
    </w:rPr>
  </w:style>
  <w:style w:type="paragraph" w:customStyle="1" w:styleId="2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2024</Words>
  <Characters>2035</Characters>
  <Lines>0</Lines>
  <Paragraphs>0</Paragraphs>
  <TotalTime>1</TotalTime>
  <ScaleCrop>false</ScaleCrop>
  <LinksUpToDate>false</LinksUpToDate>
  <CharactersWithSpaces>2359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2024-07-16T04:49:00Z</dcterms:created>
  <dc:creator>Administrator</dc:creator>
  <cp:lastModifiedBy>安安</cp:lastModifiedBy>
  <dcterms:modified xsi:type="dcterms:W3CDTF">2025-10-29T06:23:56Z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896E69AB191347A886DF4B267DDD3376_12</vt:lpwstr>
  </property>
  <property fmtid="{D5CDD505-2E9C-101B-9397-08002B2CF9AE}" pid="4" name="KSOTemplateDocerSaveRecord">
    <vt:lpwstr>eyJoZGlkIjoiY2JiM2Q2YTNkZTc1Mjk4ODRhOWVjZTc0YTFmYTE5NzciLCJ1c2VySWQiOiIxMTQ2NDU0OTA0In0=</vt:lpwstr>
  </property>
</Properties>
</file>