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版本号：ZX2025-10-2620251103002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深度学习及大模型实战教学平台采购项目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ZX2025-10-26</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深度学习及大模型实战教学平台采购项目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深度学习及大模型实战教学平台采购项目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本项目为深度学习及大模型实战教学平台采购项目，1项，具体内容详见招标文件第三章。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w:t>
      </w:r>
    </w:p>
    <w:p>
      <w:pPr>
        <w:pStyle w:val="null3"/>
      </w:pPr>
      <w:r>
        <w:rPr>
          <w:rFonts w:ascii="仿宋_GB2312" w:hAnsi="仿宋_GB2312" w:cs="仿宋_GB2312" w:eastAsia="仿宋_GB2312"/>
        </w:rPr>
        <w:t>2、不接受联合体磋商，不允许分包：本项目不接受联合体磋商，不允许分包。供应商应提供《非联合体不分包投标声明》。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曹婷 马演 蔡丹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采购包1：496,800.00元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采购包1保证金金额：9,102.60元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说明：1、履约保证金待合同履约完毕后无息退还。2、缴纳履约保证金时须注明项目编号及用途(履约保证金)。3、逾期退还履约保证金的违约责任:按采购人内控制度执行。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孙童欣</w:t>
      </w:r>
    </w:p>
    <w:p>
      <w:pPr>
        <w:pStyle w:val="null3"/>
      </w:pPr>
      <w:r>
        <w:rPr>
          <w:rFonts w:ascii="仿宋_GB2312" w:hAnsi="仿宋_GB2312" w:cs="仿宋_GB2312" w:eastAsia="仿宋_GB2312"/>
        </w:rPr>
        <w:t>联系电话：029-88110800转8033（1053910307@qq.com）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本项目为深度学习及大模型实战教学平台。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496,800.00</w:t>
      </w:r>
    </w:p>
    <w:p>
      <w:pPr>
        <w:pStyle w:val="null3"/>
      </w:pPr>
      <w:r>
        <w:rPr>
          <w:rFonts w:ascii="仿宋_GB2312" w:hAnsi="仿宋_GB2312" w:cs="仿宋_GB2312" w:eastAsia="仿宋_GB2312"/>
        </w:rPr>
        <w:t>采购包最高限价（元）: 496,800.00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深度学习及大模型实战教学平台采购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496,800.00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标的名称：深度学习及大模型实战教学平台采购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一、技术要求</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为助力</w:t>
            </w:r>
            <w:r>
              <w:rPr>
                <w:rFonts w:ascii="仿宋_GB2312" w:hAnsi="仿宋_GB2312" w:cs="仿宋_GB2312" w:eastAsia="仿宋_GB2312"/>
                <w:sz w:val="24"/>
              </w:rPr>
              <w:t>学校</w:t>
            </w:r>
            <w:r>
              <w:rPr>
                <w:rFonts w:ascii="仿宋_GB2312" w:hAnsi="仿宋_GB2312" w:cs="仿宋_GB2312" w:eastAsia="仿宋_GB2312"/>
                <w:sz w:val="24"/>
              </w:rPr>
              <w:t>人工智能人才培养与学科建设，建设课程内容需紧跟技术前沿，注重理论与实践结合，配备相应实验平台、案例资源及师资培训服务。供应商应具备相关领域课程开发与交付经验，提供完整教学方案和可持续技术支持，项目建设内容包括：</w:t>
            </w:r>
          </w:p>
          <w:p>
            <w:pPr>
              <w:pStyle w:val="null3"/>
              <w:ind w:firstLine="480"/>
              <w:jc w:val="both"/>
            </w:pPr>
            <w:r>
              <w:rPr>
                <w:rFonts w:ascii="仿宋_GB2312" w:hAnsi="仿宋_GB2312" w:cs="仿宋_GB2312" w:eastAsia="仿宋_GB2312"/>
                <w:sz w:val="24"/>
              </w:rPr>
              <w:t>（一）线上教学管理平台</w:t>
            </w:r>
          </w:p>
          <w:p>
            <w:pPr>
              <w:pStyle w:val="null3"/>
              <w:ind w:firstLine="480"/>
              <w:jc w:val="both"/>
            </w:pPr>
            <w:r>
              <w:rPr>
                <w:rFonts w:ascii="仿宋_GB2312" w:hAnsi="仿宋_GB2312" w:cs="仿宋_GB2312" w:eastAsia="仿宋_GB2312"/>
                <w:sz w:val="24"/>
              </w:rPr>
              <w:t>为满足《大模型实战》与《深度学习与计算机视觉基础应用》两门</w:t>
            </w:r>
            <w:r>
              <w:rPr>
                <w:rFonts w:ascii="仿宋_GB2312" w:hAnsi="仿宋_GB2312" w:cs="仿宋_GB2312" w:eastAsia="仿宋_GB2312"/>
                <w:sz w:val="24"/>
              </w:rPr>
              <w:t>AI课程的教学与实践需求，将线上教学管理平台作为课程载体。该平台需集成课程资源展示、在线学习、智能体管理及数据分析等功能，具备强大的后台管理系统，支持对课程资源进行全生命周期管理及平台数据监测，确保其成为集教学、实践与管理于一体，安全可控、可持续运行的专属教学平台，全面提升</w:t>
            </w:r>
            <w:r>
              <w:rPr>
                <w:rFonts w:ascii="仿宋_GB2312" w:hAnsi="仿宋_GB2312" w:cs="仿宋_GB2312" w:eastAsia="仿宋_GB2312"/>
                <w:sz w:val="24"/>
              </w:rPr>
              <w:t>采购单位</w:t>
            </w:r>
            <w:r>
              <w:rPr>
                <w:rFonts w:ascii="仿宋_GB2312" w:hAnsi="仿宋_GB2312" w:cs="仿宋_GB2312" w:eastAsia="仿宋_GB2312"/>
                <w:sz w:val="24"/>
              </w:rPr>
              <w:t>人工智能领域的人才培养质量。</w:t>
            </w:r>
          </w:p>
          <w:p>
            <w:pPr>
              <w:pStyle w:val="null3"/>
              <w:ind w:firstLine="480"/>
              <w:jc w:val="both"/>
            </w:pPr>
            <w:r>
              <w:rPr>
                <w:rFonts w:ascii="仿宋_GB2312" w:hAnsi="仿宋_GB2312" w:cs="仿宋_GB2312" w:eastAsia="仿宋_GB2312"/>
                <w:sz w:val="24"/>
              </w:rPr>
              <w:t>（二）机器学习平台</w:t>
            </w:r>
          </w:p>
          <w:p>
            <w:pPr>
              <w:pStyle w:val="null3"/>
              <w:ind w:firstLine="480"/>
              <w:jc w:val="both"/>
            </w:pPr>
            <w:r>
              <w:rPr>
                <w:rFonts w:ascii="仿宋_GB2312" w:hAnsi="仿宋_GB2312" w:cs="仿宋_GB2312" w:eastAsia="仿宋_GB2312"/>
                <w:sz w:val="24"/>
              </w:rPr>
              <w:t>引入企业为</w:t>
            </w:r>
            <w:r>
              <w:rPr>
                <w:rFonts w:ascii="仿宋_GB2312" w:hAnsi="仿宋_GB2312" w:cs="仿宋_GB2312" w:eastAsia="仿宋_GB2312"/>
                <w:sz w:val="24"/>
              </w:rPr>
              <w:t>AI工程师打造的一站式机器学习平台，平台为学生提供从数据接入、模型训练、模型管理到模型服务的全流程开发支持。机器学习平台可支持多种训练方式和算法框架，满足不同AI应用场景的需求。机器学习平台预置场景+小样本学习能力，师生仅需少量配置，即可启动建模训练。在算法优化过程中，能够可视化调参，预测和展示模型结果。同时还需自定义工作流功能，可多模型并行训练，以达到事半功倍的效果。机器学习平台需包含统计分析、机器学习、深度学习等10+种常用框架、内置机器学习、深度学习、图算法等100+基础算子。可支持自动学习、notebook建模、任务式建模等多种建模方式，并能够支持Spark、Pyspark、TensorFlow、pytorch等主流框架以及MPI、Horovod、PS-Worker、Spark分布式训练模式，将为学生提供先进的机器学习工具和资源，培养学生的机器学习技能和算法开发能力。</w:t>
            </w:r>
          </w:p>
          <w:p>
            <w:pPr>
              <w:pStyle w:val="null3"/>
              <w:ind w:firstLine="480"/>
              <w:jc w:val="both"/>
            </w:pPr>
            <w:r>
              <w:rPr>
                <w:rFonts w:ascii="仿宋_GB2312" w:hAnsi="仿宋_GB2312" w:cs="仿宋_GB2312" w:eastAsia="仿宋_GB2312"/>
                <w:sz w:val="24"/>
              </w:rPr>
              <w:t>（三）教学实训云资源</w:t>
            </w:r>
          </w:p>
          <w:p>
            <w:pPr>
              <w:pStyle w:val="null3"/>
              <w:ind w:firstLine="480"/>
              <w:jc w:val="both"/>
            </w:pPr>
            <w:r>
              <w:rPr>
                <w:rFonts w:ascii="仿宋_GB2312" w:hAnsi="仿宋_GB2312" w:cs="仿宋_GB2312" w:eastAsia="仿宋_GB2312"/>
                <w:sz w:val="24"/>
              </w:rPr>
              <w:t>计算资源是实验实训不可或缺的一部分，本次项目建设完成后，后续实验过程需要消耗大量的</w:t>
            </w:r>
            <w:r>
              <w:rPr>
                <w:rFonts w:ascii="仿宋_GB2312" w:hAnsi="仿宋_GB2312" w:cs="仿宋_GB2312" w:eastAsia="仿宋_GB2312"/>
                <w:sz w:val="24"/>
              </w:rPr>
              <w:t>CPU、内存、硬盘、GPU等资源，本次建设配套提供公有云资源，保证两门课程：《大模型实战》不低于 70人（每人不低于 2 次实训）、《深度学习与计算机视觉基础应用》不低于 170人（每人不低于 2次实训）在课程实训期间的云资源。</w:t>
            </w:r>
          </w:p>
          <w:p>
            <w:pPr>
              <w:pStyle w:val="null3"/>
              <w:ind w:firstLine="480"/>
              <w:jc w:val="both"/>
            </w:pPr>
            <w:r>
              <w:rPr>
                <w:rFonts w:ascii="仿宋_GB2312" w:hAnsi="仿宋_GB2312" w:cs="仿宋_GB2312" w:eastAsia="仿宋_GB2312"/>
                <w:sz w:val="24"/>
              </w:rPr>
              <w:t>（四）课程资源包</w:t>
            </w:r>
          </w:p>
          <w:p>
            <w:pPr>
              <w:pStyle w:val="null3"/>
              <w:ind w:firstLine="480"/>
              <w:jc w:val="both"/>
            </w:pPr>
            <w:r>
              <w:rPr>
                <w:rFonts w:ascii="仿宋_GB2312" w:hAnsi="仿宋_GB2312" w:cs="仿宋_GB2312" w:eastAsia="仿宋_GB2312"/>
                <w:sz w:val="24"/>
              </w:rPr>
              <w:t>课程资源包是课程的重要配套资源，包括《大模型实战》、《深度学习与计算机视觉基础应用》课程的相关资料和教材。这些资源将为学生提供丰富的课程学习资料，帮助他们更好地理解和掌握课程内容，提高学习效果。</w:t>
            </w:r>
          </w:p>
          <w:p>
            <w:pPr>
              <w:pStyle w:val="null3"/>
              <w:ind w:firstLine="480"/>
              <w:jc w:val="both"/>
            </w:pPr>
            <w:r>
              <w:rPr>
                <w:rFonts w:ascii="仿宋_GB2312" w:hAnsi="仿宋_GB2312" w:cs="仿宋_GB2312" w:eastAsia="仿宋_GB2312"/>
                <w:sz w:val="24"/>
              </w:rPr>
              <w:t>课程资源包除了理论教学所需要的内容外，还需要配备详细的上机指导和实验手册，每一门课程均采用外部企业优势的资源平台，结合脱敏后的产业应用数据，帮助学生还原项目的实现过程，提升学生的动手能力。《大模型实战》课程面向无</w:t>
            </w:r>
            <w:r>
              <w:rPr>
                <w:rFonts w:ascii="仿宋_GB2312" w:hAnsi="仿宋_GB2312" w:cs="仿宋_GB2312" w:eastAsia="仿宋_GB2312"/>
                <w:sz w:val="24"/>
              </w:rPr>
              <w:t>AI开发能力的学生，介绍大模型的发展历程以及应用场景，使用大语言模型做应用实践。《深度学习与计算机视觉基础应用》课程内容涵盖人工智能、深度学习、数字图像和计算机视觉等，重点是深度学习技术在典型计算机视觉领域中的应用，包含图像分类、目标检测、目标追踪和图像分割等场景；要求该课程将数字图像基础与计算机视觉应用串联贯通，将丰富的基础理论知识讲解与扎实的实操、实验相结合，强调实际动手能力和问题解决能力的培养。</w:t>
            </w:r>
          </w:p>
          <w:p>
            <w:pPr>
              <w:pStyle w:val="null3"/>
              <w:ind w:firstLine="480"/>
              <w:jc w:val="both"/>
            </w:pPr>
            <w:r>
              <w:rPr>
                <w:rFonts w:ascii="仿宋_GB2312" w:hAnsi="仿宋_GB2312" w:cs="仿宋_GB2312" w:eastAsia="仿宋_GB2312"/>
                <w:sz w:val="24"/>
              </w:rPr>
              <w:t>（五）课程培训服务</w:t>
            </w:r>
          </w:p>
          <w:p>
            <w:pPr>
              <w:pStyle w:val="null3"/>
              <w:ind w:firstLine="480"/>
              <w:jc w:val="both"/>
            </w:pPr>
            <w:r>
              <w:rPr>
                <w:rFonts w:ascii="仿宋_GB2312" w:hAnsi="仿宋_GB2312" w:cs="仿宋_GB2312" w:eastAsia="仿宋_GB2312"/>
                <w:sz w:val="24"/>
              </w:rPr>
              <w:t>为确保采购平台与</w:t>
            </w:r>
            <w:r>
              <w:rPr>
                <w:rFonts w:ascii="仿宋_GB2312" w:hAnsi="仿宋_GB2312" w:cs="仿宋_GB2312" w:eastAsia="仿宋_GB2312"/>
                <w:sz w:val="24"/>
              </w:rPr>
              <w:t>采购单位</w:t>
            </w:r>
            <w:r>
              <w:rPr>
                <w:rFonts w:ascii="仿宋_GB2312" w:hAnsi="仿宋_GB2312" w:cs="仿宋_GB2312" w:eastAsia="仿宋_GB2312"/>
                <w:sz w:val="24"/>
              </w:rPr>
              <w:t>教学工作深度融合，实现</w:t>
            </w:r>
            <w:r>
              <w:rPr>
                <w:rFonts w:ascii="仿宋_GB2312" w:hAnsi="仿宋_GB2312" w:cs="仿宋_GB2312" w:eastAsia="仿宋_GB2312"/>
                <w:sz w:val="24"/>
              </w:rPr>
              <w:t>“建以致用”的目标，供应商需提供全面、持续、深度的课程服务与培训支持，具体内容与要求如下：</w:t>
            </w:r>
          </w:p>
          <w:p>
            <w:pPr>
              <w:pStyle w:val="null3"/>
              <w:ind w:firstLine="480"/>
              <w:jc w:val="both"/>
            </w:pPr>
            <w:r>
              <w:rPr>
                <w:rFonts w:ascii="仿宋_GB2312" w:hAnsi="仿宋_GB2312" w:cs="仿宋_GB2312" w:eastAsia="仿宋_GB2312"/>
                <w:sz w:val="24"/>
              </w:rPr>
              <w:t>1、师资培训服务</w:t>
            </w:r>
          </w:p>
          <w:p>
            <w:pPr>
              <w:pStyle w:val="null3"/>
              <w:ind w:firstLine="480"/>
              <w:jc w:val="both"/>
            </w:pPr>
            <w:r>
              <w:rPr>
                <w:rFonts w:ascii="仿宋_GB2312" w:hAnsi="仿宋_GB2312" w:cs="仿宋_GB2312" w:eastAsia="仿宋_GB2312"/>
                <w:sz w:val="24"/>
              </w:rPr>
              <w:t>为确保教师能有效使用平台进行教学，供应商需提供系统的师资培训。这包括组织平台操作培训，使教师熟练掌握各项功能；开展教学法研讨和课程共建活动，帮助教师将平台资源与日常教学深度融合；同时建立顺畅的沟通渠道，为教师在教学实践中遇到的问题提供及时的技术支持与答疑服务。</w:t>
            </w:r>
          </w:p>
          <w:p>
            <w:pPr>
              <w:pStyle w:val="null3"/>
              <w:ind w:firstLine="480"/>
              <w:jc w:val="both"/>
            </w:pPr>
            <w:r>
              <w:rPr>
                <w:rFonts w:ascii="仿宋_GB2312" w:hAnsi="仿宋_GB2312" w:cs="仿宋_GB2312" w:eastAsia="仿宋_GB2312"/>
                <w:sz w:val="24"/>
              </w:rPr>
              <w:t>2、教学支持服务</w:t>
            </w:r>
          </w:p>
          <w:p>
            <w:pPr>
              <w:pStyle w:val="null3"/>
              <w:ind w:firstLine="480"/>
              <w:jc w:val="both"/>
            </w:pPr>
            <w:r>
              <w:rPr>
                <w:rFonts w:ascii="仿宋_GB2312" w:hAnsi="仿宋_GB2312" w:cs="仿宋_GB2312" w:eastAsia="仿宋_GB2312"/>
                <w:sz w:val="24"/>
              </w:rPr>
              <w:t>为保障学生的学习体验与效果，供应商需提供全面的教学支持。这包括确保实训平台稳定运行，提供清晰的操作指南，并安排人员在实验期间提供在线答疑，及时解决学生遇到的问题。</w:t>
            </w:r>
          </w:p>
          <w:p>
            <w:pPr>
              <w:pStyle w:val="null3"/>
              <w:ind w:firstLine="480"/>
              <w:jc w:val="both"/>
            </w:pPr>
            <w:r>
              <w:rPr>
                <w:rFonts w:ascii="仿宋_GB2312" w:hAnsi="仿宋_GB2312" w:cs="仿宋_GB2312" w:eastAsia="仿宋_GB2312"/>
                <w:sz w:val="24"/>
              </w:rPr>
              <w:t>（六）详细建设清单</w:t>
            </w:r>
          </w:p>
          <w:p>
            <w:pPr>
              <w:pStyle w:val="null3"/>
              <w:ind w:firstLine="480"/>
              <w:jc w:val="both"/>
            </w:pPr>
            <w:r>
              <w:rPr>
                <w:rFonts w:ascii="仿宋_GB2312" w:hAnsi="仿宋_GB2312" w:cs="仿宋_GB2312" w:eastAsia="仿宋_GB2312"/>
                <w:sz w:val="24"/>
              </w:rPr>
              <w:t>总体建设清单如下，其中为降低落地成本和运维难度，线上教学管理平台、机器学习平台以及实训所需云资源均采用公有云部署，免安装部署运维及服务器成本：</w:t>
            </w:r>
          </w:p>
          <w:p>
            <w:pPr>
              <w:pStyle w:val="null3"/>
              <w:ind w:firstLine="480"/>
              <w:jc w:val="both"/>
            </w:pPr>
            <w:r>
              <w:rPr>
                <w:rFonts w:ascii="仿宋_GB2312" w:hAnsi="仿宋_GB2312" w:cs="仿宋_GB2312" w:eastAsia="仿宋_GB2312"/>
                <w:sz w:val="24"/>
              </w:rPr>
              <w:t>1、线上教学平台与实训资源采购（按年付费）：</w:t>
            </w:r>
          </w:p>
          <w:tbl>
            <w:tblPr>
              <w:tblBorders>
                <w:top w:val="none" w:color="000000" w:sz="4"/>
                <w:left w:val="none" w:color="000000" w:sz="4"/>
                <w:bottom w:val="none" w:color="000000" w:sz="4"/>
                <w:right w:val="none" w:color="000000" w:sz="4"/>
                <w:insideH w:val="none"/>
                <w:insideV w:val="none"/>
              </w:tblBorders>
            </w:tblPr>
            <w:tblGrid>
              <w:gridCol w:w="227"/>
              <w:gridCol w:w="329"/>
              <w:gridCol w:w="1524"/>
              <w:gridCol w:w="260"/>
              <w:gridCol w:w="212"/>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需求分类</w:t>
                  </w:r>
                </w:p>
              </w:tc>
              <w:tc>
                <w:tcPr>
                  <w:tcW w:type="dxa" w:w="1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具体要求</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线上教学管理平台</w:t>
                  </w: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1、课程分类：展示本机构已开通课程的分类，支持按照全部或某分类进行筛选。筛选后，列表中仅展示符合分类筛选条件的课程。</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w:t>
                  </w: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2、课程查询：支持按照课程标题进行查询，查询后列表中仅展示符合搜索条件的课程。</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3、课程卡片：展示课程的基本信息，包括课程封面、课程标题、课程简介、课程课时。</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4、课程信息：展示当前课程的基本信息，包括课程封面、课程标题、课程简介。</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5、课程目录：展示当前课程的章节信息，包括章名称、节名称。章节结构可以收起和展开，方便用户查找资源。</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6、课程进度：展示当前用户在该课程中的学习进度，包含已学完的课时的标签、上次学习的课程的标签。</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7、课程分享：支持分享当前课程，包含复制分享链接和扫码分享到微信的能力。</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8、文档在线查看：支持文档类资源(doc、docx、pdf、txt)的在线预览，支持查看文档目录、滚动翻页，切换连页显示或分页显示、比例缩放、全屏显示。</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9、幻灯片在线查看：支持幻灯片格式资源（ppt、pptx）的在线预览，支持切换页面、切换播放模式、比例缩放、全屏显示。</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10、视频在线查看：支持视频类资源（mp4、mov、avi、rmvb、wmv、mkv）的在线预览，支持播放器进度条、时长显示、音量调节、清晰度切换、倍速切换、全屏显示。</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11、平台配置权限：支持管理员可以自定义平台的配置。</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12、平台logo管理：支持上传、更换门户网站的logo图片。</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13、平台名称配置：允许管理员修改在门户上显示的平台名称。</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14、用户权限管理：支持与学校现有的用户系统对接；支持在后台对添加、删除或修改用户账号信息；支持管理员在后台对用户进行角色和权限配置，控制其对后台各项功能模块的访问和操作权限。</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15、▲平台智能体支持：支持接入主流第三方开发平台创建的智能体，支持以h5链接方式灵活引入第三方智能体，适配更多来源渠道。（供应商需提供所投产品功能系统截图或产品官网截图证明并加盖</w:t>
                  </w:r>
                  <w:r>
                    <w:rPr>
                      <w:rFonts w:ascii="仿宋_GB2312" w:hAnsi="仿宋_GB2312" w:cs="仿宋_GB2312" w:eastAsia="仿宋_GB2312"/>
                      <w:sz w:val="24"/>
                    </w:rPr>
                    <w:t>投标人</w:t>
                  </w:r>
                  <w:r>
                    <w:rPr>
                      <w:rFonts w:ascii="仿宋_GB2312" w:hAnsi="仿宋_GB2312" w:cs="仿宋_GB2312" w:eastAsia="仿宋_GB2312"/>
                      <w:sz w:val="24"/>
                    </w:rPr>
                    <w:t>公章）</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16、▲智能体分类展示：支持对智能体进行分类，如创建、编辑、删除分类，方便用户查找。（供应商需提供所投产品功能系统截图或产品官网截图证明并加盖</w:t>
                  </w:r>
                  <w:r>
                    <w:rPr>
                      <w:rFonts w:ascii="仿宋_GB2312" w:hAnsi="仿宋_GB2312" w:cs="仿宋_GB2312" w:eastAsia="仿宋_GB2312"/>
                      <w:sz w:val="24"/>
                    </w:rPr>
                    <w:t>投标人</w:t>
                  </w:r>
                  <w:r>
                    <w:rPr>
                      <w:rFonts w:ascii="仿宋_GB2312" w:hAnsi="仿宋_GB2312" w:cs="仿宋_GB2312" w:eastAsia="仿宋_GB2312"/>
                      <w:sz w:val="24"/>
                    </w:rPr>
                    <w:t>公章）</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17、统一认证：支持与</w:t>
                  </w:r>
                  <w:r>
                    <w:rPr>
                      <w:rFonts w:ascii="仿宋_GB2312" w:hAnsi="仿宋_GB2312" w:cs="仿宋_GB2312" w:eastAsia="仿宋_GB2312"/>
                      <w:sz w:val="24"/>
                    </w:rPr>
                    <w:t>采购单位</w:t>
                  </w:r>
                  <w:r>
                    <w:rPr>
                      <w:rFonts w:ascii="仿宋_GB2312" w:hAnsi="仿宋_GB2312" w:cs="仿宋_GB2312" w:eastAsia="仿宋_GB2312"/>
                      <w:sz w:val="24"/>
                    </w:rPr>
                    <w:t>现有的统一身份认证系统集成，实现单点登录（</w:t>
                  </w:r>
                  <w:r>
                    <w:rPr>
                      <w:rFonts w:ascii="仿宋_GB2312" w:hAnsi="仿宋_GB2312" w:cs="仿宋_GB2312" w:eastAsia="仿宋_GB2312"/>
                      <w:sz w:val="24"/>
                    </w:rPr>
                    <w:t>SSO）。</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机器学习实训平台</w:t>
                  </w: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具备</w:t>
                  </w:r>
                  <w:r>
                    <w:rPr>
                      <w:rFonts w:ascii="仿宋_GB2312" w:hAnsi="仿宋_GB2312" w:cs="仿宋_GB2312" w:eastAsia="仿宋_GB2312"/>
                      <w:sz w:val="24"/>
                    </w:rPr>
                    <w:t>传统</w:t>
                  </w:r>
                  <w:r>
                    <w:rPr>
                      <w:rFonts w:ascii="仿宋_GB2312" w:hAnsi="仿宋_GB2312" w:cs="仿宋_GB2312" w:eastAsia="仿宋_GB2312"/>
                      <w:sz w:val="24"/>
                    </w:rPr>
                    <w:t>CV建模场景下的数据标注任务，类型有：图片分类（识别每张图片所属标注类别）、目标检测（识别每张图片里指定物体的所在位置及其类别）、目标跟踪（对连续多张图片里的某个相同物体进行跟踪标记）、图片分割（识别每张图片里指定标注类别的物体的所在区域）、OCR（识别图片中的文字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演示实训平台通过浏览器内的可视化工具对图片内容进行框选标注并设定该内容对应的标签。</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现场提供演示</w:t>
                  </w:r>
                  <w:r>
                    <w:rPr>
                      <w:rFonts w:ascii="仿宋_GB2312" w:hAnsi="仿宋_GB2312" w:cs="仿宋_GB2312" w:eastAsia="仿宋_GB2312"/>
                      <w:sz w:val="24"/>
                      <w:b/>
                      <w:color w:val="000000"/>
                    </w:rPr>
                    <w:t>）</w:t>
                  </w:r>
                </w:p>
              </w:tc>
              <w:tc>
                <w:tcPr>
                  <w:tcW w:type="dxa" w:w="2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w:t>
                  </w: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具备</w:t>
                  </w:r>
                  <w:r>
                    <w:rPr>
                      <w:rFonts w:ascii="仿宋_GB2312" w:hAnsi="仿宋_GB2312" w:cs="仿宋_GB2312" w:eastAsia="仿宋_GB2312"/>
                      <w:sz w:val="24"/>
                    </w:rPr>
                    <w:t>基于数据集，对象存储，文件存储等数据源创建训练任务。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演示实训平台中提供预置实训课程所需要的计算机视觉训练数据集，针对图片类实训数据，可以通过浏览器的图形化界面进行预览。</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现场提供演示</w:t>
                  </w:r>
                  <w:r>
                    <w:rPr>
                      <w:rFonts w:ascii="仿宋_GB2312" w:hAnsi="仿宋_GB2312" w:cs="仿宋_GB2312" w:eastAsia="仿宋_GB2312"/>
                      <w:sz w:val="24"/>
                      <w:b/>
                      <w:color w:val="000000"/>
                    </w:rPr>
                    <w:t>）</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具备</w:t>
                  </w:r>
                  <w:r>
                    <w:rPr>
                      <w:rFonts w:ascii="仿宋_GB2312" w:hAnsi="仿宋_GB2312" w:cs="仿宋_GB2312" w:eastAsia="仿宋_GB2312"/>
                      <w:sz w:val="24"/>
                    </w:rPr>
                    <w:t>Pytorch、Tensorflow1、Tensorflow2、PySpark、Spark等预置计算框架，需要内置训练加速库(包含在大模型llm镜像中)；支持通过自定义镜像启动任务。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演示实训平台内预置多种针对大语言模型的通用算法任务，并可通过勾选方式选择需要使用的通用算法并新建训练任务。</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现场提供演示</w:t>
                  </w:r>
                  <w:r>
                    <w:rPr>
                      <w:rFonts w:ascii="仿宋_GB2312" w:hAnsi="仿宋_GB2312" w:cs="仿宋_GB2312" w:eastAsia="仿宋_GB2312"/>
                      <w:sz w:val="24"/>
                      <w:b/>
                      <w:color w:val="000000"/>
                    </w:rPr>
                    <w:t>）</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具备</w:t>
                  </w:r>
                  <w:r>
                    <w:rPr>
                      <w:rFonts w:ascii="仿宋_GB2312" w:hAnsi="仿宋_GB2312" w:cs="仿宋_GB2312" w:eastAsia="仿宋_GB2312"/>
                      <w:sz w:val="24"/>
                    </w:rPr>
                    <w:t>单机多卡和多机多卡任务配置，支持多机</w:t>
                  </w:r>
                  <w:r>
                    <w:rPr>
                      <w:rFonts w:ascii="仿宋_GB2312" w:hAnsi="仿宋_GB2312" w:cs="仿宋_GB2312" w:eastAsia="仿宋_GB2312"/>
                      <w:sz w:val="24"/>
                    </w:rPr>
                    <w:t>8卡整机训练任务。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演示实训平台内置多种开源大语言模型，内置的模型厂家不少于</w:t>
                  </w:r>
                  <w:r>
                    <w:rPr>
                      <w:rFonts w:ascii="仿宋_GB2312" w:hAnsi="仿宋_GB2312" w:cs="仿宋_GB2312" w:eastAsia="仿宋_GB2312"/>
                      <w:sz w:val="24"/>
                      <w:color w:val="000000"/>
                    </w:rPr>
                    <w:t>4个，至少包含但不限于：DeepSeek、Llama、Qwen、Kimi等开源模型。</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现场提供演示</w:t>
                  </w:r>
                  <w:r>
                    <w:rPr>
                      <w:rFonts w:ascii="仿宋_GB2312" w:hAnsi="仿宋_GB2312" w:cs="仿宋_GB2312" w:eastAsia="仿宋_GB2312"/>
                      <w:sz w:val="24"/>
                      <w:b/>
                      <w:color w:val="000000"/>
                    </w:rPr>
                    <w:t>）</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具备</w:t>
                  </w:r>
                  <w:r>
                    <w:rPr>
                      <w:rFonts w:ascii="仿宋_GB2312" w:hAnsi="仿宋_GB2312" w:cs="仿宋_GB2312" w:eastAsia="仿宋_GB2312"/>
                      <w:sz w:val="24"/>
                    </w:rPr>
                    <w:t>不同的分布式训练模式，</w:t>
                  </w:r>
                  <w:r>
                    <w:rPr>
                      <w:rFonts w:ascii="仿宋_GB2312" w:hAnsi="仿宋_GB2312" w:cs="仿宋_GB2312" w:eastAsia="仿宋_GB2312"/>
                      <w:sz w:val="24"/>
                    </w:rPr>
                    <w:t>MPI、DDP、Ray、Horovod、PS-Worker、Spark等。</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具备</w:t>
                  </w:r>
                  <w:r>
                    <w:rPr>
                      <w:rFonts w:ascii="仿宋_GB2312" w:hAnsi="仿宋_GB2312" w:cs="仿宋_GB2312" w:eastAsia="仿宋_GB2312"/>
                      <w:sz w:val="24"/>
                    </w:rPr>
                    <w:t>配置训练参数。</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具备</w:t>
                  </w:r>
                  <w:r>
                    <w:rPr>
                      <w:rFonts w:ascii="仿宋_GB2312" w:hAnsi="仿宋_GB2312" w:cs="仿宋_GB2312" w:eastAsia="仿宋_GB2312"/>
                      <w:sz w:val="24"/>
                    </w:rPr>
                    <w:t>输入多行启动命令。</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具备</w:t>
                  </w:r>
                  <w:r>
                    <w:rPr>
                      <w:rFonts w:ascii="仿宋_GB2312" w:hAnsi="仿宋_GB2312" w:cs="仿宋_GB2312" w:eastAsia="仿宋_GB2312"/>
                      <w:sz w:val="24"/>
                    </w:rPr>
                    <w:t>将训练日志投递到日志服务，配置日志投递信息。</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具备</w:t>
                  </w:r>
                  <w:r>
                    <w:rPr>
                      <w:rFonts w:ascii="仿宋_GB2312" w:hAnsi="仿宋_GB2312" w:cs="仿宋_GB2312" w:eastAsia="仿宋_GB2312"/>
                      <w:sz w:val="24"/>
                    </w:rPr>
                    <w:t>任务的全生命周期管理，包括任务启动，停止，重启，删除等功能。</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具备</w:t>
                  </w:r>
                  <w:r>
                    <w:rPr>
                      <w:rFonts w:ascii="仿宋_GB2312" w:hAnsi="仿宋_GB2312" w:cs="仿宋_GB2312" w:eastAsia="仿宋_GB2312"/>
                      <w:sz w:val="24"/>
                    </w:rPr>
                    <w:t>自定义训练指标上报和指标监控。</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具备</w:t>
                  </w:r>
                  <w:r>
                    <w:rPr>
                      <w:rFonts w:ascii="仿宋_GB2312" w:hAnsi="仿宋_GB2312" w:cs="仿宋_GB2312" w:eastAsia="仿宋_GB2312"/>
                      <w:sz w:val="24"/>
                    </w:rPr>
                    <w:t>查看任务实例列表，支持容器登录。</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具备</w:t>
                  </w:r>
                  <w:r>
                    <w:rPr>
                      <w:rFonts w:ascii="仿宋_GB2312" w:hAnsi="仿宋_GB2312" w:cs="仿宋_GB2312" w:eastAsia="仿宋_GB2312"/>
                      <w:sz w:val="24"/>
                    </w:rPr>
                    <w:t>训练日志和事件查看，针对事件信息，平台需对接云厂商的可观测平台，支持事件告警。</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13、支持训练任务资源监控，包含GPU卡资源监控、RDMA监控、CPU监控。</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14、支持一键查看tensorboard监控页面。</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15、支持任务排队，根据配置的标签进行优先级调度，调度策略可配置；支持查看任务排队队列。</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16、支持创建问答应用，在训练过程中，对训出的模型checkpoint，进行轻量体验，初步查看模型效果。</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17、支持基于内置镜像和自定义镜像启动开发机实例。</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18、支持开发机与 Git 存储库关联。可以在开发机中将代码提交到Git仓库。</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19、提供生命周期配置 SHELL 脚本，在用户创建实例或每次启动实例时运行，可以帮助用户安装自定义依赖，个性化配置开发机环境。</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20、创建实例支持配置环境变量。</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21、支持Jupyter Notebook或者VSCode作为在线编码IDE。</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22、支持SSH远程登录，用户可以在本地IDE远程连接开发机实例；支持公网访问和VPC内地址访问；支持配置和管理私有链接地址。</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23、支持查看开发机实例运行日志和事件。</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24、实例停止后支持编辑相关配置（挂载的存储不可编辑）。</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vMerge/>
                  <w:tcBorders>
                    <w:top w:val="none" w:color="000000" w:sz="4"/>
                    <w:left w:val="single" w:color="000000" w:sz="4"/>
                    <w:bottom w:val="single" w:color="000000" w:sz="4"/>
                    <w:right w:val="single" w:color="000000" w:sz="4"/>
                  </w:tcBorders>
                </w:tcPr>
                <w:p/>
              </w:tc>
              <w:tc>
                <w:tcPr>
                  <w:tcW w:type="dxa" w:w="329"/>
                  <w:vMerge/>
                  <w:tcBorders>
                    <w:top w:val="none" w:color="000000" w:sz="4"/>
                    <w:left w:val="single" w:color="000000" w:sz="4"/>
                    <w:bottom w:val="single" w:color="000000" w:sz="4"/>
                    <w:right w:val="single" w:color="000000" w:sz="4"/>
                  </w:tcBorders>
                </w:tcP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25、平台的开发机实例中内置sdk开发套件，支持训练任务提交，数据上传与下载，资源组信息查看，模型仓库注册等功能。</w:t>
                  </w:r>
                </w:p>
              </w:tc>
              <w:tc>
                <w:tcPr>
                  <w:tcW w:type="dxa" w:w="260"/>
                  <w:vMerge/>
                  <w:tcBorders>
                    <w:top w:val="none" w:color="000000" w:sz="4"/>
                    <w:left w:val="single" w:color="000000" w:sz="4"/>
                    <w:bottom w:val="single" w:color="000000" w:sz="4"/>
                    <w:right w:val="single" w:color="000000" w:sz="4"/>
                  </w:tcBorders>
                </w:tcPr>
                <w:p/>
              </w:tc>
              <w:tc>
                <w:tcPr>
                  <w:tcW w:type="dxa" w:w="212"/>
                  <w:vMerge/>
                  <w:tcBorders>
                    <w:top w:val="none" w:color="000000" w:sz="4"/>
                    <w:left w:val="single" w:color="000000" w:sz="4"/>
                    <w:bottom w:val="single" w:color="000000" w:sz="4"/>
                    <w:right w:val="single" w:color="000000" w:sz="4"/>
                  </w:tcBorders>
                </w:tc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实训资源保障</w:t>
                  </w: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针对招标要求中的两门课程提供相应的实训计算资源与环境保障，采用云资源方式提供，具体要求如下：</w:t>
                  </w:r>
                </w:p>
                <w:p>
                  <w:pPr>
                    <w:pStyle w:val="null3"/>
                    <w:jc w:val="both"/>
                  </w:pPr>
                  <w:r>
                    <w:rPr>
                      <w:rFonts w:ascii="仿宋_GB2312" w:hAnsi="仿宋_GB2312" w:cs="仿宋_GB2312" w:eastAsia="仿宋_GB2312"/>
                      <w:sz w:val="24"/>
                    </w:rPr>
                    <w:t>1、《大模型实战》课程及实验提供1年内不低于70人（每人不低于 2 次实训）上机实训所需云资源；</w:t>
                  </w:r>
                </w:p>
                <w:p>
                  <w:pPr>
                    <w:pStyle w:val="null3"/>
                    <w:jc w:val="both"/>
                  </w:pPr>
                  <w:r>
                    <w:rPr>
                      <w:rFonts w:ascii="仿宋_GB2312" w:hAnsi="仿宋_GB2312" w:cs="仿宋_GB2312" w:eastAsia="仿宋_GB2312"/>
                      <w:sz w:val="24"/>
                    </w:rPr>
                    <w:t>2、《深度学习与计算机视觉基础应用》课程及实验提供1年内不低于170人（每人不低于 2 次实训）上机实训所需云资源。</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课程培训</w:t>
                  </w:r>
                </w:p>
              </w:tc>
              <w:tc>
                <w:tcPr>
                  <w:tcW w:type="dxa" w:w="1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1、师资培训服务</w:t>
                  </w:r>
                </w:p>
                <w:p>
                  <w:pPr>
                    <w:pStyle w:val="null3"/>
                    <w:jc w:val="both"/>
                  </w:pPr>
                  <w:r>
                    <w:rPr>
                      <w:rFonts w:ascii="仿宋_GB2312" w:hAnsi="仿宋_GB2312" w:cs="仿宋_GB2312" w:eastAsia="仿宋_GB2312"/>
                      <w:sz w:val="24"/>
                    </w:rPr>
                    <w:t>供应商须提供系统的平台操作培训，确保教师能熟练使用各项功能；组织开展教学研讨，促进平台资源与教学实践的深度融合；并建立有效的支持渠道，为教师提供及时的技术指导和问题解答。</w:t>
                  </w:r>
                </w:p>
                <w:p>
                  <w:pPr>
                    <w:pStyle w:val="null3"/>
                    <w:jc w:val="both"/>
                  </w:pPr>
                  <w:r>
                    <w:rPr>
                      <w:rFonts w:ascii="仿宋_GB2312" w:hAnsi="仿宋_GB2312" w:cs="仿宋_GB2312" w:eastAsia="仿宋_GB2312"/>
                      <w:sz w:val="24"/>
                    </w:rPr>
                    <w:t>2、教学支持服务</w:t>
                  </w:r>
                </w:p>
                <w:p>
                  <w:pPr>
                    <w:pStyle w:val="null3"/>
                    <w:jc w:val="both"/>
                  </w:pPr>
                  <w:r>
                    <w:rPr>
                      <w:rFonts w:ascii="仿宋_GB2312" w:hAnsi="仿宋_GB2312" w:cs="仿宋_GB2312" w:eastAsia="仿宋_GB2312"/>
                      <w:sz w:val="24"/>
                    </w:rPr>
                    <w:t>供应商应保障实训平台稳定运行，提供明确的操作指引，并在实验期间安排在线答疑，及时响应和解决学生遇到的问题。</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年</w:t>
                  </w:r>
                </w:p>
              </w:tc>
            </w:tr>
          </w:tbl>
          <w:p>
            <w:pPr>
              <w:pStyle w:val="null3"/>
              <w:ind w:firstLine="480"/>
              <w:jc w:val="both"/>
            </w:pPr>
            <w:r>
              <w:rPr>
                <w:rFonts w:ascii="仿宋_GB2312" w:hAnsi="仿宋_GB2312" w:cs="仿宋_GB2312" w:eastAsia="仿宋_GB2312"/>
                <w:sz w:val="24"/>
              </w:rPr>
              <w:t>2）课程采购</w:t>
            </w:r>
            <w:r>
              <w:rPr>
                <w:rFonts w:ascii="仿宋_GB2312" w:hAnsi="仿宋_GB2312" w:cs="仿宋_GB2312" w:eastAsia="仿宋_GB2312"/>
                <w:sz w:val="24"/>
              </w:rPr>
              <w:t>（一次性购买）</w:t>
            </w:r>
          </w:p>
          <w:tbl>
            <w:tblPr>
              <w:tblBorders>
                <w:top w:val="none" w:color="000000" w:sz="4"/>
                <w:left w:val="none" w:color="000000" w:sz="4"/>
                <w:bottom w:val="none" w:color="000000" w:sz="4"/>
                <w:right w:val="none" w:color="000000" w:sz="4"/>
                <w:insideH w:val="none"/>
                <w:insideV w:val="none"/>
              </w:tblBorders>
            </w:tblPr>
            <w:tblGrid>
              <w:gridCol w:w="189"/>
              <w:gridCol w:w="436"/>
              <w:gridCol w:w="1469"/>
              <w:gridCol w:w="233"/>
              <w:gridCol w:w="224"/>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建设分类</w:t>
                  </w:r>
                </w:p>
              </w:tc>
              <w:tc>
                <w:tcPr>
                  <w:tcW w:type="dxa" w:w="1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技术要求</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《大模型实战》课程及实验</w:t>
                  </w:r>
                </w:p>
              </w:tc>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1、该课程总课时数（包含理论教学、实操视频、实训任务）不低于24课时。</w:t>
                  </w:r>
                </w:p>
              </w:tc>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9"/>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2、课程内容要求：</w:t>
                  </w:r>
                </w:p>
                <w:p>
                  <w:pPr>
                    <w:pStyle w:val="null3"/>
                    <w:jc w:val="both"/>
                  </w:pPr>
                  <w:r>
                    <w:rPr>
                      <w:rFonts w:ascii="仿宋_GB2312" w:hAnsi="仿宋_GB2312" w:cs="仿宋_GB2312" w:eastAsia="仿宋_GB2312"/>
                      <w:sz w:val="24"/>
                    </w:rPr>
                    <w:t>课程内容面向无</w:t>
                  </w:r>
                  <w:r>
                    <w:rPr>
                      <w:rFonts w:ascii="仿宋_GB2312" w:hAnsi="仿宋_GB2312" w:cs="仿宋_GB2312" w:eastAsia="仿宋_GB2312"/>
                      <w:sz w:val="24"/>
                    </w:rPr>
                    <w:t>AI开发能力的学生、企业员工、社会人士，介绍大模型的发展历程以及应用场景，使用大语言模型做应用实践。其中实训资源需采用公有云模式部署。</w:t>
                  </w:r>
                </w:p>
              </w:tc>
              <w:tc>
                <w:tcPr>
                  <w:tcW w:type="dxa" w:w="233"/>
                  <w:vMerge/>
                  <w:tcBorders>
                    <w:top w:val="none" w:color="000000" w:sz="4"/>
                    <w:left w:val="single" w:color="000000" w:sz="4"/>
                    <w:bottom w:val="single" w:color="000000" w:sz="4"/>
                    <w:right w:val="single" w:color="000000" w:sz="4"/>
                  </w:tcBorders>
                </w:tcPr>
                <w:p/>
              </w:tc>
              <w:tc>
                <w:tcPr>
                  <w:tcW w:type="dxa" w:w="224"/>
                  <w:vMerge/>
                  <w:tcBorders>
                    <w:top w:val="none" w:color="000000" w:sz="4"/>
                    <w:left w:val="singl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3、课程资源规格要求：</w:t>
                  </w:r>
                </w:p>
                <w:p>
                  <w:pPr>
                    <w:pStyle w:val="null3"/>
                    <w:jc w:val="both"/>
                  </w:pPr>
                  <w:r>
                    <w:rPr>
                      <w:rFonts w:ascii="仿宋_GB2312" w:hAnsi="仿宋_GB2312" w:cs="仿宋_GB2312" w:eastAsia="仿宋_GB2312"/>
                      <w:sz w:val="24"/>
                    </w:rPr>
                    <w:t>3.1课程配套实训手册：针对实训部分的图文讲解。内容形式：在线文档。</w:t>
                  </w:r>
                </w:p>
                <w:p>
                  <w:pPr>
                    <w:pStyle w:val="null3"/>
                    <w:jc w:val="both"/>
                  </w:pPr>
                  <w:r>
                    <w:rPr>
                      <w:rFonts w:ascii="仿宋_GB2312" w:hAnsi="仿宋_GB2312" w:cs="仿宋_GB2312" w:eastAsia="仿宋_GB2312"/>
                      <w:sz w:val="24"/>
                    </w:rPr>
                    <w:t>3.2实验环境和实验资源，包含完成实验需要用到的工具软件、云资源、线下课件及实验数据，内容形式可为在线镜像或工具包。</w:t>
                  </w:r>
                </w:p>
              </w:tc>
              <w:tc>
                <w:tcPr>
                  <w:tcW w:type="dxa" w:w="233"/>
                  <w:vMerge/>
                  <w:tcBorders>
                    <w:top w:val="none" w:color="000000" w:sz="4"/>
                    <w:left w:val="single" w:color="000000" w:sz="4"/>
                    <w:bottom w:val="single" w:color="000000" w:sz="4"/>
                    <w:right w:val="single" w:color="000000" w:sz="4"/>
                  </w:tcBorders>
                </w:tcPr>
                <w:p/>
              </w:tc>
              <w:tc>
                <w:tcPr>
                  <w:tcW w:type="dxa" w:w="224"/>
                  <w:vMerge/>
                  <w:tcBorders>
                    <w:top w:val="none" w:color="000000" w:sz="4"/>
                    <w:left w:val="singl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4、课程资源要求：</w:t>
                  </w:r>
                </w:p>
                <w:p>
                  <w:pPr>
                    <w:pStyle w:val="null3"/>
                    <w:jc w:val="both"/>
                  </w:pPr>
                  <w:r>
                    <w:rPr>
                      <w:rFonts w:ascii="仿宋_GB2312" w:hAnsi="仿宋_GB2312" w:cs="仿宋_GB2312" w:eastAsia="仿宋_GB2312"/>
                      <w:sz w:val="24"/>
                    </w:rPr>
                    <w:t>4.1理论授课PPT，1套，不低于2课时；</w:t>
                  </w:r>
                </w:p>
                <w:p>
                  <w:pPr>
                    <w:pStyle w:val="null3"/>
                    <w:jc w:val="both"/>
                  </w:pPr>
                  <w:r>
                    <w:rPr>
                      <w:rFonts w:ascii="仿宋_GB2312" w:hAnsi="仿宋_GB2312" w:cs="仿宋_GB2312" w:eastAsia="仿宋_GB2312"/>
                      <w:sz w:val="24"/>
                    </w:rPr>
                    <w:t>4.2实操视频+实验手册，1套，不低于22课时。</w:t>
                  </w:r>
                </w:p>
              </w:tc>
              <w:tc>
                <w:tcPr>
                  <w:tcW w:type="dxa" w:w="233"/>
                  <w:vMerge/>
                  <w:tcBorders>
                    <w:top w:val="none" w:color="000000" w:sz="4"/>
                    <w:left w:val="single" w:color="000000" w:sz="4"/>
                    <w:bottom w:val="single" w:color="000000" w:sz="4"/>
                    <w:right w:val="single" w:color="000000" w:sz="4"/>
                  </w:tcBorders>
                </w:tcPr>
                <w:p/>
              </w:tc>
              <w:tc>
                <w:tcPr>
                  <w:tcW w:type="dxa" w:w="224"/>
                  <w:vMerge/>
                  <w:tcBorders>
                    <w:top w:val="none" w:color="000000" w:sz="4"/>
                    <w:left w:val="single" w:color="000000" w:sz="4"/>
                    <w:bottom w:val="single" w:color="000000" w:sz="4"/>
                    <w:right w:val="single" w:color="000000" w:sz="4"/>
                  </w:tcBorders>
                </w:tcPr>
                <w:p/>
              </w:tc>
            </w:tr>
            <w:tr>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《深度学习与计算机视觉基础应用》课程及实验</w:t>
                  </w:r>
                </w:p>
              </w:tc>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1、该课程总课时数（包含理论教学、实操视频、实训任务）不低于48课时。</w:t>
                  </w:r>
                </w:p>
              </w:tc>
              <w:tc>
                <w:tcPr>
                  <w:tcW w:type="dxa" w:w="2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89"/>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2、课程内容要求：</w:t>
                  </w:r>
                </w:p>
                <w:p>
                  <w:pPr>
                    <w:pStyle w:val="null3"/>
                    <w:jc w:val="both"/>
                  </w:pPr>
                  <w:r>
                    <w:rPr>
                      <w:rFonts w:ascii="仿宋_GB2312" w:hAnsi="仿宋_GB2312" w:cs="仿宋_GB2312" w:eastAsia="仿宋_GB2312"/>
                      <w:sz w:val="24"/>
                    </w:rPr>
                    <w:t>课程内容包含深度学习基础、数字图像基础、数字图像处理技术等背景知识，详细介绍深度学习技术在典型计算机视觉领域中的应用，包含图像分类、目标检测、目标追踪和图像分割等内容。其中实训资源需采用公有云模式部署。</w:t>
                  </w:r>
                </w:p>
              </w:tc>
              <w:tc>
                <w:tcPr>
                  <w:tcW w:type="dxa" w:w="233"/>
                  <w:vMerge/>
                  <w:tcBorders>
                    <w:top w:val="none" w:color="000000" w:sz="4"/>
                    <w:left w:val="single" w:color="000000" w:sz="4"/>
                    <w:bottom w:val="single" w:color="000000" w:sz="4"/>
                    <w:right w:val="single" w:color="000000" w:sz="4"/>
                  </w:tcBorders>
                </w:tcPr>
                <w:p/>
              </w:tc>
              <w:tc>
                <w:tcPr>
                  <w:tcW w:type="dxa" w:w="224"/>
                  <w:vMerge/>
                  <w:tcBorders>
                    <w:top w:val="none" w:color="000000" w:sz="4"/>
                    <w:left w:val="singl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3、课程资源规格要求：</w:t>
                  </w:r>
                </w:p>
                <w:p>
                  <w:pPr>
                    <w:pStyle w:val="null3"/>
                    <w:jc w:val="both"/>
                  </w:pPr>
                  <w:r>
                    <w:rPr>
                      <w:rFonts w:ascii="仿宋_GB2312" w:hAnsi="仿宋_GB2312" w:cs="仿宋_GB2312" w:eastAsia="仿宋_GB2312"/>
                      <w:sz w:val="24"/>
                    </w:rPr>
                    <w:t>3.1课程配套实训手册：针对实训部分的图文讲解。内容形式：在线文档。</w:t>
                  </w:r>
                </w:p>
                <w:p>
                  <w:pPr>
                    <w:pStyle w:val="null3"/>
                    <w:jc w:val="both"/>
                  </w:pPr>
                  <w:r>
                    <w:rPr>
                      <w:rFonts w:ascii="仿宋_GB2312" w:hAnsi="仿宋_GB2312" w:cs="仿宋_GB2312" w:eastAsia="仿宋_GB2312"/>
                      <w:sz w:val="24"/>
                    </w:rPr>
                    <w:t>3.2实验环境和实验资源，包含完成实验需要用到的工具软件、云资源、线下课件及实验数据，内容形式可为在线镜像或工具包。</w:t>
                  </w:r>
                </w:p>
              </w:tc>
              <w:tc>
                <w:tcPr>
                  <w:tcW w:type="dxa" w:w="233"/>
                  <w:vMerge/>
                  <w:tcBorders>
                    <w:top w:val="none" w:color="000000" w:sz="4"/>
                    <w:left w:val="single" w:color="000000" w:sz="4"/>
                    <w:bottom w:val="single" w:color="000000" w:sz="4"/>
                    <w:right w:val="single" w:color="000000" w:sz="4"/>
                  </w:tcBorders>
                </w:tcPr>
                <w:p/>
              </w:tc>
              <w:tc>
                <w:tcPr>
                  <w:tcW w:type="dxa" w:w="224"/>
                  <w:vMerge/>
                  <w:tcBorders>
                    <w:top w:val="none" w:color="000000" w:sz="4"/>
                    <w:left w:val="single" w:color="000000" w:sz="4"/>
                    <w:bottom w:val="single" w:color="000000" w:sz="4"/>
                    <w:right w:val="single" w:color="000000" w:sz="4"/>
                  </w:tcBorders>
                </w:tcPr>
                <w:p/>
              </w:tc>
            </w:tr>
            <w:tr>
              <w:tc>
                <w:tcPr>
                  <w:tcW w:type="dxa" w:w="189"/>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4、课程资源要求：</w:t>
                  </w:r>
                </w:p>
                <w:p>
                  <w:pPr>
                    <w:pStyle w:val="null3"/>
                    <w:jc w:val="both"/>
                  </w:pPr>
                  <w:r>
                    <w:rPr>
                      <w:rFonts w:ascii="仿宋_GB2312" w:hAnsi="仿宋_GB2312" w:cs="仿宋_GB2312" w:eastAsia="仿宋_GB2312"/>
                      <w:sz w:val="24"/>
                    </w:rPr>
                    <w:t>4.1理论授课PPT，1套，不低于24课时；</w:t>
                  </w:r>
                </w:p>
                <w:p>
                  <w:pPr>
                    <w:pStyle w:val="null3"/>
                    <w:jc w:val="both"/>
                  </w:pPr>
                  <w:r>
                    <w:rPr>
                      <w:rFonts w:ascii="仿宋_GB2312" w:hAnsi="仿宋_GB2312" w:cs="仿宋_GB2312" w:eastAsia="仿宋_GB2312"/>
                      <w:sz w:val="24"/>
                    </w:rPr>
                    <w:t>4.2实操视频，1套，不低于12课时；</w:t>
                  </w:r>
                </w:p>
                <w:p>
                  <w:pPr>
                    <w:pStyle w:val="null3"/>
                    <w:jc w:val="both"/>
                  </w:pPr>
                  <w:r>
                    <w:rPr>
                      <w:rFonts w:ascii="仿宋_GB2312" w:hAnsi="仿宋_GB2312" w:cs="仿宋_GB2312" w:eastAsia="仿宋_GB2312"/>
                      <w:sz w:val="24"/>
                    </w:rPr>
                    <w:t>4.3实验手册，1套，不低于12课时。</w:t>
                  </w:r>
                </w:p>
              </w:tc>
              <w:tc>
                <w:tcPr>
                  <w:tcW w:type="dxa" w:w="233"/>
                  <w:vMerge/>
                  <w:tcBorders>
                    <w:top w:val="none" w:color="000000" w:sz="4"/>
                    <w:left w:val="single" w:color="000000" w:sz="4"/>
                    <w:bottom w:val="single" w:color="000000" w:sz="4"/>
                    <w:right w:val="single" w:color="000000" w:sz="4"/>
                  </w:tcBorders>
                </w:tcPr>
                <w:p/>
              </w:tc>
              <w:tc>
                <w:tcPr>
                  <w:tcW w:type="dxa" w:w="224"/>
                  <w:vMerge/>
                  <w:tcBorders>
                    <w:top w:val="non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sz w:val="24"/>
                <w:b/>
              </w:rPr>
              <w:t>二、配置要求</w:t>
            </w:r>
          </w:p>
          <w:p>
            <w:pPr>
              <w:pStyle w:val="null3"/>
            </w:pPr>
            <w:r>
              <w:rPr>
                <w:rFonts w:ascii="仿宋_GB2312" w:hAnsi="仿宋_GB2312" w:cs="仿宋_GB2312" w:eastAsia="仿宋_GB2312"/>
                <w:sz w:val="24"/>
                <w:color w:val="000000"/>
                <w:shd w:fill="FFFFFF" w:val="clear"/>
              </w:rPr>
              <w:t>所有平台及资源均需采用公有云部署，免运维。需配套提供满足</w:t>
            </w:r>
            <w:r>
              <w:rPr>
                <w:rFonts w:ascii="仿宋_GB2312" w:hAnsi="仿宋_GB2312" w:cs="仿宋_GB2312" w:eastAsia="仿宋_GB2312"/>
                <w:sz w:val="24"/>
                <w:color w:val="000000"/>
                <w:shd w:fill="FFFFFF" w:val="clear"/>
              </w:rPr>
              <w:t>240人各完成至少2次实训所需的GPU/CPU计算资源。</w:t>
            </w:r>
          </w:p>
          <w:p>
            <w:pPr>
              <w:pStyle w:val="null3"/>
            </w:pPr>
            <w:r>
              <w:rPr>
                <w:rFonts w:ascii="仿宋_GB2312" w:hAnsi="仿宋_GB2312" w:cs="仿宋_GB2312" w:eastAsia="仿宋_GB2312"/>
                <w:sz w:val="24"/>
                <w:b/>
                <w:color w:val="000000"/>
                <w:shd w:fill="FFFFFF" w:val="clear"/>
              </w:rPr>
              <w:t>三、其他要求</w:t>
            </w:r>
          </w:p>
          <w:p>
            <w:pPr>
              <w:pStyle w:val="null3"/>
              <w:jc w:val="both"/>
            </w:pPr>
            <w:r>
              <w:rPr>
                <w:rFonts w:ascii="仿宋_GB2312" w:hAnsi="仿宋_GB2312" w:cs="仿宋_GB2312" w:eastAsia="仿宋_GB2312"/>
                <w:sz w:val="24"/>
                <w:b/>
                <w:color w:val="000000"/>
              </w:rPr>
              <w:t>培训要求：</w:t>
            </w:r>
            <w:r>
              <w:rPr>
                <w:rFonts w:ascii="仿宋_GB2312" w:hAnsi="仿宋_GB2312" w:cs="仿宋_GB2312" w:eastAsia="仿宋_GB2312"/>
                <w:sz w:val="24"/>
                <w:color w:val="000000"/>
              </w:rPr>
              <w:t>交货后，由工程师现场提供一次系统的使用培训服务，直至采购人相关人员熟练掌握为止，培训内容：操作规程；培训人员：</w:t>
            </w:r>
            <w:r>
              <w:rPr>
                <w:rFonts w:ascii="仿宋_GB2312" w:hAnsi="仿宋_GB2312" w:cs="仿宋_GB2312" w:eastAsia="仿宋_GB2312"/>
                <w:sz w:val="24"/>
                <w:color w:val="000000"/>
              </w:rPr>
              <w:t>5人以上；培训时间：不少于一个工作日；考核方式：现场操作考核。</w:t>
            </w:r>
          </w:p>
          <w:p>
            <w:pPr>
              <w:pStyle w:val="null3"/>
              <w:jc w:val="both"/>
            </w:pPr>
            <w:r>
              <w:rPr>
                <w:rFonts w:ascii="仿宋_GB2312" w:hAnsi="仿宋_GB2312" w:cs="仿宋_GB2312" w:eastAsia="仿宋_GB2312"/>
                <w:sz w:val="24"/>
                <w:b/>
                <w:color w:val="000000"/>
              </w:rPr>
              <w:t>后续维修</w:t>
            </w:r>
            <w:r>
              <w:rPr>
                <w:rFonts w:ascii="仿宋_GB2312" w:hAnsi="仿宋_GB2312" w:cs="仿宋_GB2312" w:eastAsia="仿宋_GB2312"/>
                <w:sz w:val="24"/>
                <w:color w:val="000000"/>
              </w:rPr>
              <w:t>：对</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24小时做出响应，一般问题在48小时内解决，终身维修。</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交付期：自合同签订之日起2周； 服务期：1年，自交付完成并验收签字之日起计算。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后，采购人对供应商服务成果验收，验收合格后，凭最终签字和盖章的验收合格报告付款；有关发票方面的任何问题，采购人应在收到发票后及时书面通知供应商，供应商应及时作出解释或解决问题，以使采购人能按时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保证金注意事项：（1）磋商保证金须从供应商户名支付，如从个人户名或非供应商户名支付，将被拒绝，视为自动放弃投标权利（该个人是供应商的情形除外）；以保函形式交纳磋商保证金的，供应商应在响应截止时间前将保函扫描成清晰的PDF文件，发送至邮箱2559647209@qq.com（邮件命名：项目编号），并将保函原件单独递交至代理机构财务；供应商应在磋商文件中附保函复印件。保函必须由具有开具投标保函资格的单位开具；若供应商违约，开具保函单位承担连带责任；（2）磋商保证金的提交金额、时间不满足磋商文件要求的，投标无效；（3）磋商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2024年度审计报告（成立时间至提交响应文件截止时间不足一年的可提供成立后任意时段的资产负债表），或提交自2025年4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3资格证明文件.docx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不接受联合体磋商，不允许分包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3资格证明文件.docx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报价未超过磋商文件中规定的预算金额和最高限价的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实质性商务条款</w:t>
            </w:r>
          </w:p>
        </w:tc>
        <w:tc>
          <w:tcPr>
            <w:tcW w:type="dxa" w:w="3322"/>
          </w:tcPr>
          <w:p>
            <w:pPr>
              <w:pStyle w:val="null3"/>
            </w:pPr>
            <w:r>
              <w:rPr>
                <w:rFonts w:ascii="仿宋_GB2312" w:hAnsi="仿宋_GB2312" w:cs="仿宋_GB2312" w:eastAsia="仿宋_GB2312"/>
              </w:rPr>
              <w:t>满足本磋商文件中要求的实质性商务条款（服务期限、服务地点、支付约定）要求的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4承诺书.docx 1分项价格表.docx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供应商完全响应并满足招标文件3.2.2服务要求中“一、技术要求”“二、配置要求”的，无负偏离，计20分。 “▲”项必须按照技术要求提供佐证材料，不满足技术要求或未提供佐证材料的视为负偏离，每负偏离一项计1.5分。非“▲”项及非“#”演示项参数以服务响应偏离表响应内容为准，内容须具体、明确，每负偏离一项扣0.3分。“#”演示项不作为该项评审内容。 供应商所填写的“偏离情况”与磋商小组判定不一致时，以磋商小组意见为主。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5服务响应偏离表.docx</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供应商针对本项目需求提供资源库整体建设方案，内容至少包含①资源库总体架构情况②功能模块设计方案③技术方案④GPU/CPU计算资源配置方案⑤重难点分析及解决措施。 上述内容每有一项缺项扣3分；每有一处内容存在瑕疵，扣0.5分。 本文所称“瑕疵”是指内容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6建设方案.docx</w:t>
            </w:r>
          </w:p>
        </w:tc>
      </w:tr>
      <w:tr>
        <w:tc>
          <w:tcPr>
            <w:tcW w:type="dxa" w:w="831"/>
            <w:vMerge/>
          </w:tcPr>
          <w:p/>
        </w:tc>
        <w:tc>
          <w:tcPr>
            <w:tcW w:type="dxa" w:w="1661"/>
          </w:tcPr>
          <w:p>
            <w:pPr>
              <w:pStyle w:val="null3"/>
            </w:pPr>
            <w:r>
              <w:rPr>
                <w:rFonts w:ascii="仿宋_GB2312" w:hAnsi="仿宋_GB2312" w:cs="仿宋_GB2312" w:eastAsia="仿宋_GB2312"/>
              </w:rPr>
              <w:t>实施质量保障方案</w:t>
            </w:r>
          </w:p>
        </w:tc>
        <w:tc>
          <w:tcPr>
            <w:tcW w:type="dxa" w:w="2492"/>
          </w:tcPr>
          <w:p>
            <w:pPr>
              <w:pStyle w:val="null3"/>
            </w:pPr>
            <w:r>
              <w:rPr>
                <w:rFonts w:ascii="仿宋_GB2312" w:hAnsi="仿宋_GB2312" w:cs="仿宋_GB2312" w:eastAsia="仿宋_GB2312"/>
              </w:rPr>
              <w:t>供应商针对本项目需求提供实施质量保障方案，内容至少包含①质量管理体系②服务质量管控制度③质量保证措施④增值服务。 上述内容每有一项缺项扣3分；每有一处内容存在瑕疵，扣0.5分。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7实施质量保障方案.docx</w:t>
            </w:r>
          </w:p>
        </w:tc>
      </w:tr>
      <w:tr>
        <w:tc>
          <w:tcPr>
            <w:tcW w:type="dxa" w:w="831"/>
            <w:vMerge/>
          </w:tcPr>
          <w:p/>
        </w:tc>
        <w:tc>
          <w:tcPr>
            <w:tcW w:type="dxa" w:w="1661"/>
          </w:tcPr>
          <w:p>
            <w:pPr>
              <w:pStyle w:val="null3"/>
            </w:pPr>
            <w:r>
              <w:rPr>
                <w:rFonts w:ascii="仿宋_GB2312" w:hAnsi="仿宋_GB2312" w:cs="仿宋_GB2312" w:eastAsia="仿宋_GB2312"/>
              </w:rPr>
              <w:t>实施进度保障方案</w:t>
            </w:r>
          </w:p>
        </w:tc>
        <w:tc>
          <w:tcPr>
            <w:tcW w:type="dxa" w:w="2492"/>
          </w:tcPr>
          <w:p>
            <w:pPr>
              <w:pStyle w:val="null3"/>
            </w:pPr>
            <w:r>
              <w:rPr>
                <w:rFonts w:ascii="仿宋_GB2312" w:hAnsi="仿宋_GB2312" w:cs="仿宋_GB2312" w:eastAsia="仿宋_GB2312"/>
              </w:rPr>
              <w:t>供应商针对本项目需求提供实施进度保障方案，内容至少包含①项目实施计划②流程及进度安排③进度保障措施④工作协调方案。 上述内容每有一项缺项扣2分；每有一处内容存在瑕疵，扣0.5分。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8实施进度保障方案.docx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供应商针对本项目需求提供拟派团队人员安排： ①项目负责人（1名）资质要求：具备信息系统项目管理师证书，计1分； 学历要求：满足资质要求基础上具有研究生及以上学历计1分；具有本科学历计0.5分。 满分2分。 ②项目组成员（≥2名）：每有1人具有信息系统相关职业资格证书的计0.5分，满分1分。 上述人员均为供应商职工，提供拟派团队人员清单、学历证明、职业资格证书及在职证明材料等。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9团队人员.docx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供应商针对本项目招标文件3.3技术要求中“#”项内容进行演示，采用真实系统或demo形式演示，以图片、视频、PPT等模拟演示的均不得分。每成功演示一项功能，计2分；演示内容不完整或演示不成功均不计分，本项满分8分。 备注： ①每个供应商演示时间不超过15分钟。 ②现场将使用腾讯视频会议形式与各供应商进行连线演示，请各供应商保持通信畅通，否则造成任何后果由各供应商自负。</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2022年1月1日起至今（以合同签订日期为准），供应商具有同类项目合同（至少包括合同首页、主要内容页、双方签字盖章页），每提供1个得1分，本项满分5分。 备注：响应文件中提供合同复印件并加盖供应商公章。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供应商针对本项目提供详细完整的售后服务方案。包含但不限于：①响应时间，②运行维护及售后服务保障措施，③售后服务流程，④应急响应机制及技术支持等进行综合评审。 上述内容每有一项缺项扣2分；每有一处内容存在瑕疵，扣0.5分。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12售后服务.docx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提供完整、可行的培训方案包括但不限于①具体培训方式、时间、地点；②培训人员数量及资质情况；③培训内容及具体安排情况。上述内容每有一项缺项扣2分；每有一处内容存在瑕疵，扣0.5分。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以最终最低有效磋商报价为基准价，报价得分=（磋商基准价/最终磋商报价）×价格分值。 注：1.计算分数时四舍五入取小数点后两位； 2.落实政府采购政策：参见价格扣除。</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详见附件：6建设方案.docx</w:t>
      </w:r>
    </w:p>
    <w:p>
      <w:pPr>
        <w:pStyle w:val="null3"/>
        <w:ind w:firstLine="960"/>
      </w:pPr>
      <w:r>
        <w:rPr>
          <w:rFonts w:ascii="仿宋_GB2312" w:hAnsi="仿宋_GB2312" w:cs="仿宋_GB2312" w:eastAsia="仿宋_GB2312"/>
        </w:rPr>
        <w:t>详见附件：7实施质量保障方案.docx</w:t>
      </w:r>
    </w:p>
    <w:p>
      <w:pPr>
        <w:pStyle w:val="null3"/>
        <w:ind w:firstLine="960"/>
      </w:pPr>
      <w:r>
        <w:rPr>
          <w:rFonts w:ascii="仿宋_GB2312" w:hAnsi="仿宋_GB2312" w:cs="仿宋_GB2312" w:eastAsia="仿宋_GB2312"/>
        </w:rPr>
        <w:t>详见附件：8实施进度保障方案.docx</w:t>
      </w:r>
    </w:p>
    <w:p>
      <w:pPr>
        <w:pStyle w:val="null3"/>
        <w:ind w:firstLine="960"/>
      </w:pPr>
      <w:r>
        <w:rPr>
          <w:rFonts w:ascii="仿宋_GB2312" w:hAnsi="仿宋_GB2312" w:cs="仿宋_GB2312" w:eastAsia="仿宋_GB2312"/>
        </w:rPr>
        <w:t>详见附件：9团队人员.docx</w:t>
      </w:r>
    </w:p>
    <w:p>
      <w:pPr>
        <w:pStyle w:val="null3"/>
        <w:ind w:firstLine="960"/>
      </w:pPr>
      <w:r>
        <w:rPr>
          <w:rFonts w:ascii="仿宋_GB2312" w:hAnsi="仿宋_GB2312" w:cs="仿宋_GB2312" w:eastAsia="仿宋_GB2312"/>
        </w:rPr>
        <w:t>详见附件：10演示.docx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详见附件：12售后服务.docx</w:t>
      </w:r>
    </w:p>
    <w:p>
      <w:pPr>
        <w:pStyle w:val="null3"/>
        <w:ind w:firstLine="960"/>
      </w:pPr>
      <w:r>
        <w:rPr>
          <w:rFonts w:ascii="仿宋_GB2312" w:hAnsi="仿宋_GB2312" w:cs="仿宋_GB2312" w:eastAsia="仿宋_GB2312"/>
        </w:rPr>
        <w:t>详见附件：13培训.docx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