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979A9">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permStart w:id="0" w:edGrp="everyone"/>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6B311388">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095B6439">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ermEnd w:id="0"/>
    <w:p w14:paraId="1EF69989">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6A35DA08">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fill on="t" focussize="0,0"/>
                <v:stroke color="#000000" miterlimit="8" joinstyle="miter"/>
                <v:imagedata o:title=""/>
                <o:lock v:ext="edit" aspectratio="f"/>
                <v:textbox>
                  <w:txbxContent>
                    <w:p w14:paraId="6A35DA08">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2FF16B86">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2145B395">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4C8862CD">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26A68B4A">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w:t>
      </w:r>
      <w:bookmarkStart w:id="0" w:name="_GoBack"/>
      <w:bookmarkEnd w:id="0"/>
      <w:r>
        <w:rPr>
          <w:rFonts w:hint="eastAsia" w:ascii="宋体" w:hAnsi="宋体" w:cs="宋体"/>
          <w:b/>
          <w:bCs/>
          <w:sz w:val="72"/>
          <w:szCs w:val="72"/>
          <w:lang w:val="en-US" w:eastAsia="zh-CN"/>
        </w:rPr>
        <w:t>服务类项目采购</w:t>
      </w:r>
      <w:r>
        <w:rPr>
          <w:rFonts w:hint="eastAsia" w:ascii="宋体" w:hAnsi="宋体" w:cs="宋体"/>
          <w:b/>
          <w:bCs/>
          <w:sz w:val="72"/>
          <w:szCs w:val="72"/>
        </w:rPr>
        <w:t>合同</w:t>
      </w:r>
    </w:p>
    <w:p w14:paraId="7687E949">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226FC372">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81959C3">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3EEC0494">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26BF9D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0C4016D5">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8F443AB">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0C36B0B7">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53C639EC">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3" w:type="default"/>
          <w:pgSz w:w="11906" w:h="16838"/>
          <w:pgMar w:top="1440" w:right="1800" w:bottom="1440" w:left="1800" w:header="851" w:footer="992" w:gutter="0"/>
          <w:pgNumType w:fmt="decimal"/>
          <w:cols w:space="720" w:num="1"/>
          <w:docGrid w:type="lines" w:linePitch="312" w:charSpace="0"/>
        </w:sectPr>
      </w:pPr>
    </w:p>
    <w:p w14:paraId="4AC0A174">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5DF812B8">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permStart w:id="1" w:edGrp="everyone"/>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ermEnd w:id="1"/>
    <w:p w14:paraId="21540496">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permStart w:id="2" w:edGrp="everyone"/>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r>
        <w:rPr>
          <w:rFonts w:hint="eastAsia" w:ascii="宋体" w:hAnsi="宋体" w:cs="宋体"/>
          <w:sz w:val="24"/>
          <w:szCs w:val="24"/>
          <w:lang w:eastAsia="zh-CN"/>
        </w:rPr>
        <w:t>，</w:t>
      </w:r>
      <w:permEnd w:id="2"/>
      <w:r>
        <w:rPr>
          <w:rFonts w:hint="eastAsia" w:ascii="宋体" w:hAnsi="宋体" w:eastAsia="宋体" w:cs="宋体"/>
          <w:sz w:val="24"/>
          <w:szCs w:val="24"/>
        </w:rPr>
        <w:t>经双方协商达成如下合同条款：</w:t>
      </w:r>
    </w:p>
    <w:p w14:paraId="6C7273D6">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1B1C1E82">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permStart w:id="3" w:edGrp="everyone"/>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
    <w:permEnd w:id="3"/>
    <w:p w14:paraId="130AA600">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74F5EC4D">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permStart w:id="4" w:edGrp="everyone"/>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p>
    <w:permEnd w:id="4"/>
    <w:p w14:paraId="65FC2DC2">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37FC174C">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permStart w:id="5" w:edGrp="everyone"/>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ermEnd w:id="5"/>
    <w:p w14:paraId="53FD4539">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0ED3AD2D">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合同生效后，待</w:t>
      </w:r>
      <w:r>
        <w:rPr>
          <w:rFonts w:hint="eastAsia" w:ascii="宋体" w:hAnsi="宋体" w:cs="宋体"/>
          <w:sz w:val="24"/>
          <w:szCs w:val="24"/>
          <w:lang w:val="en-US" w:eastAsia="zh-CN"/>
        </w:rPr>
        <w:t>投入使用</w:t>
      </w:r>
      <w:r>
        <w:rPr>
          <w:rFonts w:hint="eastAsia" w:ascii="宋体" w:hAnsi="宋体" w:eastAsia="宋体" w:cs="宋体"/>
          <w:sz w:val="24"/>
          <w:szCs w:val="24"/>
        </w:rPr>
        <w:t>并经甲方验收合格后，乙方向甲方出具合同</w:t>
      </w:r>
      <w:r>
        <w:rPr>
          <w:rFonts w:hint="eastAsia" w:ascii="宋体" w:hAnsi="宋体" w:eastAsia="宋体" w:cs="宋体"/>
          <w:sz w:val="24"/>
          <w:szCs w:val="24"/>
          <w:highlight w:val="none"/>
        </w:rPr>
        <w:t>全额</w:t>
      </w:r>
      <w:r>
        <w:rPr>
          <w:rFonts w:hint="eastAsia" w:ascii="宋体" w:hAnsi="宋体" w:cs="宋体"/>
          <w:sz w:val="24"/>
          <w:szCs w:val="24"/>
          <w:highlight w:val="none"/>
          <w:lang w:val="en-US" w:eastAsia="zh-CN"/>
        </w:rPr>
        <w:t>增值税专用（或普通）</w:t>
      </w:r>
      <w:permStart w:id="6" w:edGrp="everyone"/>
      <w:permEnd w:id="6"/>
      <w:r>
        <w:rPr>
          <w:rFonts w:hint="eastAsia" w:ascii="宋体" w:hAnsi="宋体" w:eastAsia="宋体" w:cs="宋体"/>
          <w:sz w:val="24"/>
          <w:szCs w:val="24"/>
          <w:highlight w:val="none"/>
        </w:rPr>
        <w:t>发票</w:t>
      </w:r>
      <w:r>
        <w:rPr>
          <w:rFonts w:hint="eastAsia" w:ascii="宋体" w:hAnsi="宋体" w:eastAsia="宋体" w:cs="宋体"/>
          <w:sz w:val="24"/>
          <w:szCs w:val="24"/>
          <w:lang w:eastAsia="zh-CN"/>
        </w:rPr>
        <w:t>，甲方</w:t>
      </w:r>
      <w:r>
        <w:rPr>
          <w:rFonts w:hint="eastAsia" w:ascii="宋体" w:hAnsi="宋体" w:eastAsia="宋体" w:cs="宋体"/>
          <w:sz w:val="24"/>
          <w:szCs w:val="24"/>
        </w:rPr>
        <w:t xml:space="preserve">一次性付清服务费用。 </w:t>
      </w:r>
    </w:p>
    <w:p w14:paraId="41DEBF1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permStart w:id="7" w:edGrp="everyone"/>
      <w:r>
        <w:rPr>
          <w:rFonts w:hint="eastAsia" w:ascii="宋体" w:hAnsi="宋体" w:eastAsia="宋体" w:cs="宋体"/>
          <w:b/>
          <w:color w:val="FF0000"/>
          <w:sz w:val="24"/>
          <w:szCs w:val="24"/>
        </w:rPr>
        <w:t>（请按实际情况填写）</w:t>
      </w:r>
    </w:p>
    <w:p w14:paraId="5133C926">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ermEnd w:id="7"/>
    <w:p w14:paraId="293FBF74">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340CB45C">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65E25BBF">
      <w:pPr>
        <w:pStyle w:val="4"/>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4C5D08EA">
      <w:pPr>
        <w:pageBreakBefore w:val="0"/>
        <w:numPr>
          <w:ilvl w:val="0"/>
          <w:numId w:val="2"/>
        </w:numPr>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验收要求</w:t>
      </w:r>
    </w:p>
    <w:p w14:paraId="3B9BB866">
      <w:pPr>
        <w:pageBreakBefore w:val="0"/>
        <w:widowControl/>
        <w:kinsoku/>
        <w:wordWrap/>
        <w:overflowPunct/>
        <w:topLinePunct w:val="0"/>
        <w:autoSpaceDE/>
        <w:autoSpaceDN/>
        <w:bidi w:val="0"/>
        <w:spacing w:line="360" w:lineRule="auto"/>
        <w:ind w:right="0" w:rightChars="0" w:firstLine="482" w:firstLineChars="200"/>
        <w:rPr>
          <w:rFonts w:hint="default" w:ascii="宋体" w:hAnsi="宋体" w:cs="宋体"/>
          <w:b w:val="0"/>
          <w:bCs/>
          <w:sz w:val="24"/>
          <w:szCs w:val="24"/>
          <w:u w:val="single"/>
          <w:lang w:val="en-US" w:eastAsia="zh-CN"/>
        </w:rPr>
      </w:pPr>
      <w:r>
        <w:rPr>
          <w:rFonts w:hint="eastAsia" w:ascii="宋体" w:hAnsi="宋体" w:cs="宋体"/>
          <w:b/>
          <w:sz w:val="24"/>
          <w:szCs w:val="24"/>
          <w:lang w:val="en-US" w:eastAsia="zh-CN"/>
        </w:rPr>
        <w:t xml:space="preserve">  </w:t>
      </w:r>
      <w:r>
        <w:rPr>
          <w:rFonts w:hint="eastAsia" w:ascii="宋体" w:hAnsi="宋体" w:cs="宋体"/>
          <w:b w:val="0"/>
          <w:bCs/>
          <w:sz w:val="24"/>
          <w:szCs w:val="24"/>
          <w:lang w:val="en-US" w:eastAsia="zh-CN"/>
        </w:rPr>
        <w:t>本项目需要验收情况：</w:t>
      </w:r>
      <w:permStart w:id="8" w:edGrp="everyone"/>
      <w:r>
        <w:rPr>
          <w:rFonts w:hint="eastAsia" w:ascii="宋体" w:hAnsi="宋体" w:cs="宋体"/>
          <w:b w:val="0"/>
          <w:bCs/>
          <w:sz w:val="24"/>
          <w:szCs w:val="24"/>
          <w:u w:val="single"/>
          <w:lang w:val="en-US" w:eastAsia="zh-CN"/>
        </w:rPr>
        <w:t xml:space="preserve">       </w:t>
      </w:r>
      <w:r>
        <w:rPr>
          <w:rFonts w:hint="eastAsia" w:ascii="宋体" w:hAnsi="宋体" w:cs="宋体"/>
          <w:b/>
          <w:bCs w:val="0"/>
          <w:color w:val="FF0000"/>
          <w:sz w:val="24"/>
          <w:szCs w:val="24"/>
          <w:u w:val="none"/>
          <w:lang w:val="en-US" w:eastAsia="zh-CN"/>
        </w:rPr>
        <w:t>（填写：是或否。若填“是”，则按下述要求执行，若填“否”，则忽略以下要求，也不用删除该文字部分）</w:t>
      </w:r>
      <w:r>
        <w:rPr>
          <w:rFonts w:hint="eastAsia" w:ascii="宋体" w:hAnsi="宋体" w:cs="宋体"/>
          <w:b w:val="0"/>
          <w:bCs/>
          <w:sz w:val="24"/>
          <w:szCs w:val="24"/>
          <w:u w:val="none"/>
          <w:lang w:val="en-US" w:eastAsia="zh-CN"/>
        </w:rPr>
        <w:t>。</w:t>
      </w:r>
    </w:p>
    <w:permEnd w:id="8"/>
    <w:p w14:paraId="522DD75B">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1、</w:t>
      </w:r>
      <w:r>
        <w:rPr>
          <w:rFonts w:hint="eastAsia" w:ascii="宋体" w:hAnsi="宋体" w:eastAsia="宋体" w:cs="宋体"/>
          <w:b/>
          <w:sz w:val="24"/>
          <w:szCs w:val="24"/>
        </w:rPr>
        <w:t>质量标准</w:t>
      </w:r>
    </w:p>
    <w:p w14:paraId="2F4D599B">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33172045">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36353CB4">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21656E0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685C1D92">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72B9C373">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7C1DA7B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7AC2CAB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6D1C8DB6">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46BC3C6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01EF1111">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7A93B2E8">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6507DD38">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70EE7581">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7D050053">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4785C341">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0F79BA35">
      <w:pPr>
        <w:pageBreakBefore w:val="0"/>
        <w:kinsoku/>
        <w:wordWrap/>
        <w:overflowPunct/>
        <w:topLinePunct w:val="0"/>
        <w:autoSpaceDE/>
        <w:autoSpaceDN/>
        <w:bidi w:val="0"/>
        <w:spacing w:line="360" w:lineRule="auto"/>
        <w:ind w:right="0" w:rightChars="0" w:firstLine="512" w:firstLineChars="200"/>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permStart w:id="9" w:edGrp="everyone"/>
      <w:r>
        <w:rPr>
          <w:rFonts w:hint="eastAsia" w:ascii="宋体" w:hAnsi="宋体" w:eastAsia="宋体" w:cs="宋体"/>
          <w:sz w:val="24"/>
          <w:szCs w:val="24"/>
          <w:u w:val="single"/>
        </w:rPr>
        <w:t xml:space="preserve">   </w:t>
      </w:r>
      <w:r>
        <w:rPr>
          <w:rFonts w:hint="eastAsia" w:ascii="宋体" w:hAnsi="宋体" w:eastAsia="宋体" w:cs="宋体"/>
          <w:sz w:val="24"/>
          <w:szCs w:val="24"/>
        </w:rPr>
        <w:t>个月</w:t>
      </w:r>
      <w:r>
        <w:rPr>
          <w:rFonts w:hint="eastAsia" w:ascii="宋体" w:hAnsi="宋体" w:eastAsia="宋体" w:cs="宋体"/>
          <w:b/>
          <w:color w:val="FF0000"/>
          <w:sz w:val="24"/>
          <w:szCs w:val="24"/>
        </w:rPr>
        <w:t>（请按实际情况填写）</w:t>
      </w:r>
      <w:r>
        <w:rPr>
          <w:rFonts w:hint="eastAsia" w:ascii="宋体" w:hAnsi="宋体" w:eastAsia="宋体" w:cs="宋体"/>
          <w:sz w:val="24"/>
          <w:szCs w:val="24"/>
        </w:rPr>
        <w:t>。</w:t>
      </w:r>
    </w:p>
    <w:permEnd w:id="9"/>
    <w:p w14:paraId="197971C3">
      <w:pPr>
        <w:pageBreakBefore w:val="0"/>
        <w:kinsoku/>
        <w:wordWrap/>
        <w:overflowPunct/>
        <w:topLinePunct w:val="0"/>
        <w:autoSpaceDE/>
        <w:autoSpaceDN/>
        <w:bidi w:val="0"/>
        <w:adjustRightInd w:val="0"/>
        <w:snapToGrid w:val="0"/>
        <w:spacing w:line="360" w:lineRule="auto"/>
        <w:ind w:right="0" w:rightChars="0" w:firstLine="512" w:firstLineChars="200"/>
        <w:jc w:val="both"/>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w:t>
      </w:r>
      <w:r>
        <w:rPr>
          <w:rFonts w:hint="eastAsia" w:ascii="宋体" w:hAnsi="宋体" w:eastAsia="宋体" w:cs="宋体"/>
          <w:color w:val="auto"/>
          <w:sz w:val="24"/>
          <w:szCs w:val="24"/>
        </w:rPr>
        <w:t>构的检验结</w:t>
      </w:r>
      <w:r>
        <w:rPr>
          <w:rFonts w:hint="eastAsia" w:ascii="宋体" w:hAnsi="宋体" w:eastAsia="宋体" w:cs="宋体"/>
          <w:sz w:val="24"/>
          <w:szCs w:val="24"/>
        </w:rPr>
        <w:t>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3BA40360">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6491406C">
      <w:pPr>
        <w:pageBreakBefore w:val="0"/>
        <w:kinsoku/>
        <w:wordWrap/>
        <w:overflowPunct/>
        <w:topLinePunct w:val="0"/>
        <w:autoSpaceDE/>
        <w:autoSpaceDN/>
        <w:bidi w:val="0"/>
        <w:spacing w:line="360" w:lineRule="auto"/>
        <w:ind w:right="0" w:rightChars="0" w:firstLine="482" w:firstLineChars="200"/>
        <w:rPr>
          <w:rFonts w:hint="eastAsia" w:ascii="宋体" w:hAnsi="宋体" w:cs="宋体"/>
          <w:b/>
          <w:bCs w:val="0"/>
          <w:color w:val="FF0000"/>
          <w:sz w:val="24"/>
          <w:szCs w:val="24"/>
          <w:lang w:eastAsia="zh-CN"/>
        </w:rPr>
      </w:pPr>
      <w:r>
        <w:rPr>
          <w:rFonts w:hint="eastAsia" w:ascii="宋体" w:hAnsi="宋体" w:eastAsia="宋体" w:cs="宋体"/>
          <w:b/>
          <w:bCs w:val="0"/>
          <w:sz w:val="24"/>
          <w:szCs w:val="24"/>
        </w:rPr>
        <w:t>十、履约保证金</w:t>
      </w:r>
      <w:permStart w:id="10" w:edGrp="everyone"/>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r>
        <w:rPr>
          <w:rFonts w:hint="eastAsia" w:ascii="宋体" w:hAnsi="宋体" w:cs="宋体"/>
          <w:b/>
          <w:bCs w:val="0"/>
          <w:color w:val="FF0000"/>
          <w:sz w:val="24"/>
          <w:szCs w:val="24"/>
          <w:lang w:eastAsia="zh-CN"/>
        </w:rPr>
        <w:t>）</w:t>
      </w:r>
    </w:p>
    <w:p w14:paraId="6448E837">
      <w:pPr>
        <w:pageBreakBefore w:val="0"/>
        <w:kinsoku/>
        <w:wordWrap/>
        <w:overflowPunct/>
        <w:topLinePunct w:val="0"/>
        <w:autoSpaceDE/>
        <w:autoSpaceDN/>
        <w:bidi w:val="0"/>
        <w:spacing w:line="360" w:lineRule="auto"/>
        <w:ind w:right="0" w:rightChars="0" w:firstLine="482" w:firstLineChars="200"/>
        <w:rPr>
          <w:rFonts w:hint="eastAsia" w:ascii="宋体" w:hAnsi="宋体" w:cs="宋体"/>
          <w:sz w:val="24"/>
          <w:szCs w:val="24"/>
          <w:lang w:val="en-US" w:eastAsia="zh-CN"/>
        </w:rPr>
      </w:pPr>
      <w:r>
        <w:rPr>
          <w:rFonts w:hint="eastAsia" w:ascii="宋体" w:hAnsi="宋体" w:cs="宋体"/>
          <w:b/>
          <w:bCs w:val="0"/>
          <w:color w:val="FF0000"/>
          <w:sz w:val="24"/>
          <w:szCs w:val="24"/>
          <w:lang w:val="en-US" w:eastAsia="zh-CN"/>
        </w:rPr>
        <w:t xml:space="preserve"> </w:t>
      </w: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种方式。</w:t>
      </w:r>
    </w:p>
    <w:permEnd w:id="10"/>
    <w:p w14:paraId="4EEF4B88">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1、履约保证金金额为成交金额的5%，待验收合格后凭验收单和缴款收据，履约保证金予以无息退还。</w:t>
      </w:r>
    </w:p>
    <w:p w14:paraId="68361906">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2、履约保证金金额为成交金额的5%，凭缴款收据，履约保证金予以无息退还。</w:t>
      </w:r>
    </w:p>
    <w:p w14:paraId="2E7599B0">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3、不用缴纳履约保证金。</w:t>
      </w:r>
    </w:p>
    <w:p w14:paraId="25C1B108">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0BA565AA">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118D4385">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w:t>
      </w:r>
      <w:r>
        <w:rPr>
          <w:rFonts w:hint="eastAsia" w:ascii="宋体" w:hAnsi="宋体" w:eastAsia="宋体" w:cs="宋体"/>
          <w:color w:val="auto"/>
          <w:sz w:val="24"/>
          <w:szCs w:val="24"/>
        </w:rPr>
        <w:t>务过程中的疏忽、</w:t>
      </w:r>
      <w:r>
        <w:rPr>
          <w:rFonts w:hint="eastAsia" w:ascii="宋体" w:hAnsi="宋体" w:eastAsia="宋体" w:cs="宋体"/>
          <w:sz w:val="24"/>
          <w:szCs w:val="24"/>
        </w:rPr>
        <w:t>失职、过错等故意或者过失原因给甲方造成损失或侵害，包括但不限于甲方本身的财产损失、由此而导致的甲方对任何第三方的法律责任等，乙方对此均应承担全部的赔偿责任。</w:t>
      </w:r>
    </w:p>
    <w:p w14:paraId="73FF5C13">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4905EB68">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6B00F23B">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64AB09AC">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68D6FE95">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72D6FAFA">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0326B940">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3D0E4AB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664CEFE2">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20EEACD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649E522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05E75B1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67766564">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0F1DE60B">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473DFFD0">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3C6B1A48">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34254B3F">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31DF1E0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w:t>
      </w:r>
      <w:permStart w:id="11" w:edGrp="everyone"/>
      <w:r>
        <w:rPr>
          <w:rFonts w:hint="eastAsia" w:ascii="宋体" w:hAnsi="宋体" w:eastAsia="宋体" w:cs="宋体"/>
          <w:sz w:val="24"/>
          <w:szCs w:val="24"/>
        </w:rPr>
        <w:t>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份），</w:t>
      </w:r>
      <w:r>
        <w:rPr>
          <w:rFonts w:hint="eastAsia" w:ascii="宋体" w:hAnsi="宋体" w:eastAsia="宋体" w:cs="宋体"/>
          <w:sz w:val="24"/>
          <w:szCs w:val="24"/>
        </w:rPr>
        <w:t>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ermEnd w:id="11"/>
    <w:p w14:paraId="236C682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0B8B9AC5">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56AED97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58B8748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077AE81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2B24172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1570EC6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6459358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7BC5C98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8"/>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2739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6FA0ECF1">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permStart w:id="12" w:edGrp="everyone" w:colFirst="0" w:colLast="0"/>
            <w:permStart w:id="13" w:edGrp="everyone" w:colFirst="1" w:colLast="1"/>
            <w:r>
              <w:rPr>
                <w:rFonts w:hint="eastAsia" w:ascii="宋体" w:hAnsi="宋体" w:eastAsia="宋体" w:cs="宋体"/>
                <w:sz w:val="21"/>
                <w:szCs w:val="21"/>
              </w:rPr>
              <w:t>甲   方</w:t>
            </w:r>
          </w:p>
          <w:p w14:paraId="3E73933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57F00DCE">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33B11C9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6C407469">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75CF369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3E1D8EE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65EC496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3E8644A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56D10D2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2F639DC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53B63C74">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651F2EE3">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1F688B89">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58A226F3">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66B3A46E">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105E8B4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2194275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0A5FDA1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188DCC9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0376FAB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196A251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permEnd w:id="12"/>
      <w:permEnd w:id="13"/>
    </w:tbl>
    <w:p w14:paraId="619AD3C8">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0D624DD8">
      <w:pPr>
        <w:rPr>
          <w:rFonts w:hint="eastAsia" w:ascii="宋体" w:hAnsi="宋体" w:eastAsia="宋体" w:cs="宋体"/>
          <w:sz w:val="24"/>
          <w:szCs w:val="24"/>
        </w:rPr>
      </w:pPr>
    </w:p>
    <w:p w14:paraId="1E01D76D">
      <w:pPr>
        <w:pStyle w:val="2"/>
        <w:rPr>
          <w:rFonts w:hint="eastAsia" w:ascii="宋体" w:hAnsi="宋体" w:eastAsia="宋体" w:cs="宋体"/>
          <w:sz w:val="24"/>
          <w:szCs w:val="24"/>
        </w:rPr>
      </w:pPr>
    </w:p>
    <w:p w14:paraId="25FA2133">
      <w:pPr>
        <w:rPr>
          <w:rFonts w:hint="eastAsia" w:ascii="宋体" w:hAnsi="宋体" w:eastAsia="宋体" w:cs="宋体"/>
          <w:sz w:val="24"/>
          <w:szCs w:val="24"/>
        </w:rPr>
      </w:pPr>
    </w:p>
    <w:p w14:paraId="2677B212">
      <w:pPr>
        <w:pStyle w:val="2"/>
        <w:rPr>
          <w:rFonts w:hint="eastAsia" w:ascii="宋体" w:hAnsi="宋体" w:eastAsia="宋体" w:cs="宋体"/>
          <w:sz w:val="24"/>
          <w:szCs w:val="24"/>
        </w:rPr>
      </w:pPr>
    </w:p>
    <w:p w14:paraId="59DD4F10">
      <w:pPr>
        <w:rPr>
          <w:rFonts w:hint="eastAsia" w:ascii="宋体" w:hAnsi="宋体" w:eastAsia="宋体" w:cs="宋体"/>
          <w:sz w:val="24"/>
          <w:szCs w:val="24"/>
        </w:rPr>
      </w:pPr>
    </w:p>
    <w:p w14:paraId="3DBA8B96">
      <w:pPr>
        <w:pStyle w:val="2"/>
        <w:rPr>
          <w:rFonts w:hint="eastAsia" w:ascii="宋体" w:hAnsi="宋体" w:eastAsia="宋体" w:cs="宋体"/>
          <w:sz w:val="24"/>
          <w:szCs w:val="24"/>
        </w:rPr>
      </w:pPr>
    </w:p>
    <w:p w14:paraId="40DF6E5D">
      <w:pPr>
        <w:rPr>
          <w:rFonts w:hint="eastAsia" w:ascii="宋体" w:hAnsi="宋体" w:eastAsia="宋体" w:cs="宋体"/>
          <w:sz w:val="24"/>
          <w:szCs w:val="24"/>
        </w:rPr>
      </w:pPr>
    </w:p>
    <w:p w14:paraId="33BE16A5">
      <w:pPr>
        <w:pStyle w:val="2"/>
        <w:rPr>
          <w:rFonts w:hint="eastAsia" w:ascii="宋体" w:hAnsi="宋体" w:eastAsia="宋体" w:cs="宋体"/>
          <w:sz w:val="24"/>
          <w:szCs w:val="24"/>
        </w:rPr>
      </w:pPr>
    </w:p>
    <w:p w14:paraId="5F4BACEB">
      <w:pPr>
        <w:rPr>
          <w:rFonts w:hint="eastAsia" w:ascii="宋体" w:hAnsi="宋体" w:eastAsia="宋体" w:cs="宋体"/>
          <w:sz w:val="24"/>
          <w:szCs w:val="24"/>
        </w:rPr>
      </w:pPr>
    </w:p>
    <w:p w14:paraId="6C804611">
      <w:pPr>
        <w:pStyle w:val="2"/>
        <w:rPr>
          <w:rFonts w:hint="eastAsia"/>
        </w:rPr>
      </w:pPr>
      <w:permStart w:id="14" w:edGrp="everyone"/>
      <w:permEnd w:id="14"/>
    </w:p>
    <w:p w14:paraId="2F46F787">
      <w:pPr>
        <w:rPr>
          <w:rFonts w:hint="eastAsia" w:ascii="宋体" w:hAnsi="宋体" w:eastAsia="宋体" w:cs="宋体"/>
          <w:sz w:val="24"/>
          <w:szCs w:val="24"/>
        </w:rPr>
      </w:pPr>
    </w:p>
    <w:p w14:paraId="660B23F8">
      <w:pPr>
        <w:rPr>
          <w:rFonts w:hint="eastAsia" w:ascii="宋体" w:hAnsi="宋体" w:eastAsia="宋体" w:cs="宋体"/>
          <w:sz w:val="24"/>
          <w:szCs w:val="24"/>
        </w:rPr>
      </w:pPr>
    </w:p>
    <w:p w14:paraId="7E609C74">
      <w:pPr>
        <w:pStyle w:val="2"/>
        <w:rPr>
          <w:rFonts w:hint="eastAsia" w:ascii="宋体" w:hAnsi="宋体" w:cs="宋体"/>
          <w:sz w:val="24"/>
          <w:szCs w:val="24"/>
          <w:lang w:val="en-US" w:eastAsia="zh-CN"/>
        </w:rPr>
      </w:pPr>
      <w:permStart w:id="15" w:edGrp="everyone"/>
      <w:r>
        <w:rPr>
          <w:rFonts w:hint="eastAsia" w:ascii="宋体" w:hAnsi="宋体" w:cs="宋体"/>
          <w:sz w:val="24"/>
          <w:szCs w:val="24"/>
          <w:lang w:val="en-US" w:eastAsia="zh-CN"/>
        </w:rPr>
        <w:t>附件：</w:t>
      </w:r>
    </w:p>
    <w:permEnd w:id="15"/>
    <w:p w14:paraId="6D29ECE8">
      <w:pPr>
        <w:pStyle w:val="2"/>
        <w:rPr>
          <w:rFonts w:hint="eastAsia" w:eastAsia="宋体"/>
          <w:lang w:val="en-US" w:eastAsia="zh-CN"/>
        </w:rPr>
      </w:pPr>
    </w:p>
    <w:p w14:paraId="2CF7B867">
      <w:pPr>
        <w:pStyle w:val="4"/>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42AA708D">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E74F1">
    <w:pPr>
      <w:pStyle w:val="6"/>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8D366">
    <w:pPr>
      <w:pStyle w:val="6"/>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5041AE">
                          <w:pPr>
                            <w:pStyle w:val="6"/>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LMb65DdAQAAvgMAAA4AAAAAAAAA&#10;AQAgAAAAHgEAAGRycy9lMm9Eb2MueG1sUEsFBgAAAAAGAAYAWQEAAG0FAAAAAA==&#10;">
              <v:fill on="f" focussize="0,0"/>
              <v:stroke on="f"/>
              <v:imagedata o:title=""/>
              <o:lock v:ext="edit" aspectratio="f"/>
              <v:textbox inset="0mm,0mm,0mm,0mm" style="mso-fit-shape-to-text:t;">
                <w:txbxContent>
                  <w:p w14:paraId="2A5041AE">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028982FB"/>
    <w:multiLevelType w:val="singleLevel"/>
    <w:tmpl w:val="028982FB"/>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dit="readOnly" w:enforcement="1" w:cryptProviderType="rsaFull" w:cryptAlgorithmClass="hash" w:cryptAlgorithmType="typeAny" w:cryptAlgorithmSid="4" w:cryptSpinCount="0" w:hash="dh6WBFDgoWGj1XTSvZ8Ra1SZD1o=" w:salt="ngdc7YMj0oHMFC3FOK8Xaw=="/>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Tg3ZGFiNzI1YWVkODRkMDU5ZDY1MTk3ODAwMGYifQ=="/>
  </w:docVars>
  <w:rsids>
    <w:rsidRoot w:val="700F1B09"/>
    <w:rsid w:val="001C0DA9"/>
    <w:rsid w:val="002F099E"/>
    <w:rsid w:val="00382E0C"/>
    <w:rsid w:val="006213A0"/>
    <w:rsid w:val="008200F2"/>
    <w:rsid w:val="00956BAB"/>
    <w:rsid w:val="00B214F3"/>
    <w:rsid w:val="00C13BCD"/>
    <w:rsid w:val="00FE1101"/>
    <w:rsid w:val="02047E54"/>
    <w:rsid w:val="080A32C2"/>
    <w:rsid w:val="0A8105B0"/>
    <w:rsid w:val="0B0D0CE1"/>
    <w:rsid w:val="0EF83E74"/>
    <w:rsid w:val="0F6B200C"/>
    <w:rsid w:val="114B271D"/>
    <w:rsid w:val="119B31DD"/>
    <w:rsid w:val="11A75767"/>
    <w:rsid w:val="13166FBF"/>
    <w:rsid w:val="13690520"/>
    <w:rsid w:val="14D84735"/>
    <w:rsid w:val="197F65E6"/>
    <w:rsid w:val="1ABD0191"/>
    <w:rsid w:val="1B78507E"/>
    <w:rsid w:val="1DFA07C8"/>
    <w:rsid w:val="1F81176F"/>
    <w:rsid w:val="22A20FED"/>
    <w:rsid w:val="234A791A"/>
    <w:rsid w:val="259664E8"/>
    <w:rsid w:val="2609650F"/>
    <w:rsid w:val="285404D9"/>
    <w:rsid w:val="2C1063DB"/>
    <w:rsid w:val="2CDD11B9"/>
    <w:rsid w:val="2D4A453F"/>
    <w:rsid w:val="2E7E2425"/>
    <w:rsid w:val="303805D6"/>
    <w:rsid w:val="30B73737"/>
    <w:rsid w:val="312220E2"/>
    <w:rsid w:val="31F85C08"/>
    <w:rsid w:val="32FC7B27"/>
    <w:rsid w:val="34013FBE"/>
    <w:rsid w:val="344E55A6"/>
    <w:rsid w:val="3585506C"/>
    <w:rsid w:val="36154BBE"/>
    <w:rsid w:val="369A12F2"/>
    <w:rsid w:val="37231D17"/>
    <w:rsid w:val="379317AC"/>
    <w:rsid w:val="380C728D"/>
    <w:rsid w:val="397D362A"/>
    <w:rsid w:val="3A0A70C5"/>
    <w:rsid w:val="3AB94550"/>
    <w:rsid w:val="3CD85B39"/>
    <w:rsid w:val="3DAB314C"/>
    <w:rsid w:val="3EB603DB"/>
    <w:rsid w:val="3F4460DF"/>
    <w:rsid w:val="40141DDF"/>
    <w:rsid w:val="44BF6F0E"/>
    <w:rsid w:val="461B34AE"/>
    <w:rsid w:val="47CE5743"/>
    <w:rsid w:val="47D23B1B"/>
    <w:rsid w:val="47F97C17"/>
    <w:rsid w:val="4A36460B"/>
    <w:rsid w:val="4AEE6E79"/>
    <w:rsid w:val="4C0815E1"/>
    <w:rsid w:val="51877066"/>
    <w:rsid w:val="53D02A6E"/>
    <w:rsid w:val="547961E9"/>
    <w:rsid w:val="54F9581D"/>
    <w:rsid w:val="55674E7D"/>
    <w:rsid w:val="559C0A5C"/>
    <w:rsid w:val="561D78B4"/>
    <w:rsid w:val="57A412CE"/>
    <w:rsid w:val="58031FB4"/>
    <w:rsid w:val="586D1FAD"/>
    <w:rsid w:val="59281AD1"/>
    <w:rsid w:val="593F7733"/>
    <w:rsid w:val="59F6184C"/>
    <w:rsid w:val="5A3F1B53"/>
    <w:rsid w:val="5B9C33A6"/>
    <w:rsid w:val="5DA05844"/>
    <w:rsid w:val="5F0E7670"/>
    <w:rsid w:val="606D0B2C"/>
    <w:rsid w:val="62B86D17"/>
    <w:rsid w:val="64154A5D"/>
    <w:rsid w:val="66F674FD"/>
    <w:rsid w:val="67D53EC8"/>
    <w:rsid w:val="67FD7E22"/>
    <w:rsid w:val="6AAD084A"/>
    <w:rsid w:val="6D157017"/>
    <w:rsid w:val="6D535DD6"/>
    <w:rsid w:val="6D6C78D8"/>
    <w:rsid w:val="700F1B09"/>
    <w:rsid w:val="701B029C"/>
    <w:rsid w:val="70355AAC"/>
    <w:rsid w:val="73C52C2E"/>
    <w:rsid w:val="751D6EAE"/>
    <w:rsid w:val="767E2925"/>
    <w:rsid w:val="76BE2E52"/>
    <w:rsid w:val="77620B13"/>
    <w:rsid w:val="77FB6923"/>
    <w:rsid w:val="78E214F9"/>
    <w:rsid w:val="79F12AC3"/>
    <w:rsid w:val="7A903A15"/>
    <w:rsid w:val="7ABC0D93"/>
    <w:rsid w:val="7DDD6C08"/>
    <w:rsid w:val="7ECD3DB8"/>
    <w:rsid w:val="7FDE01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adjustRightInd w:val="0"/>
      <w:snapToGrid w:val="0"/>
      <w:spacing w:line="360" w:lineRule="auto"/>
      <w:outlineLvl w:val="0"/>
    </w:pPr>
    <w:rPr>
      <w:rFonts w:eastAsia="微软雅黑"/>
      <w:b/>
      <w:bCs/>
      <w:kern w:val="44"/>
      <w:sz w:val="30"/>
      <w:szCs w:val="44"/>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9">
    <w:name w:val="Default Paragraph Font"/>
    <w:unhideWhenUsed/>
    <w:qFormat/>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4">
    <w:name w:val="Body Text"/>
    <w:basedOn w:val="1"/>
    <w:next w:val="1"/>
    <w:qFormat/>
    <w:uiPriority w:val="99"/>
    <w:rPr>
      <w:kern w:val="0"/>
      <w:sz w:val="20"/>
      <w:szCs w:val="20"/>
    </w:rPr>
  </w:style>
  <w:style w:type="paragraph" w:styleId="5">
    <w:name w:val="Plain Text"/>
    <w:basedOn w:val="1"/>
    <w:qFormat/>
    <w:uiPriority w:val="99"/>
    <w:rPr>
      <w:rFonts w:ascii="宋体" w:hAnsi="Courier New"/>
      <w:szCs w:val="21"/>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2752</Words>
  <Characters>2794</Characters>
  <Lines>20</Lines>
  <Paragraphs>5</Paragraphs>
  <TotalTime>29</TotalTime>
  <ScaleCrop>false</ScaleCrop>
  <LinksUpToDate>false</LinksUpToDate>
  <CharactersWithSpaces>2958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2022-10-11T06:23:00Z</dcterms:created>
  <dc:creator>张旭龙</dc:creator>
  <cp:lastModifiedBy>1</cp:lastModifiedBy>
  <cp:lastPrinted>2023-09-19T01:02:56Z</cp:lastPrinted>
  <dcterms:modified xsi:type="dcterms:W3CDTF">2025-11-03T09:06:20Z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54F26FD9083B4DDB9029592D50A1DEC7_13</vt:lpwstr>
  </property>
  <property fmtid="{D5CDD505-2E9C-101B-9397-08002B2CF9AE}" pid="4" name="KSOTemplateDocerSaveRecord">
    <vt:lpwstr>eyJoZGlkIjoiMzIyZTc0MzFmMWQ4YzFkZmE1NTg3MWRiNzcxOTk2ODYiLCJ1c2VySWQiOiIxNjAwMTE3MDQ3In0=</vt:lpwstr>
  </property>
</Properties>
</file>