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版本号：SCZA2025-CS-2371-00120251030001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领导干部住房信息查核系统专用线路服务租赁项目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SCZA2025-CS-2371-001</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领导干部住房信息查核系统专用线路服务租赁项目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SCZA2025-CS-2371-001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领导干部住房信息查核系统专用线路服务租赁项目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领导干部住房信息查核系统专用线路服务租赁项目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响应文件截止时间前被“信用中国”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冶伟雄、白国锋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银行账号：102060079895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支付成交服务费，服务费由采购人与采购代理机构约定：参照《国家计委关于印发&lt;招标代理服务收费管理暂行办法&gt;的通知》（计价格[2002]1980号）规定标准收取，不足4000元按4000元收取。2.成交单位的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地址：西安市高新区锦业路1号都市之门C座九层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领导干部住房信息查核系统专用线路服务租赁项目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领导干部住房信息查核系统专用线路服务租赁项目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标的名称：领导干部住房信息查核系统专用线路服务租赁项目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rPr>
              <w:t>1.本项目采购内容</w:t>
            </w:r>
          </w:p>
          <w:p>
            <w:pPr>
              <w:pStyle w:val="null3"/>
              <w:ind w:firstLine="400"/>
              <w:jc w:val="both"/>
            </w:pPr>
            <w:r>
              <w:rPr>
                <w:rFonts w:ascii="仿宋_GB2312" w:hAnsi="仿宋_GB2312" w:cs="仿宋_GB2312" w:eastAsia="仿宋_GB2312"/>
              </w:rPr>
              <w:t>为满足陕西省住房和城乡建设厅业务系统的连接与正常运行，本项目需采购</w:t>
            </w:r>
            <w:r>
              <w:rPr>
                <w:rFonts w:ascii="仿宋_GB2312" w:hAnsi="仿宋_GB2312" w:cs="仿宋_GB2312" w:eastAsia="仿宋_GB2312"/>
              </w:rPr>
              <w:t>15条数据专线，服务期限为一年。</w:t>
            </w:r>
          </w:p>
          <w:p>
            <w:pPr>
              <w:pStyle w:val="null3"/>
              <w:ind w:firstLine="400"/>
              <w:jc w:val="both"/>
            </w:pPr>
            <w:r>
              <w:rPr>
                <w:rFonts w:ascii="仿宋_GB2312" w:hAnsi="仿宋_GB2312" w:cs="仿宋_GB2312" w:eastAsia="仿宋_GB2312"/>
              </w:rPr>
              <w:t>建设周期：合同签订后</w:t>
            </w:r>
            <w:r>
              <w:rPr>
                <w:rFonts w:ascii="仿宋_GB2312" w:hAnsi="仿宋_GB2312" w:cs="仿宋_GB2312" w:eastAsia="仿宋_GB2312"/>
              </w:rPr>
              <w:t>3个日历日完成专线开通并接入业务。</w:t>
            </w:r>
          </w:p>
          <w:p>
            <w:pPr>
              <w:pStyle w:val="null3"/>
              <w:jc w:val="both"/>
            </w:pPr>
            <w:r>
              <w:rPr>
                <w:rFonts w:ascii="仿宋_GB2312" w:hAnsi="仿宋_GB2312" w:cs="仿宋_GB2312" w:eastAsia="仿宋_GB2312"/>
              </w:rPr>
              <w:t>详细信息如下：</w:t>
            </w:r>
          </w:p>
          <w:p>
            <w:pPr>
              <w:pStyle w:val="null3"/>
              <w:jc w:val="center"/>
            </w:pPr>
            <w:r>
              <w:rPr>
                <w:rFonts w:ascii="仿宋_GB2312" w:hAnsi="仿宋_GB2312" w:cs="仿宋_GB2312" w:eastAsia="仿宋_GB2312"/>
                <w:b/>
              </w:rPr>
              <w:t>数据专线信息表</w:t>
            </w:r>
          </w:p>
          <w:tbl>
            <w:tblPr>
              <w:tblBorders>
                <w:top w:val="none" w:color="000000" w:sz="4"/>
                <w:left w:val="none" w:color="000000" w:sz="4"/>
                <w:bottom w:val="none" w:color="000000" w:sz="4"/>
                <w:right w:val="none" w:color="000000" w:sz="4"/>
                <w:insideH w:val="none"/>
                <w:insideV w:val="none"/>
              </w:tblBorders>
            </w:tblPr>
            <w:tblGrid>
              <w:gridCol w:w="249"/>
              <w:gridCol w:w="1051"/>
              <w:gridCol w:w="953"/>
              <w:gridCol w:w="300"/>
            </w:tblGrid>
            <w:tr>
              <w:tc>
                <w:tcPr>
                  <w:tcW w:type="dxa" w:w="249"/>
                  <w:tcBorders>
                    <w:top w:val="singl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序号</w:t>
                  </w:r>
                </w:p>
              </w:tc>
              <w:tc>
                <w:tcPr>
                  <w:tcW w:type="dxa" w:w="1051"/>
                  <w:tcBorders>
                    <w:top w:val="singl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A点</w:t>
                  </w:r>
                </w:p>
              </w:tc>
              <w:tc>
                <w:tcPr>
                  <w:tcW w:type="dxa" w:w="953"/>
                  <w:tcBorders>
                    <w:top w:val="singl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Z点</w:t>
                  </w:r>
                </w:p>
              </w:tc>
              <w:tc>
                <w:tcPr>
                  <w:tcW w:type="dxa" w:w="300"/>
                  <w:tcBorders>
                    <w:top w:val="singl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带宽</w:t>
                  </w:r>
                </w:p>
              </w:tc>
            </w:tr>
            <w:tr>
              <w:tc>
                <w:tcPr>
                  <w:tcW w:type="dxa" w:w="249"/>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numPr>
                      <w:ilvl w:val="0"/>
                      <w:numId w:val="1"/>
                    </w:numPr>
                    <w:jc w:val="center"/>
                  </w:pPr>
                </w:p>
              </w:tc>
              <w:tc>
                <w:tcPr>
                  <w:tcW w:type="dxa" w:w="1051"/>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953"/>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西安市杨凌示范区</w:t>
                  </w:r>
                </w:p>
              </w:tc>
              <w:tc>
                <w:tcPr>
                  <w:tcW w:type="dxa" w:w="300"/>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2M</w:t>
                  </w:r>
                </w:p>
              </w:tc>
            </w:tr>
            <w:tr>
              <w:tc>
                <w:tcPr>
                  <w:tcW w:type="dxa" w:w="249"/>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numPr>
                      <w:ilvl w:val="0"/>
                      <w:numId w:val="1"/>
                    </w:numPr>
                    <w:jc w:val="center"/>
                  </w:pPr>
                </w:p>
              </w:tc>
              <w:tc>
                <w:tcPr>
                  <w:tcW w:type="dxa" w:w="1051"/>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953"/>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咸阳市</w:t>
                  </w:r>
                </w:p>
              </w:tc>
              <w:tc>
                <w:tcPr>
                  <w:tcW w:type="dxa" w:w="300"/>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2M</w:t>
                  </w:r>
                </w:p>
              </w:tc>
            </w:tr>
            <w:tr>
              <w:tc>
                <w:tcPr>
                  <w:tcW w:type="dxa" w:w="249"/>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numPr>
                      <w:ilvl w:val="0"/>
                      <w:numId w:val="1"/>
                    </w:numPr>
                    <w:jc w:val="center"/>
                  </w:pPr>
                </w:p>
              </w:tc>
              <w:tc>
                <w:tcPr>
                  <w:tcW w:type="dxa" w:w="1051"/>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953"/>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宝鸡市</w:t>
                  </w:r>
                </w:p>
              </w:tc>
              <w:tc>
                <w:tcPr>
                  <w:tcW w:type="dxa" w:w="300"/>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4M</w:t>
                  </w:r>
                </w:p>
              </w:tc>
            </w:tr>
            <w:tr>
              <w:tc>
                <w:tcPr>
                  <w:tcW w:type="dxa" w:w="249"/>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numPr>
                      <w:ilvl w:val="0"/>
                      <w:numId w:val="1"/>
                    </w:numPr>
                    <w:jc w:val="center"/>
                  </w:pPr>
                </w:p>
              </w:tc>
              <w:tc>
                <w:tcPr>
                  <w:tcW w:type="dxa" w:w="1051"/>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953"/>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渭南市</w:t>
                  </w:r>
                </w:p>
              </w:tc>
              <w:tc>
                <w:tcPr>
                  <w:tcW w:type="dxa" w:w="300"/>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2M</w:t>
                  </w:r>
                </w:p>
              </w:tc>
            </w:tr>
            <w:tr>
              <w:tc>
                <w:tcPr>
                  <w:tcW w:type="dxa" w:w="249"/>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numPr>
                      <w:ilvl w:val="0"/>
                      <w:numId w:val="1"/>
                    </w:numPr>
                    <w:jc w:val="center"/>
                  </w:pPr>
                </w:p>
              </w:tc>
              <w:tc>
                <w:tcPr>
                  <w:tcW w:type="dxa" w:w="1051"/>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953"/>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商洛市</w:t>
                  </w:r>
                </w:p>
              </w:tc>
              <w:tc>
                <w:tcPr>
                  <w:tcW w:type="dxa" w:w="300"/>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2M</w:t>
                  </w:r>
                </w:p>
              </w:tc>
            </w:tr>
            <w:tr>
              <w:tc>
                <w:tcPr>
                  <w:tcW w:type="dxa" w:w="249"/>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numPr>
                      <w:ilvl w:val="0"/>
                      <w:numId w:val="1"/>
                    </w:numPr>
                    <w:jc w:val="center"/>
                  </w:pPr>
                </w:p>
              </w:tc>
              <w:tc>
                <w:tcPr>
                  <w:tcW w:type="dxa" w:w="1051"/>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953"/>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铜川市</w:t>
                  </w:r>
                </w:p>
              </w:tc>
              <w:tc>
                <w:tcPr>
                  <w:tcW w:type="dxa" w:w="300"/>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4M</w:t>
                  </w:r>
                </w:p>
              </w:tc>
            </w:tr>
            <w:tr>
              <w:tc>
                <w:tcPr>
                  <w:tcW w:type="dxa" w:w="249"/>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numPr>
                      <w:ilvl w:val="0"/>
                      <w:numId w:val="1"/>
                    </w:numPr>
                    <w:jc w:val="center"/>
                  </w:pPr>
                </w:p>
              </w:tc>
              <w:tc>
                <w:tcPr>
                  <w:tcW w:type="dxa" w:w="1051"/>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953"/>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延安市</w:t>
                  </w:r>
                </w:p>
              </w:tc>
              <w:tc>
                <w:tcPr>
                  <w:tcW w:type="dxa" w:w="300"/>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2M</w:t>
                  </w:r>
                </w:p>
              </w:tc>
            </w:tr>
            <w:tr>
              <w:tc>
                <w:tcPr>
                  <w:tcW w:type="dxa" w:w="249"/>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numPr>
                      <w:ilvl w:val="0"/>
                      <w:numId w:val="1"/>
                    </w:numPr>
                    <w:jc w:val="center"/>
                  </w:pPr>
                </w:p>
              </w:tc>
              <w:tc>
                <w:tcPr>
                  <w:tcW w:type="dxa" w:w="1051"/>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953"/>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榆林市</w:t>
                  </w:r>
                </w:p>
              </w:tc>
              <w:tc>
                <w:tcPr>
                  <w:tcW w:type="dxa" w:w="300"/>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4M</w:t>
                  </w:r>
                </w:p>
              </w:tc>
            </w:tr>
            <w:tr>
              <w:tc>
                <w:tcPr>
                  <w:tcW w:type="dxa" w:w="249"/>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numPr>
                      <w:ilvl w:val="0"/>
                      <w:numId w:val="1"/>
                    </w:numPr>
                    <w:jc w:val="center"/>
                  </w:pPr>
                </w:p>
              </w:tc>
              <w:tc>
                <w:tcPr>
                  <w:tcW w:type="dxa" w:w="1051"/>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953"/>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安康市</w:t>
                  </w:r>
                </w:p>
              </w:tc>
              <w:tc>
                <w:tcPr>
                  <w:tcW w:type="dxa" w:w="300"/>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2M</w:t>
                  </w:r>
                </w:p>
              </w:tc>
            </w:tr>
            <w:tr>
              <w:tc>
                <w:tcPr>
                  <w:tcW w:type="dxa" w:w="249"/>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numPr>
                      <w:ilvl w:val="0"/>
                      <w:numId w:val="1"/>
                    </w:numPr>
                    <w:jc w:val="center"/>
                  </w:pPr>
                </w:p>
              </w:tc>
              <w:tc>
                <w:tcPr>
                  <w:tcW w:type="dxa" w:w="1051"/>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953"/>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汉中市</w:t>
                  </w:r>
                </w:p>
              </w:tc>
              <w:tc>
                <w:tcPr>
                  <w:tcW w:type="dxa" w:w="300"/>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2M</w:t>
                  </w:r>
                </w:p>
              </w:tc>
            </w:tr>
            <w:tr>
              <w:tc>
                <w:tcPr>
                  <w:tcW w:type="dxa" w:w="249"/>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numPr>
                      <w:ilvl w:val="0"/>
                      <w:numId w:val="1"/>
                    </w:numPr>
                    <w:jc w:val="center"/>
                  </w:pPr>
                </w:p>
              </w:tc>
              <w:tc>
                <w:tcPr>
                  <w:tcW w:type="dxa" w:w="1051"/>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953"/>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韩城市</w:t>
                  </w:r>
                </w:p>
              </w:tc>
              <w:tc>
                <w:tcPr>
                  <w:tcW w:type="dxa" w:w="300"/>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2M</w:t>
                  </w:r>
                </w:p>
              </w:tc>
            </w:tr>
            <w:tr>
              <w:tc>
                <w:tcPr>
                  <w:tcW w:type="dxa" w:w="249"/>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numPr>
                      <w:ilvl w:val="0"/>
                      <w:numId w:val="1"/>
                    </w:numPr>
                    <w:jc w:val="center"/>
                  </w:pPr>
                </w:p>
              </w:tc>
              <w:tc>
                <w:tcPr>
                  <w:tcW w:type="dxa" w:w="1051"/>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953"/>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300"/>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2M</w:t>
                  </w:r>
                </w:p>
              </w:tc>
            </w:tr>
            <w:tr>
              <w:tc>
                <w:tcPr>
                  <w:tcW w:type="dxa" w:w="249"/>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numPr>
                      <w:ilvl w:val="0"/>
                      <w:numId w:val="1"/>
                    </w:numPr>
                    <w:jc w:val="center"/>
                  </w:pPr>
                </w:p>
              </w:tc>
              <w:tc>
                <w:tcPr>
                  <w:tcW w:type="dxa" w:w="1051"/>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953"/>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300"/>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2M</w:t>
                  </w:r>
                </w:p>
              </w:tc>
            </w:tr>
            <w:tr>
              <w:tc>
                <w:tcPr>
                  <w:tcW w:type="dxa" w:w="249"/>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numPr>
                      <w:ilvl w:val="0"/>
                      <w:numId w:val="1"/>
                    </w:numPr>
                    <w:jc w:val="center"/>
                  </w:pPr>
                </w:p>
              </w:tc>
              <w:tc>
                <w:tcPr>
                  <w:tcW w:type="dxa" w:w="1051"/>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953"/>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300"/>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4M</w:t>
                  </w:r>
                </w:p>
              </w:tc>
            </w:tr>
            <w:tr>
              <w:tc>
                <w:tcPr>
                  <w:tcW w:type="dxa" w:w="249"/>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numPr>
                      <w:ilvl w:val="0"/>
                      <w:numId w:val="1"/>
                    </w:numPr>
                    <w:jc w:val="center"/>
                  </w:pPr>
                </w:p>
              </w:tc>
              <w:tc>
                <w:tcPr>
                  <w:tcW w:type="dxa" w:w="1051"/>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953"/>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西安市</w:t>
                  </w:r>
                </w:p>
              </w:tc>
              <w:tc>
                <w:tcPr>
                  <w:tcW w:type="dxa" w:w="300"/>
                  <w:tcBorders>
                    <w:top w:val="none" w:color="000000" w:sz="4"/>
                    <w:left w:val="single" w:color="000000" w:sz="4"/>
                    <w:bottom w:val="single" w:color="000000" w:sz="4"/>
                    <w:right w:val="single" w:color="000000" w:sz="4"/>
                  </w:tcBorders>
                  <w:tcMar>
                    <w:top w:type="dxa" w:w="90"/>
                    <w:left w:type="dxa" w:w="105"/>
                    <w:bottom w:type="dxa" w:w="90"/>
                    <w:right w:type="dxa" w:w="105"/>
                  </w:tcMar>
                  <w:vAlign w:val="top"/>
                </w:tcPr>
                <w:p>
                  <w:pPr>
                    <w:pStyle w:val="null3"/>
                    <w:spacing w:before="120" w:after="120"/>
                    <w:jc w:val="center"/>
                  </w:pPr>
                  <w:r>
                    <w:rPr>
                      <w:rFonts w:ascii="仿宋_GB2312" w:hAnsi="仿宋_GB2312" w:cs="仿宋_GB2312" w:eastAsia="仿宋_GB2312"/>
                      <w:sz w:val="20"/>
                    </w:rPr>
                    <w:t>4M</w:t>
                  </w:r>
                </w:p>
              </w:tc>
            </w:tr>
          </w:tbl>
          <w:p>
            <w:pPr>
              <w:pStyle w:val="null3"/>
              <w:spacing w:before="120" w:after="120"/>
              <w:jc w:val="both"/>
            </w:pPr>
            <w:r>
              <w:rPr>
                <w:rFonts w:ascii="仿宋_GB2312" w:hAnsi="仿宋_GB2312" w:cs="仿宋_GB2312" w:eastAsia="仿宋_GB2312"/>
                <w:sz w:val="20"/>
              </w:rPr>
              <w:t>2.技术要求</w:t>
            </w:r>
          </w:p>
          <w:tbl>
            <w:tblPr>
              <w:tblInd w:type="dxa" w:w="135"/>
              <w:tblBorders>
                <w:top w:val="none" w:color="000000" w:sz="4"/>
                <w:left w:val="none" w:color="000000" w:sz="4"/>
                <w:bottom w:val="none" w:color="000000" w:sz="4"/>
                <w:right w:val="none" w:color="000000" w:sz="4"/>
                <w:insideH w:val="none"/>
                <w:insideV w:val="none"/>
              </w:tblBorders>
            </w:tblPr>
            <w:tblGrid>
              <w:gridCol w:w="118"/>
              <w:gridCol w:w="246"/>
              <w:gridCol w:w="1046"/>
              <w:gridCol w:w="1143"/>
            </w:tblGrid>
            <w:tr>
              <w:tc>
                <w:tcPr>
                  <w:tcW w:type="dxa" w:w="118"/>
                  <w:tcBorders>
                    <w:top w:val="single" w:color="000000" w:sz="4"/>
                    <w:left w:val="single" w:color="000000" w:sz="4"/>
                    <w:bottom w:val="single" w:color="000000" w:sz="4"/>
                    <w:right w:val="single" w:color="000000" w:sz="4"/>
                  </w:tcBorders>
                  <w:shd w:fill="FFFFFF"/>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专线类别</w:t>
                  </w:r>
                </w:p>
              </w:tc>
              <w:tc>
                <w:tcPr>
                  <w:tcW w:type="dxa" w:w="246"/>
                  <w:tcBorders>
                    <w:top w:val="single" w:color="000000" w:sz="4"/>
                    <w:left w:val="single" w:color="000000" w:sz="4"/>
                    <w:bottom w:val="single" w:color="000000" w:sz="4"/>
                    <w:right w:val="single" w:color="000000" w:sz="4"/>
                  </w:tcBorders>
                  <w:shd w:fill="FFFFFF"/>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质量指标内容</w:t>
                  </w:r>
                </w:p>
              </w:tc>
              <w:tc>
                <w:tcPr>
                  <w:tcW w:type="dxa" w:w="1046"/>
                  <w:tcBorders>
                    <w:top w:val="single" w:color="000000" w:sz="4"/>
                    <w:left w:val="single" w:color="000000" w:sz="4"/>
                    <w:bottom w:val="single" w:color="000000" w:sz="4"/>
                    <w:right w:val="single" w:color="000000" w:sz="4"/>
                  </w:tcBorders>
                  <w:shd w:fill="FFFFFF"/>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指标定义</w:t>
                  </w:r>
                </w:p>
              </w:tc>
              <w:tc>
                <w:tcPr>
                  <w:tcW w:type="dxa" w:w="1143"/>
                  <w:tcBorders>
                    <w:top w:val="single" w:color="000000" w:sz="4"/>
                    <w:left w:val="single" w:color="000000" w:sz="4"/>
                    <w:bottom w:val="single" w:color="000000" w:sz="4"/>
                    <w:right w:val="single" w:color="000000" w:sz="4"/>
                  </w:tcBorders>
                  <w:shd w:fill="FFFFFF"/>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标准</w:t>
                  </w:r>
                </w:p>
              </w:tc>
            </w:tr>
            <w:tr>
              <w:tc>
                <w:tcPr>
                  <w:tcW w:type="dxa" w:w="118"/>
                  <w:vMerge w:val="restart"/>
                  <w:tcBorders>
                    <w:top w:val="none" w:color="000000" w:sz="4"/>
                    <w:left w:val="single" w:color="000000" w:sz="4"/>
                    <w:bottom w:val="single" w:color="000000" w:sz="4"/>
                    <w:right w:val="single" w:color="000000" w:sz="4"/>
                  </w:tcBorders>
                  <w:shd w:fill="FFFFFF"/>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数据专线</w:t>
                  </w:r>
                </w:p>
              </w:tc>
              <w:tc>
                <w:tcPr>
                  <w:tcW w:type="dxa" w:w="246"/>
                  <w:tcBorders>
                    <w:top w:val="none" w:color="000000" w:sz="4"/>
                    <w:left w:val="single" w:color="000000" w:sz="4"/>
                    <w:bottom w:val="single" w:color="000000" w:sz="4"/>
                    <w:right w:val="single" w:color="000000" w:sz="4"/>
                  </w:tcBorders>
                  <w:shd w:fill="FFFFFF"/>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误码率</w:t>
                  </w:r>
                </w:p>
              </w:tc>
              <w:tc>
                <w:tcPr>
                  <w:tcW w:type="dxa" w:w="1046"/>
                  <w:tcBorders>
                    <w:top w:val="none" w:color="000000" w:sz="4"/>
                    <w:left w:val="single" w:color="000000" w:sz="4"/>
                    <w:bottom w:val="single" w:color="000000" w:sz="4"/>
                    <w:right w:val="single" w:color="000000" w:sz="4"/>
                  </w:tcBorders>
                  <w:shd w:fill="FFFFFF"/>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衡量数据在规定时间内数据传输精确性的指标，误码率</w:t>
                  </w:r>
                  <w:r>
                    <w:rPr>
                      <w:rFonts w:ascii="仿宋_GB2312" w:hAnsi="仿宋_GB2312" w:cs="仿宋_GB2312" w:eastAsia="仿宋_GB2312"/>
                      <w:sz w:val="20"/>
                    </w:rPr>
                    <w:t>=传输中的误码/所传输的总码数*100%。</w:t>
                  </w:r>
                </w:p>
              </w:tc>
              <w:tc>
                <w:tcPr>
                  <w:tcW w:type="dxa" w:w="1143"/>
                  <w:tcBorders>
                    <w:top w:val="none" w:color="000000" w:sz="4"/>
                    <w:left w:val="single" w:color="000000" w:sz="4"/>
                    <w:bottom w:val="single" w:color="000000" w:sz="4"/>
                    <w:right w:val="single" w:color="000000" w:sz="4"/>
                  </w:tcBorders>
                  <w:shd w:fill="FFFFFF"/>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≤1e-9</w:t>
                  </w:r>
                </w:p>
              </w:tc>
            </w:tr>
            <w:tr>
              <w:tc>
                <w:tcPr>
                  <w:tcW w:type="dxa" w:w="118"/>
                  <w:vMerge/>
                  <w:tcBorders>
                    <w:top w:val="none" w:color="000000" w:sz="4"/>
                    <w:left w:val="single" w:color="000000" w:sz="4"/>
                    <w:bottom w:val="single" w:color="000000" w:sz="4"/>
                    <w:right w:val="single" w:color="000000" w:sz="4"/>
                  </w:tcBorders>
                </w:tcPr>
                <w:p/>
              </w:tc>
              <w:tc>
                <w:tcPr>
                  <w:tcW w:type="dxa" w:w="246"/>
                  <w:tcBorders>
                    <w:top w:val="none" w:color="000000" w:sz="4"/>
                    <w:left w:val="single" w:color="000000" w:sz="4"/>
                    <w:bottom w:val="single" w:color="000000" w:sz="4"/>
                    <w:right w:val="single" w:color="000000" w:sz="4"/>
                  </w:tcBorders>
                  <w:shd w:fill="FFFFFF"/>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时延</w:t>
                  </w:r>
                </w:p>
              </w:tc>
              <w:tc>
                <w:tcPr>
                  <w:tcW w:type="dxa" w:w="1046"/>
                  <w:tcBorders>
                    <w:top w:val="none" w:color="000000" w:sz="4"/>
                    <w:left w:val="single" w:color="000000" w:sz="4"/>
                    <w:bottom w:val="single" w:color="000000" w:sz="4"/>
                    <w:right w:val="single" w:color="000000" w:sz="4"/>
                  </w:tcBorders>
                  <w:shd w:fill="FFFFFF"/>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是指一个报文或分组从一个网络的一端传送到另一个端所需要的时间。包括传输时延和传输节点处理时延。</w:t>
                  </w:r>
                </w:p>
              </w:tc>
              <w:tc>
                <w:tcPr>
                  <w:tcW w:type="dxa" w:w="1143"/>
                  <w:tcBorders>
                    <w:top w:val="none" w:color="000000" w:sz="4"/>
                    <w:left w:val="single" w:color="000000" w:sz="4"/>
                    <w:bottom w:val="single" w:color="000000" w:sz="4"/>
                    <w:right w:val="single" w:color="000000" w:sz="4"/>
                  </w:tcBorders>
                  <w:shd w:fill="FFFFFF"/>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跨省、跨市时延：</w:t>
                  </w:r>
                  <w:r>
                    <w:rPr>
                      <w:rFonts w:ascii="仿宋_GB2312" w:hAnsi="仿宋_GB2312" w:cs="仿宋_GB2312" w:eastAsia="仿宋_GB2312"/>
                      <w:sz w:val="20"/>
                    </w:rPr>
                    <w:t>0.8ms/百公里（单向时延）；本地网内≤10ms</w:t>
                  </w:r>
                </w:p>
              </w:tc>
            </w:tr>
            <w:tr>
              <w:tc>
                <w:tcPr>
                  <w:tcW w:type="dxa" w:w="118"/>
                  <w:vMerge/>
                  <w:tcBorders>
                    <w:top w:val="none" w:color="000000" w:sz="4"/>
                    <w:left w:val="single" w:color="000000" w:sz="4"/>
                    <w:bottom w:val="single" w:color="000000" w:sz="4"/>
                    <w:right w:val="single" w:color="000000" w:sz="4"/>
                  </w:tcBorders>
                </w:tcPr>
                <w:p/>
              </w:tc>
              <w:tc>
                <w:tcPr>
                  <w:tcW w:type="dxa" w:w="246"/>
                  <w:tcBorders>
                    <w:top w:val="none" w:color="000000" w:sz="4"/>
                    <w:left w:val="single" w:color="000000" w:sz="4"/>
                    <w:bottom w:val="single" w:color="000000" w:sz="4"/>
                    <w:right w:val="single" w:color="000000" w:sz="4"/>
                  </w:tcBorders>
                  <w:shd w:fill="FFFFFF"/>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丢包率</w:t>
                  </w:r>
                </w:p>
              </w:tc>
              <w:tc>
                <w:tcPr>
                  <w:tcW w:type="dxa" w:w="1046"/>
                  <w:tcBorders>
                    <w:top w:val="none" w:color="000000" w:sz="4"/>
                    <w:left w:val="single" w:color="000000" w:sz="4"/>
                    <w:bottom w:val="single" w:color="000000" w:sz="4"/>
                    <w:right w:val="single" w:color="000000" w:sz="4"/>
                  </w:tcBorders>
                  <w:shd w:fill="FFFFFF"/>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网络传输过程中丢失的数据包数量占发送总数的比率，属于计算机网络性能评估的核心指标，也是服务质量的关键监测参数</w:t>
                  </w:r>
                </w:p>
              </w:tc>
              <w:tc>
                <w:tcPr>
                  <w:tcW w:type="dxa" w:w="1143"/>
                  <w:tcBorders>
                    <w:top w:val="none" w:color="000000" w:sz="4"/>
                    <w:left w:val="single" w:color="000000" w:sz="4"/>
                    <w:bottom w:val="single" w:color="000000" w:sz="4"/>
                    <w:right w:val="single" w:color="000000" w:sz="4"/>
                  </w:tcBorders>
                  <w:shd w:fill="FFFFFF"/>
                  <w:tcMar>
                    <w:top w:type="dxa" w:w="90"/>
                    <w:left w:type="dxa" w:w="105"/>
                    <w:bottom w:type="dxa" w:w="90"/>
                    <w:right w:type="dxa" w:w="105"/>
                  </w:tcMar>
                  <w:vAlign w:val="top"/>
                </w:tcPr>
                <w:p>
                  <w:pPr>
                    <w:pStyle w:val="null3"/>
                    <w:spacing w:before="120" w:after="120"/>
                    <w:jc w:val="both"/>
                  </w:pPr>
                  <w:r>
                    <w:rPr>
                      <w:rFonts w:ascii="仿宋_GB2312" w:hAnsi="仿宋_GB2312" w:cs="仿宋_GB2312" w:eastAsia="仿宋_GB2312"/>
                      <w:sz w:val="20"/>
                    </w:rPr>
                    <w:t>在正常带宽负荷下（负荷小于</w:t>
                  </w:r>
                  <w:r>
                    <w:rPr>
                      <w:rFonts w:ascii="仿宋_GB2312" w:hAnsi="仿宋_GB2312" w:cs="仿宋_GB2312" w:eastAsia="仿宋_GB2312"/>
                      <w:sz w:val="20"/>
                    </w:rPr>
                    <w:t>70％）≤0.1%</w:t>
                  </w:r>
                </w:p>
              </w:tc>
            </w:tr>
          </w:tbl>
          <w:p>
            <w:pPr>
              <w:pStyle w:val="null3"/>
              <w:spacing w:before="120" w:after="120"/>
              <w:jc w:val="both"/>
            </w:pPr>
            <w:r>
              <w:rPr>
                <w:rFonts w:ascii="仿宋_GB2312" w:hAnsi="仿宋_GB2312" w:cs="仿宋_GB2312" w:eastAsia="仿宋_GB2312"/>
                <w:sz w:val="20"/>
              </w:rPr>
              <w:t>本采购数据专线技术指标应满足以下技术要求。</w:t>
            </w:r>
          </w:p>
          <w:p>
            <w:pPr>
              <w:pStyle w:val="null3"/>
              <w:spacing w:before="120" w:after="120"/>
              <w:jc w:val="both"/>
            </w:pPr>
            <w:r>
              <w:rPr>
                <w:rFonts w:ascii="仿宋_GB2312" w:hAnsi="仿宋_GB2312" w:cs="仿宋_GB2312" w:eastAsia="仿宋_GB2312"/>
                <w:sz w:val="20"/>
              </w:rPr>
              <w:t>3.服务要求</w:t>
            </w:r>
          </w:p>
          <w:p>
            <w:pPr>
              <w:pStyle w:val="null3"/>
              <w:spacing w:before="120" w:after="120"/>
              <w:jc w:val="both"/>
            </w:pPr>
            <w:r>
              <w:rPr>
                <w:rFonts w:ascii="仿宋_GB2312" w:hAnsi="仿宋_GB2312" w:cs="仿宋_GB2312" w:eastAsia="仿宋_GB2312"/>
                <w:sz w:val="20"/>
              </w:rPr>
              <w:t>3.1.技术支持服务要求</w:t>
            </w:r>
          </w:p>
          <w:p>
            <w:pPr>
              <w:pStyle w:val="null3"/>
              <w:spacing w:before="120" w:after="120"/>
              <w:jc w:val="both"/>
            </w:pPr>
            <w:r>
              <w:rPr>
                <w:rFonts w:ascii="仿宋_GB2312" w:hAnsi="仿宋_GB2312" w:cs="仿宋_GB2312" w:eastAsia="仿宋_GB2312"/>
                <w:sz w:val="20"/>
              </w:rPr>
              <w:t>供应商需在服务期内提供</w:t>
            </w:r>
            <w:r>
              <w:rPr>
                <w:rFonts w:ascii="仿宋_GB2312" w:hAnsi="仿宋_GB2312" w:cs="仿宋_GB2312" w:eastAsia="仿宋_GB2312"/>
                <w:sz w:val="20"/>
              </w:rPr>
              <w:t>7*24小时30分钟内响应的电话技术支持或远程技术支持，运维现场进行技术支持服务，包括配合甲方进行系统迁移、安装、配置变更等工作，以及在指定时间内恢复故障与应急处理等工作。</w:t>
            </w:r>
          </w:p>
          <w:p>
            <w:pPr>
              <w:pStyle w:val="null3"/>
              <w:spacing w:before="120" w:after="120"/>
              <w:jc w:val="both"/>
            </w:pPr>
            <w:r>
              <w:rPr>
                <w:rFonts w:ascii="仿宋_GB2312" w:hAnsi="仿宋_GB2312" w:cs="仿宋_GB2312" w:eastAsia="仿宋_GB2312"/>
                <w:sz w:val="20"/>
              </w:rPr>
              <w:t>供应商在服务期间应按甲方要求，对各类服务进程进行巡检，发现问题及时处理，并做好详细记录。</w:t>
            </w:r>
          </w:p>
          <w:p>
            <w:pPr>
              <w:pStyle w:val="null3"/>
              <w:spacing w:before="120" w:after="120"/>
              <w:jc w:val="both"/>
            </w:pPr>
            <w:r>
              <w:rPr>
                <w:rFonts w:ascii="仿宋_GB2312" w:hAnsi="仿宋_GB2312" w:cs="仿宋_GB2312" w:eastAsia="仿宋_GB2312"/>
                <w:sz w:val="20"/>
              </w:rPr>
              <w:t>供应商应提供应急演练和重大业务保障时期的现场值守。</w:t>
            </w:r>
          </w:p>
          <w:p>
            <w:pPr>
              <w:pStyle w:val="null3"/>
              <w:spacing w:before="120" w:after="120"/>
              <w:jc w:val="both"/>
            </w:pPr>
            <w:r>
              <w:rPr>
                <w:rFonts w:ascii="仿宋_GB2312" w:hAnsi="仿宋_GB2312" w:cs="仿宋_GB2312" w:eastAsia="仿宋_GB2312"/>
                <w:sz w:val="20"/>
              </w:rPr>
              <w:t>3.2.服务保障要求</w:t>
            </w:r>
          </w:p>
          <w:p>
            <w:pPr>
              <w:pStyle w:val="null3"/>
              <w:spacing w:before="120" w:after="120"/>
              <w:jc w:val="both"/>
            </w:pPr>
            <w:r>
              <w:rPr>
                <w:rFonts w:ascii="仿宋_GB2312" w:hAnsi="仿宋_GB2312" w:cs="仿宋_GB2312" w:eastAsia="仿宋_GB2312"/>
                <w:sz w:val="20"/>
              </w:rPr>
              <w:t>周期性：每</w:t>
            </w:r>
            <w:r>
              <w:rPr>
                <w:rFonts w:ascii="仿宋_GB2312" w:hAnsi="仿宋_GB2312" w:cs="仿宋_GB2312" w:eastAsia="仿宋_GB2312"/>
                <w:sz w:val="20"/>
              </w:rPr>
              <w:t>1个月对系统进行现场巡检和问题处理。</w:t>
            </w:r>
          </w:p>
          <w:p>
            <w:pPr>
              <w:pStyle w:val="null3"/>
              <w:spacing w:before="120" w:after="120"/>
              <w:jc w:val="both"/>
            </w:pPr>
            <w:r>
              <w:rPr>
                <w:rFonts w:ascii="仿宋_GB2312" w:hAnsi="仿宋_GB2312" w:cs="仿宋_GB2312" w:eastAsia="仿宋_GB2312"/>
                <w:sz w:val="20"/>
              </w:rPr>
              <w:t>实时性：提供</w:t>
            </w:r>
            <w:r>
              <w:rPr>
                <w:rFonts w:ascii="仿宋_GB2312" w:hAnsi="仿宋_GB2312" w:cs="仿宋_GB2312" w:eastAsia="仿宋_GB2312"/>
                <w:sz w:val="20"/>
              </w:rPr>
              <w:t>7×24小时的技术支持响应，向用户提供无间断的故障申报和技术咨询等服务，及时排除系统故障；维护工程师在24小时内到达现场进行维护。</w:t>
            </w:r>
          </w:p>
          <w:p>
            <w:pPr>
              <w:pStyle w:val="null3"/>
              <w:spacing w:before="120" w:after="120"/>
              <w:jc w:val="both"/>
            </w:pPr>
            <w:r>
              <w:rPr>
                <w:rFonts w:ascii="仿宋_GB2312" w:hAnsi="仿宋_GB2312" w:cs="仿宋_GB2312" w:eastAsia="仿宋_GB2312"/>
                <w:sz w:val="20"/>
              </w:rPr>
              <w:t>3.3.售后服务</w:t>
            </w:r>
          </w:p>
          <w:p>
            <w:pPr>
              <w:pStyle w:val="null3"/>
              <w:spacing w:before="120" w:after="120"/>
              <w:jc w:val="both"/>
            </w:pPr>
            <w:r>
              <w:rPr>
                <w:rFonts w:ascii="仿宋_GB2312" w:hAnsi="仿宋_GB2312" w:cs="仿宋_GB2312" w:eastAsia="仿宋_GB2312"/>
                <w:sz w:val="20"/>
              </w:rPr>
              <w:t>3.3.1.信息安全质量要求</w:t>
            </w:r>
          </w:p>
          <w:p>
            <w:pPr>
              <w:pStyle w:val="null3"/>
              <w:spacing w:before="120" w:after="120"/>
              <w:jc w:val="both"/>
            </w:pPr>
            <w:r>
              <w:rPr>
                <w:rFonts w:ascii="仿宋_GB2312" w:hAnsi="仿宋_GB2312" w:cs="仿宋_GB2312" w:eastAsia="仿宋_GB2312"/>
                <w:sz w:val="20"/>
              </w:rPr>
              <w:t>供应商严格参照《陕西省住房和城乡建设厅网络安全和信息化项目验收管理暂行办法》，在设备维护期内不发生信息系统各级安全事件、不发生维护人员责任的信息系统泄密事件、不发生人员责任的重大信息系统设备损坏事件。</w:t>
            </w:r>
          </w:p>
          <w:p>
            <w:pPr>
              <w:pStyle w:val="null3"/>
              <w:spacing w:before="120" w:after="120"/>
              <w:jc w:val="both"/>
            </w:pPr>
            <w:r>
              <w:rPr>
                <w:rFonts w:ascii="仿宋_GB2312" w:hAnsi="仿宋_GB2312" w:cs="仿宋_GB2312" w:eastAsia="仿宋_GB2312"/>
                <w:sz w:val="20"/>
              </w:rPr>
              <w:t>3.3.2.应急预案响应要求</w:t>
            </w:r>
          </w:p>
          <w:p>
            <w:pPr>
              <w:pStyle w:val="null3"/>
              <w:spacing w:before="120" w:after="120"/>
              <w:jc w:val="both"/>
            </w:pPr>
            <w:r>
              <w:rPr>
                <w:rFonts w:ascii="仿宋_GB2312" w:hAnsi="仿宋_GB2312" w:cs="仿宋_GB2312" w:eastAsia="仿宋_GB2312"/>
                <w:sz w:val="20"/>
              </w:rPr>
              <w:t>为提高设备维护技术服务质量，控制服务风险，供应商须在供应商案中明确提供针对设备清单中设备的应急响应机制，包括设备硬件故障、操作系统故障各种情况下供应商应采取的应急措施。</w:t>
            </w:r>
          </w:p>
          <w:p>
            <w:pPr>
              <w:pStyle w:val="null3"/>
              <w:spacing w:before="120" w:after="120"/>
              <w:jc w:val="both"/>
            </w:pPr>
            <w:r>
              <w:rPr>
                <w:rFonts w:ascii="仿宋_GB2312" w:hAnsi="仿宋_GB2312" w:cs="仿宋_GB2312" w:eastAsia="仿宋_GB2312"/>
                <w:sz w:val="20"/>
              </w:rPr>
              <w:t>3.3.3.信息安全保密责任与承诺</w:t>
            </w:r>
          </w:p>
          <w:p>
            <w:pPr>
              <w:pStyle w:val="null3"/>
              <w:spacing w:before="120" w:after="120"/>
              <w:ind w:firstLine="720"/>
              <w:jc w:val="both"/>
            </w:pPr>
            <w:r>
              <w:rPr>
                <w:rFonts w:ascii="仿宋_GB2312" w:hAnsi="仿宋_GB2312" w:cs="仿宋_GB2312" w:eastAsia="仿宋_GB2312"/>
                <w:sz w:val="20"/>
              </w:rPr>
              <w:t>供应商须严格遵守甲方的有关保密规定，不泄漏甲方的一切机密；供应商在中标后，确保甲方的信息不外泄；在维护服务期间和维护期外，对甲方软硬件的配置、应用等严格保密，决不外传；在维护服务期外，所有涉及甲方的数据存储设备类坏件，不得带出甲方工作场所。</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3、提供投标截止时间前近六个月中至少一个月的纳税证明或完税证明，依法免税的单位应提供相关证明材料；时间以税款所属时期为准4、提供投标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遵循公平竞争的原则，没有弄虚作假、恶意串通或妨碍其他投标人的竞争行为，损害采购人或者其他投标人的合法权益。（弄虚作假、串通投标的情形见附注）</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对本次业务需求提供专线实施方案，方案要求描述清晰、科学规范、可实操性强，产品资料详尽：方案完善、全面、合理的得15分；方案较完善、较全面、较合理的得11分；方案不完善、不全面、不够合理的得7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对本项目实施的质量保障措施：完全响应采购文件要求，内容详细全面、方案设计合理，措施具有针对性的计15分；方案内容合理可行、有可实施性的计11分；方案具有整体框架，未对内容进行详细描述或方案不够合理的计7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供应商针对业务需求提供应急保障措施，应急保障措施完善、全面、合理的得10分；应急保障措施较完善、较全面、较合理的得7分；应急保障措施不完善、不全面、不够合理的得4分；不提供不得分。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针对本项目供应商拟派项目经理及实施团队成员。项目经理具备提供信息系统项目管理师（高级）或PMP证书；提供其中一项得3分，不提供不得分； 技术负责人具备通信相关高级职称或认证证书，提供其中一项得2分，否则不得分； 拟派团队成员（除项目经理外）具备初级及以上技术职称证书的，每提供1人得2分，满分10分。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应提供详细的售后服务方案（服务体系、服务范围，根据自身服务能力给出。根据各供应商提供的资料，从全面性、可操作性等进行打分，方案合理、可行、全面得10分，内容不全得7分；方案较为简略得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供应商具备质量管理体系认证ISO9001、环境管理体系认证ISO14001、信息技术服务管理体系认证证书ISO20000、信息安全管理体系认证证书ISO27001、隐私信息管理体系ISO/IEC 27701的，每提供一项得2分，满分10分；不提供不得分。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2022年1月1日（含）至今，供应商具有已完成的类似项目业绩，每提供一份业绩得3分，最高得15分。（以中标通知书或合同签订时间为准）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满足竞争性磋商文件要求且最终报价价格最低的报价为评标基准价，其价格分为满分。其他供应商的价格分统一按照下列公式计算：价格分=(评标基准价／最终报价)×10注：计算分数时四舍五入取小数点后两位。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