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版本号：SXHJZB-2025-3320251030001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智慧健康食堂建设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SXHJZB-2025-33</w:t>
      </w:r>
      <w:r>
        <w:br/>
      </w:r>
      <w:r>
        <w:br/>
      </w:r>
      <w:r>
        <w:br/>
      </w:r>
    </w:p>
    <w:p>
      <w:pPr>
        <w:pStyle w:val="null3"/>
        <w:jc w:val="center"/>
        <w:outlineLvl w:val="2"/>
      </w:pPr>
      <w:r>
        <w:rPr>
          <w:rFonts w:ascii="仿宋_GB2312" w:hAnsi="仿宋_GB2312" w:cs="仿宋_GB2312" w:eastAsia="仿宋_GB2312"/>
          <w:sz w:val="28"/>
          <w:b/>
        </w:rPr>
        <w:t>省财政厅机关后勤服务中心</w:t>
      </w:r>
    </w:p>
    <w:p>
      <w:pPr>
        <w:pStyle w:val="null3"/>
        <w:jc w:val="center"/>
        <w:outlineLvl w:val="2"/>
      </w:pPr>
      <w:r>
        <w:rPr>
          <w:rFonts w:ascii="仿宋_GB2312" w:hAnsi="仿宋_GB2312" w:cs="仿宋_GB2312" w:eastAsia="仿宋_GB2312"/>
          <w:sz w:val="28"/>
          <w:b/>
        </w:rPr>
        <w:t>陕西华璟项目管理有限公司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陕西华璟项目管理有限公司</w:t>
      </w:r>
      <w:r>
        <w:rPr>
          <w:rFonts w:ascii="仿宋_GB2312" w:hAnsi="仿宋_GB2312" w:cs="仿宋_GB2312" w:eastAsia="仿宋_GB2312"/>
        </w:rPr>
        <w:t>（以下简称“代理机构”）受</w:t>
      </w:r>
      <w:r>
        <w:rPr>
          <w:rFonts w:ascii="仿宋_GB2312" w:hAnsi="仿宋_GB2312" w:cs="仿宋_GB2312" w:eastAsia="仿宋_GB2312"/>
        </w:rPr>
        <w:t>省财政厅机关后勤服务中心</w:t>
      </w:r>
      <w:r>
        <w:rPr>
          <w:rFonts w:ascii="仿宋_GB2312" w:hAnsi="仿宋_GB2312" w:cs="仿宋_GB2312" w:eastAsia="仿宋_GB2312"/>
        </w:rPr>
        <w:t>委托，拟对</w:t>
      </w:r>
      <w:r>
        <w:rPr>
          <w:rFonts w:ascii="仿宋_GB2312" w:hAnsi="仿宋_GB2312" w:cs="仿宋_GB2312" w:eastAsia="仿宋_GB2312"/>
        </w:rPr>
        <w:t>智慧健康食堂建设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SXHJZB-2025-33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智慧健康食堂建设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智慧健康食堂建设,具体内容详见竞争性磋商文件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采购包1（智慧健康食堂建设）：属于专门面向中小企业采购。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参加政府采购活动前3年内在经营活动中没有重大违法记录：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p>
      <w:pPr>
        <w:pStyle w:val="null3"/>
      </w:pPr>
      <w:r>
        <w:rPr>
          <w:rFonts w:ascii="仿宋_GB2312" w:hAnsi="仿宋_GB2312" w:cs="仿宋_GB2312" w:eastAsia="仿宋_GB2312"/>
        </w:rPr>
        <w:t>3、信用主体查询：供应商不得为“信用中国”网站（www.creditchina.gov.cn）中被列入重大税收违法失信主体及未在“中国执行信息公开网”中被列入失信被执行人名单，不得为中国政府采购网（www.ccgp.gov.cn）政府采购严重违法失信行为记录名单中被财政部门禁止参加政府采购活动的投标人；供应商需在项目电子化交易系统中按要求上传相应证明文件并进行电子签章</w:t>
      </w:r>
    </w:p>
    <w:p>
      <w:pPr>
        <w:pStyle w:val="null3"/>
      </w:pPr>
      <w:r>
        <w:rPr>
          <w:rFonts w:ascii="仿宋_GB2312" w:hAnsi="仿宋_GB2312" w:cs="仿宋_GB2312" w:eastAsia="仿宋_GB2312"/>
        </w:rPr>
        <w:t>4、财务状况报告：提供2024年度经会计师事务所或审计机构出具完整的财务审计报告（至少包括资产负债表和利润表，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8、资质要求：供应商具备电子与智能化工程专业承包二级及以上资质且具有有效的安全生产许可证；供应商需在项目电子化交易系统中按要求上传相应证明文件并进行电子签章。</w:t>
      </w:r>
    </w:p>
    <w:p>
      <w:pPr>
        <w:pStyle w:val="null3"/>
      </w:pPr>
      <w:r>
        <w:rPr>
          <w:rFonts w:ascii="仿宋_GB2312" w:hAnsi="仿宋_GB2312" w:cs="仿宋_GB2312" w:eastAsia="仿宋_GB2312"/>
        </w:rPr>
        <w:t>9、项目经理：拟派项目经理须具备机电工程专业二级及以上注册建造师执业资格，具备有效的安全生产考核合格证书（B证），须在本单位注册且未担任其他在建项目的项目经理（提供无在建工程承诺书）；供应商需在项目电子化交易系统中按要求上传相应证明文件并进行电子签章。</w:t>
      </w:r>
    </w:p>
    <w:p>
      <w:pPr>
        <w:pStyle w:val="null3"/>
      </w:pPr>
      <w:r>
        <w:rPr>
          <w:rFonts w:ascii="仿宋_GB2312" w:hAnsi="仿宋_GB2312" w:cs="仿宋_GB2312" w:eastAsia="仿宋_GB2312"/>
        </w:rPr>
        <w:t>10、声明：供应商提供具有履行合同所必需的设备和专业技术能力的声明；供应商应提供承诺书，格式及内容具体参见“响应文件格式”；</w:t>
      </w:r>
    </w:p>
    <w:p>
      <w:pPr>
        <w:pStyle w:val="null3"/>
      </w:pPr>
      <w:r>
        <w:rPr>
          <w:rFonts w:ascii="仿宋_GB2312" w:hAnsi="仿宋_GB2312" w:cs="仿宋_GB2312" w:eastAsia="仿宋_GB2312"/>
        </w:rPr>
        <w:t>11、本项目不接受联合体响应，不允许分包：供应商提供《非联合体、不分包投标声明》，供应商应提交的相关资格证明材料视为独立响应，不分包；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省财政厅机关后勤服务中心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西安市莲湖区冰窖巷6号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029-68936157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陕西省西安市高新区沣惠南路与科技二路交叉路口西南侧泰华金贸国际6号楼902室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15929736865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lt;招标代理服务收费管理暂行办法&gt;的通知》（计价格【2002】1980号）和《国家发展改革委员会办公厅关于招标代理服务费收费有关问题的通知》（发改办价格[2003]857号）的规定收取。招标结束后，成交供应商领取中标通知书时一次性支付。 户名：陕西华璟项目管理有限公司 开户行：中国工商银行股份有限公司西安高新技术开发区支行 账号：3700024609200529721： 汇款备注：项目名称+代理服务费（可简写）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省财政厅机关后勤服务中心</w:t>
      </w:r>
      <w:r>
        <w:rPr>
          <w:rFonts w:ascii="仿宋_GB2312" w:hAnsi="仿宋_GB2312" w:cs="仿宋_GB2312" w:eastAsia="仿宋_GB2312"/>
        </w:rPr>
        <w:t>和</w:t>
      </w:r>
      <w:r>
        <w:rPr>
          <w:rFonts w:ascii="仿宋_GB2312" w:hAnsi="仿宋_GB2312" w:cs="仿宋_GB2312" w:eastAsia="仿宋_GB2312"/>
        </w:rPr>
        <w:t>陕西华璟项目管理有限公司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省财政厅机关后勤服务中心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省财政厅机关后勤服务中心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严格按照《财政部关于进一步加强政府采购需求和履约验收管理的指导意见》（财库【2016】205号）的要求进行验收，同时按国家有关规定、采购文件的质量要求和技术指标、供应商的磋商响应文件及承诺与合同约定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联系人：周晓</w:t>
      </w:r>
    </w:p>
    <w:p>
      <w:pPr>
        <w:pStyle w:val="null3"/>
      </w:pPr>
      <w:r>
        <w:rPr>
          <w:rFonts w:ascii="仿宋_GB2312" w:hAnsi="仿宋_GB2312" w:cs="仿宋_GB2312" w:eastAsia="仿宋_GB2312"/>
        </w:rPr>
        <w:t>联系电话：15929736865</w:t>
      </w:r>
    </w:p>
    <w:p>
      <w:pPr>
        <w:pStyle w:val="null3"/>
      </w:pPr>
      <w:r>
        <w:rPr>
          <w:rFonts w:ascii="仿宋_GB2312" w:hAnsi="仿宋_GB2312" w:cs="仿宋_GB2312" w:eastAsia="仿宋_GB2312"/>
        </w:rPr>
        <w:t>地址：陕西省西安市高新区沣惠南路与科技二路交叉路口西南侧泰华金贸国际6号楼902室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其他智能化安装工程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标的名称：其他智能化安装工程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6"/>
              <w:jc w:val="both"/>
            </w:pPr>
            <w:r>
              <w:rPr>
                <w:rFonts w:ascii="仿宋_GB2312" w:hAnsi="仿宋_GB2312" w:cs="仿宋_GB2312" w:eastAsia="仿宋_GB2312"/>
                <w:sz w:val="24"/>
                <w:b/>
                <w:color w:val="000000"/>
              </w:rPr>
              <w:t>一、工程概况：</w:t>
            </w:r>
          </w:p>
          <w:p>
            <w:pPr>
              <w:pStyle w:val="null3"/>
              <w:ind w:firstLine="484"/>
              <w:jc w:val="both"/>
            </w:pPr>
            <w:r>
              <w:rPr>
                <w:rFonts w:ascii="仿宋_GB2312" w:hAnsi="仿宋_GB2312" w:cs="仿宋_GB2312" w:eastAsia="仿宋_GB2312"/>
                <w:sz w:val="24"/>
                <w:color w:val="000000"/>
              </w:rPr>
              <w:t>1.项目地点：智慧健康食堂</w:t>
            </w:r>
          </w:p>
          <w:p>
            <w:pPr>
              <w:pStyle w:val="null3"/>
              <w:ind w:firstLine="484"/>
              <w:jc w:val="both"/>
            </w:pPr>
            <w:r>
              <w:rPr>
                <w:rFonts w:ascii="仿宋_GB2312" w:hAnsi="仿宋_GB2312" w:cs="仿宋_GB2312" w:eastAsia="仿宋_GB2312"/>
                <w:sz w:val="24"/>
                <w:color w:val="000000"/>
              </w:rPr>
              <w:t>2.项目概况：智慧健康食堂项目设备采购;</w:t>
            </w:r>
          </w:p>
          <w:p>
            <w:pPr>
              <w:pStyle w:val="null3"/>
              <w:ind w:firstLine="486"/>
              <w:jc w:val="both"/>
            </w:pPr>
            <w:r>
              <w:rPr>
                <w:rFonts w:ascii="仿宋_GB2312" w:hAnsi="仿宋_GB2312" w:cs="仿宋_GB2312" w:eastAsia="仿宋_GB2312"/>
                <w:sz w:val="24"/>
                <w:b/>
                <w:color w:val="000000"/>
              </w:rPr>
              <w:t>二、编制范围：</w:t>
            </w:r>
            <w:r>
              <w:rPr>
                <w:rFonts w:ascii="仿宋_GB2312" w:hAnsi="仿宋_GB2312" w:cs="仿宋_GB2312" w:eastAsia="仿宋_GB2312"/>
                <w:sz w:val="24"/>
                <w:color w:val="000000"/>
              </w:rPr>
              <w:t>智慧食堂项目预算清单。</w:t>
            </w:r>
          </w:p>
          <w:p>
            <w:pPr>
              <w:pStyle w:val="null3"/>
              <w:ind w:firstLine="486"/>
              <w:jc w:val="both"/>
            </w:pPr>
            <w:r>
              <w:rPr>
                <w:rFonts w:ascii="仿宋_GB2312" w:hAnsi="仿宋_GB2312" w:cs="仿宋_GB2312" w:eastAsia="仿宋_GB2312"/>
                <w:sz w:val="24"/>
                <w:b/>
                <w:color w:val="000000"/>
              </w:rPr>
              <w:t>三、编制依据：</w:t>
            </w:r>
          </w:p>
          <w:p>
            <w:pPr>
              <w:pStyle w:val="null3"/>
              <w:ind w:firstLine="484"/>
              <w:jc w:val="both"/>
            </w:pPr>
            <w:r>
              <w:rPr>
                <w:rFonts w:ascii="仿宋_GB2312" w:hAnsi="仿宋_GB2312" w:cs="仿宋_GB2312" w:eastAsia="仿宋_GB2312"/>
                <w:sz w:val="24"/>
                <w:color w:val="000000"/>
              </w:rPr>
              <w:t>1.《陕西省建设工程费用规则（2025）》、《陕西省建设工程工程量清单计价标准（2025）》；</w:t>
            </w:r>
          </w:p>
          <w:p>
            <w:pPr>
              <w:pStyle w:val="null3"/>
              <w:ind w:firstLine="484"/>
              <w:jc w:val="both"/>
            </w:pPr>
            <w:r>
              <w:rPr>
                <w:rFonts w:ascii="仿宋_GB2312" w:hAnsi="仿宋_GB2312" w:cs="仿宋_GB2312" w:eastAsia="仿宋_GB2312"/>
                <w:sz w:val="24"/>
                <w:color w:val="000000"/>
              </w:rPr>
              <w:t>2.《陕西省房屋建筑与装饰工程消耗量定额（2025）》、《陕西省通用安装工程消耗量定额（2025）》、《陕西省市政工程消耗量定额（2025）》、《陕西省园林绿化工程消耗量定额（2025）》以及配套基价表（2025）；</w:t>
            </w:r>
          </w:p>
          <w:p>
            <w:pPr>
              <w:pStyle w:val="null3"/>
              <w:ind w:firstLine="484"/>
              <w:jc w:val="both"/>
            </w:pPr>
            <w:r>
              <w:rPr>
                <w:rFonts w:ascii="仿宋_GB2312" w:hAnsi="仿宋_GB2312" w:cs="仿宋_GB2312" w:eastAsia="仿宋_GB2312"/>
                <w:sz w:val="24"/>
                <w:color w:val="000000"/>
              </w:rPr>
              <w:t>3.税金执行《陕西省住房和城乡建设厅关于调整陕西省建设工程计价依据的通知》（陕建发〔2019〕45号）；</w:t>
            </w:r>
          </w:p>
          <w:p>
            <w:pPr>
              <w:pStyle w:val="null3"/>
              <w:ind w:firstLine="484"/>
              <w:jc w:val="both"/>
            </w:pPr>
            <w:r>
              <w:rPr>
                <w:rFonts w:ascii="仿宋_GB2312" w:hAnsi="仿宋_GB2312" w:cs="仿宋_GB2312" w:eastAsia="仿宋_GB2312"/>
                <w:sz w:val="24"/>
                <w:color w:val="000000"/>
              </w:rPr>
              <w:t>4.软件采用广联达云计价平台GCCP7.0（7.5000.23.2）；</w:t>
            </w:r>
          </w:p>
          <w:p>
            <w:pPr>
              <w:pStyle w:val="null3"/>
              <w:ind w:firstLine="486"/>
              <w:jc w:val="both"/>
            </w:pPr>
            <w:r>
              <w:rPr>
                <w:rFonts w:ascii="仿宋_GB2312" w:hAnsi="仿宋_GB2312" w:cs="仿宋_GB2312" w:eastAsia="仿宋_GB2312"/>
                <w:sz w:val="24"/>
                <w:b/>
                <w:color w:val="000000"/>
              </w:rPr>
              <w:t>四、其他说明：</w:t>
            </w:r>
          </w:p>
          <w:p>
            <w:pPr>
              <w:pStyle w:val="null3"/>
              <w:ind w:firstLine="484"/>
              <w:jc w:val="both"/>
            </w:pPr>
            <w:r>
              <w:rPr>
                <w:rFonts w:ascii="仿宋_GB2312" w:hAnsi="仿宋_GB2312" w:cs="仿宋_GB2312" w:eastAsia="仿宋_GB2312"/>
                <w:sz w:val="24"/>
                <w:color w:val="000000"/>
              </w:rPr>
              <w:t>设备部分</w:t>
            </w:r>
          </w:p>
          <w:p>
            <w:pPr>
              <w:pStyle w:val="null3"/>
              <w:numPr>
                <w:ilvl w:val="0"/>
                <w:numId w:val="1"/>
              </w:numPr>
              <w:jc w:val="both"/>
            </w:pPr>
            <w:r>
              <w:rPr>
                <w:rFonts w:ascii="仿宋_GB2312" w:hAnsi="仿宋_GB2312" w:cs="仿宋_GB2312" w:eastAsia="仿宋_GB2312"/>
                <w:sz w:val="24"/>
                <w:color w:val="000000"/>
              </w:rPr>
              <w:t>设备需要满足智慧食堂要求。</w:t>
            </w:r>
          </w:p>
          <w:p>
            <w:pPr>
              <w:pStyle w:val="null3"/>
              <w:ind w:firstLine="486"/>
              <w:jc w:val="both"/>
            </w:pPr>
            <w:r>
              <w:rPr>
                <w:rFonts w:ascii="仿宋_GB2312" w:hAnsi="仿宋_GB2312" w:cs="仿宋_GB2312" w:eastAsia="仿宋_GB2312"/>
                <w:sz w:val="24"/>
                <w:b/>
                <w:color w:val="000000"/>
              </w:rPr>
              <w:t>五、商务要求</w:t>
            </w:r>
          </w:p>
          <w:p>
            <w:pPr>
              <w:pStyle w:val="null3"/>
              <w:ind w:firstLine="484"/>
              <w:jc w:val="both"/>
            </w:pPr>
            <w:r>
              <w:rPr>
                <w:rFonts w:ascii="仿宋_GB2312" w:hAnsi="仿宋_GB2312" w:cs="仿宋_GB2312" w:eastAsia="仿宋_GB2312"/>
                <w:sz w:val="24"/>
                <w:color w:val="000000"/>
              </w:rPr>
              <w:t>工期：</w:t>
            </w:r>
            <w:r>
              <w:rPr>
                <w:rFonts w:ascii="仿宋_GB2312" w:hAnsi="仿宋_GB2312" w:cs="仿宋_GB2312" w:eastAsia="仿宋_GB2312"/>
                <w:sz w:val="24"/>
                <w:color w:val="000000"/>
              </w:rPr>
              <w:t>20 天</w:t>
            </w:r>
          </w:p>
          <w:p>
            <w:pPr>
              <w:pStyle w:val="null3"/>
              <w:ind w:firstLine="484"/>
              <w:jc w:val="both"/>
            </w:pPr>
            <w:r>
              <w:rPr>
                <w:rFonts w:ascii="仿宋_GB2312" w:hAnsi="仿宋_GB2312" w:cs="仿宋_GB2312" w:eastAsia="仿宋_GB2312"/>
                <w:sz w:val="24"/>
                <w:color w:val="000000"/>
              </w:rPr>
              <w:t>合同价款支付方式：合同签订后甲方向乙方支付合同金额</w:t>
            </w:r>
            <w:r>
              <w:rPr>
                <w:rFonts w:ascii="仿宋_GB2312" w:hAnsi="仿宋_GB2312" w:cs="仿宋_GB2312" w:eastAsia="仿宋_GB2312"/>
                <w:sz w:val="24"/>
                <w:color w:val="000000"/>
              </w:rPr>
              <w:t>40%的预付款，工程竣工验收合格，结算审计完成后甲方向乙方支付至结算审计金额的100%。付款前，乙方须向甲方开具符合甲方要求的等额发票。</w:t>
            </w:r>
          </w:p>
          <w:p>
            <w:pPr>
              <w:pStyle w:val="null3"/>
              <w:ind w:firstLine="484"/>
              <w:jc w:val="both"/>
            </w:pPr>
            <w:r>
              <w:rPr>
                <w:rFonts w:ascii="仿宋_GB2312" w:hAnsi="仿宋_GB2312" w:cs="仿宋_GB2312" w:eastAsia="仿宋_GB2312"/>
                <w:sz w:val="24"/>
                <w:color w:val="000000"/>
              </w:rPr>
              <w:t>系统对接：</w:t>
            </w:r>
            <w:r>
              <w:rPr>
                <w:rFonts w:ascii="仿宋_GB2312" w:hAnsi="仿宋_GB2312" w:cs="仿宋_GB2312" w:eastAsia="仿宋_GB2312"/>
                <w:sz w:val="24"/>
                <w:color w:val="000000"/>
              </w:rPr>
              <w:t>1、根据甲方提供的接口信息开发对应接口；2、调试系统。</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及未在“中国执行信息公开网”中被列入失信被执行人名单，不得为中国政府采购网（www.ccgp.gov.cn）政府采购严重违法失信行为记录名单中被财政部门禁止参加政府采购活动的投标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师事务所或审计机构出具完整的财务审计报告（至少包括资产负债表和利润表，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供应商具备电子与智能化工程专业承包二级及以上资质且具有有效的安全生产许可证；供应商需在项目电子化交易系统中按要求上传相应证明文件并进行电子签章。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机电工程专业二级及以上注册建造师执业资格，具备有效的安全生产考核合格证书（B证），须在本单位注册且未担任其他在建项目的项目经理（提供无在建工程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供应商提供具有履行合同所必需的设备和专业技术能力的声明；供应商应提供承诺书，格式及内容具体参见“响应文件格式”；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本项目不接受联合体响应，不允许分包</w:t>
            </w:r>
          </w:p>
        </w:tc>
        <w:tc>
          <w:tcPr>
            <w:tcW w:type="dxa" w:w="3322"/>
          </w:tcPr>
          <w:p>
            <w:pPr>
              <w:pStyle w:val="null3"/>
            </w:pPr>
            <w:r>
              <w:rPr>
                <w:rFonts w:ascii="仿宋_GB2312" w:hAnsi="仿宋_GB2312" w:cs="仿宋_GB2312" w:eastAsia="仿宋_GB2312"/>
              </w:rPr>
              <w:t>供应商提供《非联合体、不分包投标声明》，供应商应提交的相关资格证明材料视为独立响应，不分包；供应商需在项目电子化交易系统中按要求上传相应证明文件并进行电子签章。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包(1)_报价函 包(1)_标的清单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商务技术文件.docx 包(1)_标的清单 资格证明文件.docx 响应文件封面 项目管理机构组成表 包(1)_报价函 供应商认为有必要补充说明的事项.docx 残疾人福利性单位声明函 供应商拒绝政府采购领域商业贿赂承诺书.docx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只能有一个有效报价，不得提交选择性报价，按要求提交最后报价，且不超过上一次报价或磋商小组认为低于成本价的报价。</w:t>
            </w:r>
          </w:p>
        </w:tc>
        <w:tc>
          <w:tcPr>
            <w:tcW w:type="dxa" w:w="1661"/>
          </w:tcPr>
          <w:p>
            <w:pPr>
              <w:pStyle w:val="null3"/>
            </w:pPr>
            <w:r>
              <w:rPr>
                <w:rFonts w:ascii="仿宋_GB2312" w:hAnsi="仿宋_GB2312" w:cs="仿宋_GB2312" w:eastAsia="仿宋_GB2312"/>
              </w:rPr>
              <w:t>响应文件封面 已标价工程量清单 包(1)_报价函 包(1)_标的清单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与营业执照、资质证书或其他组织一致。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响应文件封面 包(1)_报价函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自2021年1月1日起至今（以合同签订时间为准），供应商承担过与本项目类似的业绩。每提供1个有效业绩得2分，最高得6分。 注：以上业绩需提供合同复印件。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主要管理人员及班组人员</w:t>
            </w:r>
          </w:p>
        </w:tc>
        <w:tc>
          <w:tcPr>
            <w:tcW w:type="dxa" w:w="2492"/>
          </w:tcPr>
          <w:p>
            <w:pPr>
              <w:pStyle w:val="null3"/>
            </w:pPr>
            <w:r>
              <w:rPr>
                <w:rFonts w:ascii="仿宋_GB2312" w:hAnsi="仿宋_GB2312" w:cs="仿宋_GB2312" w:eastAsia="仿宋_GB2312"/>
              </w:rPr>
              <w:t>主要管理人员及班组人员岗位职责和分工： 内容合理可行，非常明确具体，得3分； 内容较合理可行、较为明确具体，得2分； 内容较合理可行、基本明确具体，得1分； 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设备技术参数响应</w:t>
            </w:r>
          </w:p>
        </w:tc>
        <w:tc>
          <w:tcPr>
            <w:tcW w:type="dxa" w:w="2492"/>
          </w:tcPr>
          <w:p>
            <w:pPr>
              <w:pStyle w:val="null3"/>
            </w:pPr>
            <w:r>
              <w:rPr>
                <w:rFonts w:ascii="仿宋_GB2312" w:hAnsi="仿宋_GB2312" w:cs="仿宋_GB2312" w:eastAsia="仿宋_GB2312"/>
              </w:rPr>
              <w:t>供应商设备技术指标响应情况：产品选型符合竞争性磋商文件要求，产品配置完整合理，其品牌、规格、型号、产地、技术参数清晰明确，无缺漏项，无负偏差，其响应技术指标和性能完全满足竞争性磋商文件要求计11分；每有一项缺漏或负偏离扣1分，扣完为止。 供应商应按磋商文件要求提供相应的参数指标证明文件，未按磋商文件要求提供证明材料的视为负偏离扣分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施工方案及技术措施包括但不限于 ①施工流程与方法、②技术措施针对性、③施工资源配备、④质量保证措施、⑤质量目标与标准、⑥质量控制体系、⑦安全技术措施、⑧工期保证措施、⑨技术难点与解决方案、⑩风险评估与应对措施。完整提供上述 10 项内容的得 40 分；每有一项未提供扣4分，扣完为止；每有一处有缺陷扣 1 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 备注：与现有系统对接包括但不限于OA、财务系统等</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施工方案及技术措施.docx</w:t>
            </w:r>
          </w:p>
        </w:tc>
      </w:tr>
      <w:tr>
        <w:tc>
          <w:tcPr>
            <w:tcW w:type="dxa" w:w="831"/>
            <w:vMerge/>
          </w:tcPr>
          <w:p/>
        </w:tc>
        <w:tc>
          <w:tcPr>
            <w:tcW w:type="dxa" w:w="1661"/>
          </w:tcPr>
          <w:p>
            <w:pPr>
              <w:pStyle w:val="null3"/>
            </w:pPr>
            <w:r>
              <w:rPr>
                <w:rFonts w:ascii="仿宋_GB2312" w:hAnsi="仿宋_GB2312" w:cs="仿宋_GB2312" w:eastAsia="仿宋_GB2312"/>
              </w:rPr>
              <w:t>质保期限</w:t>
            </w:r>
          </w:p>
        </w:tc>
        <w:tc>
          <w:tcPr>
            <w:tcW w:type="dxa" w:w="2492"/>
          </w:tcPr>
          <w:p>
            <w:pPr>
              <w:pStyle w:val="null3"/>
            </w:pPr>
            <w:r>
              <w:rPr>
                <w:rFonts w:ascii="仿宋_GB2312" w:hAnsi="仿宋_GB2312" w:cs="仿宋_GB2312" w:eastAsia="仿宋_GB2312"/>
              </w:rPr>
              <w:t>在本项目要求质保期基础上，每增加1年得2分，满分4分 备注：本项目质保期为所有软件系统及配套硬件免费质保期1年</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包(1)_报价函</w:t>
            </w:r>
          </w:p>
          <w:p>
            <w:pPr>
              <w:pStyle w:val="null3"/>
            </w:pPr>
            <w:r>
              <w:rPr>
                <w:rFonts w:ascii="仿宋_GB2312" w:hAnsi="仿宋_GB2312" w:cs="仿宋_GB2312" w:eastAsia="仿宋_GB2312"/>
              </w:rPr>
              <w:t>包(1)_标的清单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供应商拒绝政府采购领域商业贿赂承诺书.docx</w:t>
            </w:r>
          </w:p>
          <w:p>
            <w:pPr>
              <w:pStyle w:val="null3"/>
            </w:pPr>
            <w:r>
              <w:rPr>
                <w:rFonts w:ascii="仿宋_GB2312" w:hAnsi="仿宋_GB2312" w:cs="仿宋_GB2312" w:eastAsia="仿宋_GB2312"/>
              </w:rPr>
              <w:t>施工方案及技术措施.docx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针对本项目的应急预案： 应急预案非常详细、完整、可操作性强的，得6分； 预案较详细、较完整、可操作性较强的，得4分； 预案欠详细、欠完整、可操作性一般的，得2分；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包(1)_报价函</w:t>
            </w:r>
          </w:p>
          <w:p>
            <w:pPr>
              <w:pStyle w:val="null3"/>
            </w:pPr>
            <w:r>
              <w:rPr>
                <w:rFonts w:ascii="仿宋_GB2312" w:hAnsi="仿宋_GB2312" w:cs="仿宋_GB2312" w:eastAsia="仿宋_GB2312"/>
              </w:rPr>
              <w:t>包(1)_标的清单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供应商拒绝政府采购领域商业贿赂承诺书.docx</w:t>
            </w:r>
          </w:p>
          <w:p>
            <w:pPr>
              <w:pStyle w:val="null3"/>
            </w:pPr>
            <w:r>
              <w:rPr>
                <w:rFonts w:ascii="仿宋_GB2312" w:hAnsi="仿宋_GB2312" w:cs="仿宋_GB2312" w:eastAsia="仿宋_GB2312"/>
              </w:rPr>
              <w:t>施工方案及技术措施.docx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价优先法，即实质性满足磋商文件要求且最后磋商报价最低的为磋商基准价，其价格分为满分30分。其他供应商的价格分按照下列公式计算：磋商报价得分=(磋商基准价/磋商报价)×30。计算结果最多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包(1)_报价函</w:t>
            </w:r>
          </w:p>
          <w:p>
            <w:pPr>
              <w:pStyle w:val="null3"/>
            </w:pPr>
            <w:r>
              <w:rPr>
                <w:rFonts w:ascii="仿宋_GB2312" w:hAnsi="仿宋_GB2312" w:cs="仿宋_GB2312" w:eastAsia="仿宋_GB2312"/>
              </w:rPr>
              <w:t>包(1)_标的清单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详见附件：包(1)_报价函</w:t>
      </w:r>
    </w:p>
    <w:p>
      <w:pPr>
        <w:pStyle w:val="null3"/>
        <w:ind w:firstLine="960"/>
      </w:pPr>
      <w:r>
        <w:rPr>
          <w:rFonts w:ascii="仿宋_GB2312" w:hAnsi="仿宋_GB2312" w:cs="仿宋_GB2312" w:eastAsia="仿宋_GB2312"/>
        </w:rPr>
        <w:t>详见附件：包(1)_标的清单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详见附件：商务技术文件.docx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详见附件：施工方案及技术措施.docx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