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3ED72">
      <w:pPr>
        <w:tabs>
          <w:tab w:val="left" w:pos="1427"/>
        </w:tabs>
        <w:spacing w:line="360" w:lineRule="auto"/>
        <w:ind w:firstLine="4176" w:firstLineChars="1300"/>
        <w:jc w:val="left"/>
        <w:rPr>
          <w:rFonts w:ascii="宋体" w:hAnsi="宋体" w:cs="宋体"/>
          <w:color w:val="auto"/>
          <w:sz w:val="32"/>
          <w:szCs w:val="32"/>
          <w:highlight w:val="none"/>
        </w:rPr>
      </w:pPr>
      <w:r>
        <w:rPr>
          <w:rFonts w:hint="eastAsia" w:ascii="宋体" w:hAnsi="宋体" w:cs="宋体"/>
          <w:b/>
          <w:bCs/>
          <w:color w:val="auto"/>
          <w:sz w:val="32"/>
          <w:szCs w:val="32"/>
          <w:highlight w:val="none"/>
        </w:rPr>
        <w:t>合同草案条款</w:t>
      </w:r>
    </w:p>
    <w:p w14:paraId="4599BDC2">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采购人（以下简称甲方）：</w:t>
      </w:r>
    </w:p>
    <w:p w14:paraId="339F66FA">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供应商（以下简称乙</w:t>
      </w:r>
      <w:bookmarkStart w:id="0" w:name="_GoBack"/>
      <w:bookmarkEnd w:id="0"/>
      <w:r>
        <w:rPr>
          <w:rFonts w:hint="eastAsia" w:ascii="宋体" w:hAnsi="宋体" w:eastAsia="宋体" w:cs="宋体"/>
          <w:color w:val="auto"/>
          <w:sz w:val="24"/>
          <w:szCs w:val="32"/>
          <w:highlight w:val="none"/>
        </w:rPr>
        <w:t>方）：</w:t>
      </w:r>
    </w:p>
    <w:p w14:paraId="43C74BA6">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根据《中华人民共和国民法典》、《中华人民共和国政府采购法》及其它有关法律、行政法规，为明确双方在</w:t>
      </w:r>
      <w:r>
        <w:rPr>
          <w:rFonts w:hint="eastAsia" w:ascii="宋体" w:hAnsi="宋体" w:cs="宋体"/>
          <w:bCs/>
          <w:color w:val="auto"/>
          <w:sz w:val="24"/>
          <w:highlight w:val="none"/>
          <w:lang w:eastAsia="zh-CN"/>
        </w:rPr>
        <w:t>实施</w:t>
      </w:r>
      <w:r>
        <w:rPr>
          <w:rFonts w:hint="eastAsia" w:ascii="宋体" w:hAnsi="宋体" w:eastAsia="宋体" w:cs="宋体"/>
          <w:bCs/>
          <w:color w:val="auto"/>
          <w:sz w:val="24"/>
          <w:highlight w:val="none"/>
        </w:rPr>
        <w:t>过程中的权利、义务，经双方协商自愿签订本合同。</w:t>
      </w:r>
    </w:p>
    <w:p w14:paraId="23DADF05">
      <w:pPr>
        <w:keepNext w:val="0"/>
        <w:keepLines w:val="0"/>
        <w:pageBreakBefore w:val="0"/>
        <w:kinsoku/>
        <w:wordWrap/>
        <w:topLinePunct w:val="0"/>
        <w:bidi w:val="0"/>
        <w:snapToGrid/>
        <w:spacing w:line="336"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一、合同组成</w:t>
      </w:r>
    </w:p>
    <w:p w14:paraId="770EA417">
      <w:pPr>
        <w:keepNext w:val="0"/>
        <w:keepLines w:val="0"/>
        <w:pageBreakBefore w:val="0"/>
        <w:kinsoku/>
        <w:wordWrap/>
        <w:topLinePunct w:val="0"/>
        <w:autoSpaceDE w:val="0"/>
        <w:autoSpaceDN w:val="0"/>
        <w:bidi w:val="0"/>
        <w:adjustRightInd w:val="0"/>
        <w:snapToGrid/>
        <w:spacing w:line="336" w:lineRule="auto"/>
        <w:ind w:left="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14:paraId="620177EC">
      <w:pPr>
        <w:keepNext w:val="0"/>
        <w:keepLines w:val="0"/>
        <w:pageBreakBefore w:val="0"/>
        <w:kinsoku/>
        <w:wordWrap/>
        <w:topLinePunct w:val="0"/>
        <w:autoSpaceDE w:val="0"/>
        <w:autoSpaceDN w:val="0"/>
        <w:bidi w:val="0"/>
        <w:adjustRightInd w:val="0"/>
        <w:snapToGrid/>
        <w:spacing w:line="336" w:lineRule="auto"/>
        <w:ind w:left="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14:paraId="6A83A7E1">
      <w:pPr>
        <w:keepNext w:val="0"/>
        <w:keepLines w:val="0"/>
        <w:pageBreakBefore w:val="0"/>
        <w:kinsoku/>
        <w:wordWrap/>
        <w:topLinePunct w:val="0"/>
        <w:autoSpaceDE w:val="0"/>
        <w:autoSpaceDN w:val="0"/>
        <w:bidi w:val="0"/>
        <w:adjustRightInd w:val="0"/>
        <w:snapToGrid/>
        <w:spacing w:line="336"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甲方的磋商文件及澄清文件。</w:t>
      </w:r>
    </w:p>
    <w:p w14:paraId="0445AFB2">
      <w:pPr>
        <w:keepNext w:val="0"/>
        <w:keepLines w:val="0"/>
        <w:pageBreakBefore w:val="0"/>
        <w:kinsoku/>
        <w:wordWrap/>
        <w:topLinePunct w:val="0"/>
        <w:autoSpaceDE w:val="0"/>
        <w:autoSpaceDN w:val="0"/>
        <w:bidi w:val="0"/>
        <w:adjustRightInd w:val="0"/>
        <w:snapToGrid/>
        <w:spacing w:line="336"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乙方的磋商响应文件及质疑解答文件。</w:t>
      </w:r>
    </w:p>
    <w:p w14:paraId="6732C543">
      <w:pPr>
        <w:keepNext w:val="0"/>
        <w:keepLines w:val="0"/>
        <w:pageBreakBefore w:val="0"/>
        <w:kinsoku/>
        <w:wordWrap/>
        <w:topLinePunct w:val="0"/>
        <w:autoSpaceDE w:val="0"/>
        <w:autoSpaceDN w:val="0"/>
        <w:bidi w:val="0"/>
        <w:adjustRightInd w:val="0"/>
        <w:snapToGrid/>
        <w:spacing w:line="336"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zh-CN"/>
        </w:rPr>
        <w:t>成交通知书。</w:t>
      </w:r>
    </w:p>
    <w:p w14:paraId="27ACF974">
      <w:pPr>
        <w:keepNext w:val="0"/>
        <w:keepLines w:val="0"/>
        <w:pageBreakBefore w:val="0"/>
        <w:kinsoku/>
        <w:wordWrap/>
        <w:topLinePunct w:val="0"/>
        <w:autoSpaceDE w:val="0"/>
        <w:autoSpaceDN w:val="0"/>
        <w:bidi w:val="0"/>
        <w:adjustRightInd w:val="0"/>
        <w:snapToGrid/>
        <w:spacing w:line="336"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法定代表人授权书。</w:t>
      </w:r>
    </w:p>
    <w:p w14:paraId="42FE08F4">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（6）双方与合同有关的往来信函、传真经双方法定代表人或其授权代表签字并加盖单位公章确认后视为本合同的组成部分。</w:t>
      </w:r>
    </w:p>
    <w:p w14:paraId="7170BB53">
      <w:pPr>
        <w:keepNext w:val="0"/>
        <w:keepLines w:val="0"/>
        <w:pageBreakBefore w:val="0"/>
        <w:kinsoku/>
        <w:wordWrap/>
        <w:topLinePunct w:val="0"/>
        <w:autoSpaceDE w:val="0"/>
        <w:autoSpaceDN w:val="0"/>
        <w:bidi w:val="0"/>
        <w:adjustRightInd w:val="0"/>
        <w:snapToGrid/>
        <w:spacing w:line="336"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（7）经双方法定代表人或其授权代表签字并加盖单位公章确认的补充协议。</w:t>
      </w:r>
    </w:p>
    <w:p w14:paraId="429F6C1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14:paraId="5B23EE77">
      <w:pPr>
        <w:keepNext w:val="0"/>
        <w:keepLines w:val="0"/>
        <w:pageBreakBefore w:val="0"/>
        <w:kinsoku/>
        <w:wordWrap/>
        <w:overflowPunct w:val="0"/>
        <w:topLinePunct w:val="0"/>
        <w:bidi w:val="0"/>
        <w:snapToGrid/>
        <w:spacing w:line="336" w:lineRule="auto"/>
        <w:ind w:firstLine="480"/>
        <w:textAlignment w:val="auto"/>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5CD844DE">
      <w:pPr>
        <w:keepNext w:val="0"/>
        <w:keepLines w:val="0"/>
        <w:pageBreakBefore w:val="0"/>
        <w:kinsoku/>
        <w:wordWrap/>
        <w:topLinePunct w:val="0"/>
        <w:bidi w:val="0"/>
        <w:snapToGrid/>
        <w:spacing w:line="336"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二、项目概况</w:t>
      </w:r>
    </w:p>
    <w:p w14:paraId="63081B05">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highlight w:val="none"/>
        </w:rPr>
        <w:t>1.服务内容：</w:t>
      </w:r>
    </w:p>
    <w:p w14:paraId="42CE8A1D">
      <w:pPr>
        <w:keepNext w:val="0"/>
        <w:keepLines w:val="0"/>
        <w:pageBreakBefore w:val="0"/>
        <w:kinsoku/>
        <w:wordWrap/>
        <w:topLinePunct w:val="0"/>
        <w:bidi w:val="0"/>
        <w:snapToGrid/>
        <w:spacing w:line="336" w:lineRule="auto"/>
        <w:ind w:firstLine="480" w:firstLineChars="200"/>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sz w:val="24"/>
          <w:highlight w:val="none"/>
        </w:rPr>
        <w:t>2.</w:t>
      </w:r>
      <w:r>
        <w:rPr>
          <w:rFonts w:hint="eastAsia" w:asciiTheme="minorEastAsia" w:hAnsiTheme="minorEastAsia" w:eastAsiaTheme="minorEastAsia" w:cstheme="minorEastAsia"/>
          <w:sz w:val="24"/>
          <w:szCs w:val="24"/>
          <w:highlight w:val="none"/>
          <w:lang w:val="en-US" w:eastAsia="zh-CN"/>
        </w:rPr>
        <w:t>服务期限</w:t>
      </w:r>
      <w:r>
        <w:rPr>
          <w:rFonts w:hint="eastAsia" w:ascii="宋体" w:hAnsi="宋体" w:eastAsia="宋体" w:cs="宋体"/>
          <w:color w:val="auto"/>
          <w:sz w:val="24"/>
          <w:highlight w:val="none"/>
        </w:rPr>
        <w:t>：</w:t>
      </w:r>
    </w:p>
    <w:p w14:paraId="37E4A0FE">
      <w:pPr>
        <w:keepNext w:val="0"/>
        <w:keepLines w:val="0"/>
        <w:pageBreakBefore w:val="0"/>
        <w:kinsoku/>
        <w:wordWrap/>
        <w:topLinePunct w:val="0"/>
        <w:bidi w:val="0"/>
        <w:snapToGrid/>
        <w:spacing w:line="336" w:lineRule="auto"/>
        <w:ind w:firstLine="480" w:firstLineChars="200"/>
        <w:textAlignment w:val="auto"/>
        <w:rPr>
          <w:rFonts w:hint="eastAsia" w:ascii="宋体" w:hAnsi="宋体" w:cs="宋体"/>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服务地点：</w:t>
      </w:r>
      <w:r>
        <w:rPr>
          <w:rFonts w:hint="eastAsia" w:ascii="宋体" w:hAnsi="宋体" w:cs="宋体"/>
          <w:sz w:val="24"/>
          <w:highlight w:val="none"/>
          <w:lang w:val="en-US" w:eastAsia="zh-CN"/>
        </w:rPr>
        <w:t>采购人</w:t>
      </w:r>
      <w:r>
        <w:rPr>
          <w:rFonts w:hint="eastAsia" w:ascii="宋体" w:hAnsi="宋体" w:cs="宋体"/>
          <w:sz w:val="24"/>
          <w:highlight w:val="none"/>
        </w:rPr>
        <w:t>指定地点</w:t>
      </w:r>
    </w:p>
    <w:p w14:paraId="414D69E1">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质量要求：</w:t>
      </w:r>
      <w:r>
        <w:rPr>
          <w:rFonts w:hint="eastAsia" w:ascii="宋体" w:hAnsi="宋体" w:cs="宋体"/>
          <w:color w:val="auto"/>
          <w:sz w:val="24"/>
          <w:highlight w:val="none"/>
          <w:lang w:eastAsia="zh-CN"/>
        </w:rPr>
        <w:t>检测方法和检测数量等满足现行检测规范规定；检测报告符合国家规范。</w:t>
      </w:r>
    </w:p>
    <w:p w14:paraId="5E75D8DA">
      <w:pPr>
        <w:keepNext w:val="0"/>
        <w:keepLines w:val="0"/>
        <w:pageBreakBefore w:val="0"/>
        <w:kinsoku/>
        <w:wordWrap/>
        <w:topLinePunct w:val="0"/>
        <w:bidi w:val="0"/>
        <w:snapToGrid/>
        <w:spacing w:line="336"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w:t>
      </w:r>
      <w:r>
        <w:rPr>
          <w:rFonts w:hint="eastAsia" w:ascii="宋体" w:hAnsi="宋体" w:eastAsia="宋体" w:cs="宋体"/>
          <w:b/>
          <w:bCs/>
          <w:color w:val="auto"/>
          <w:sz w:val="24"/>
          <w:highlight w:val="none"/>
        </w:rPr>
        <w:t>合同价款及付款比例</w:t>
      </w:r>
    </w:p>
    <w:p w14:paraId="3FA7D830">
      <w:pPr>
        <w:keepNext w:val="0"/>
        <w:keepLines w:val="0"/>
        <w:pageBreakBefore w:val="0"/>
        <w:widowControl/>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rPr>
        <w:t>1.合同价款：</w:t>
      </w:r>
      <w:r>
        <w:rPr>
          <w:rFonts w:hint="eastAsia" w:ascii="宋体" w:hAnsi="宋体" w:eastAsia="宋体" w:cs="宋体"/>
          <w:color w:val="auto"/>
          <w:sz w:val="24"/>
          <w:highlight w:val="none"/>
        </w:rPr>
        <w:t>合同为固定</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价合同</w:t>
      </w:r>
      <w:r>
        <w:rPr>
          <w:rFonts w:hint="eastAsia" w:ascii="宋体" w:hAnsi="宋体" w:eastAsia="宋体" w:cs="宋体"/>
          <w:color w:val="auto"/>
          <w:sz w:val="24"/>
          <w:highlight w:val="none"/>
          <w:lang w:eastAsia="zh-CN"/>
        </w:rPr>
        <w:t>。</w:t>
      </w:r>
    </w:p>
    <w:p w14:paraId="4400DF1E">
      <w:pPr>
        <w:keepNext w:val="0"/>
        <w:keepLines w:val="0"/>
        <w:pageBreakBefore w:val="0"/>
        <w:widowControl/>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bCs/>
          <w:color w:val="auto"/>
          <w:sz w:val="24"/>
          <w:highlight w:val="none"/>
          <w:lang w:val="en-US" w:eastAsia="zh-CN"/>
        </w:rPr>
      </w:pPr>
      <w:r>
        <w:rPr>
          <w:rFonts w:hint="eastAsia" w:ascii="宋体" w:hAnsi="宋体" w:eastAsia="宋体" w:cs="宋体"/>
          <w:color w:val="auto"/>
          <w:sz w:val="24"/>
          <w:szCs w:val="24"/>
          <w:highlight w:val="none"/>
        </w:rPr>
        <w:t>合同总价款</w:t>
      </w: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46D11705">
      <w:pPr>
        <w:keepNext w:val="0"/>
        <w:keepLines w:val="0"/>
        <w:pageBreakBefore w:val="0"/>
        <w:kinsoku/>
        <w:wordWrap/>
        <w:topLinePunct w:val="0"/>
        <w:bidi w:val="0"/>
        <w:spacing w:line="336" w:lineRule="auto"/>
        <w:ind w:firstLine="480" w:firstLineChars="200"/>
        <w:textAlignment w:val="auto"/>
        <w:rPr>
          <w:rFonts w:ascii="宋体" w:hAnsi="宋体" w:cs="宋体"/>
          <w:color w:val="auto"/>
          <w:sz w:val="24"/>
          <w:highlight w:val="none"/>
        </w:rPr>
      </w:pP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付款方式：</w:t>
      </w:r>
      <w:r>
        <w:rPr>
          <w:rFonts w:hint="eastAsia" w:ascii="宋体" w:hAnsi="宋体" w:eastAsia="宋体" w:cs="宋体"/>
          <w:bCs/>
          <w:color w:val="auto"/>
          <w:sz w:val="24"/>
          <w:highlight w:val="none"/>
          <w:lang w:val="en-US" w:eastAsia="zh-CN"/>
        </w:rPr>
        <w:t>房屋安全质量鉴定报告交付完成后支付合同总金额的100.00%。</w:t>
      </w:r>
    </w:p>
    <w:p w14:paraId="3857AE7B">
      <w:pPr>
        <w:keepNext w:val="0"/>
        <w:keepLines w:val="0"/>
        <w:pageBreakBefore w:val="0"/>
        <w:widowControl/>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3.乙方开户银行指定账户为：</w:t>
      </w:r>
    </w:p>
    <w:p w14:paraId="08BEAC4D">
      <w:pPr>
        <w:keepNext w:val="0"/>
        <w:keepLines w:val="0"/>
        <w:pageBreakBefore w:val="0"/>
        <w:widowControl/>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收款人：</w:t>
      </w:r>
    </w:p>
    <w:p w14:paraId="1E9D9642">
      <w:pPr>
        <w:keepNext w:val="0"/>
        <w:keepLines w:val="0"/>
        <w:pageBreakBefore w:val="0"/>
        <w:widowControl/>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开户行：</w:t>
      </w:r>
    </w:p>
    <w:p w14:paraId="1306997C">
      <w:pPr>
        <w:keepNext w:val="0"/>
        <w:keepLines w:val="0"/>
        <w:pageBreakBefore w:val="0"/>
        <w:widowControl/>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账号：</w:t>
      </w:r>
    </w:p>
    <w:p w14:paraId="0087CC2F">
      <w:pPr>
        <w:keepNext w:val="0"/>
        <w:keepLines w:val="0"/>
        <w:pageBreakBefore w:val="0"/>
        <w:kinsoku/>
        <w:wordWrap/>
        <w:topLinePunct w:val="0"/>
        <w:bidi w:val="0"/>
        <w:snapToGrid/>
        <w:spacing w:line="336"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四、</w:t>
      </w: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65A2F545">
      <w:pPr>
        <w:pStyle w:val="2"/>
        <w:keepNext w:val="0"/>
        <w:keepLines w:val="0"/>
        <w:pageBreakBefore w:val="0"/>
        <w:kinsoku/>
        <w:wordWrap/>
        <w:topLinePunct w:val="0"/>
        <w:bidi w:val="0"/>
        <w:snapToGrid/>
        <w:spacing w:line="336" w:lineRule="auto"/>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五、甲方的主要责任和权利</w:t>
      </w:r>
    </w:p>
    <w:p w14:paraId="3F95A5C2">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rPr>
        <w:t>甲方有权对乙方现场评定时限、质量等提出要求；</w:t>
      </w:r>
    </w:p>
    <w:p w14:paraId="52A50D5D">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甲方有权对乙方在开展现场评定中所邀请专家的级别、领域等提出要求；</w:t>
      </w:r>
    </w:p>
    <w:p w14:paraId="7C6B33FF">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甲方有权对乙方开展现场评定活动的流程、程序以及是否违规收费或其他违纪行为等进行监督；</w:t>
      </w:r>
    </w:p>
    <w:p w14:paraId="2F8ACE16">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rPr>
        <w:t>甲方有权对乙方提交的技术服务报告进行审查；</w:t>
      </w:r>
    </w:p>
    <w:p w14:paraId="4642B25C">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甲方有权检查乙方为甲方提供服务的相关工作档案，并提出整改或完善意见。</w:t>
      </w:r>
    </w:p>
    <w:p w14:paraId="45A122BF">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甲方应及时向乙方移交需现场评定的相关材料，乙方应向甲方出具书面签收证明；</w:t>
      </w:r>
    </w:p>
    <w:p w14:paraId="33FC5C5D">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.甲方不得干预乙方正常技术服务活动，不得向乙方提出带有倾向性的结论或意见；</w:t>
      </w:r>
    </w:p>
    <w:p w14:paraId="7BE77C78">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8.</w:t>
      </w:r>
      <w:r>
        <w:rPr>
          <w:rFonts w:hint="eastAsia" w:ascii="宋体" w:hAnsi="宋体" w:eastAsia="宋体" w:cs="宋体"/>
          <w:color w:val="auto"/>
          <w:sz w:val="24"/>
          <w:highlight w:val="none"/>
        </w:rPr>
        <w:t>甲方应当按本合同约定，及时向乙方支付技术服务费用；</w:t>
      </w:r>
    </w:p>
    <w:p w14:paraId="7F4C3F3E">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rPr>
        <w:t>甲方应当对在工作中知悉的乙方商业秘密履行保密义务；</w:t>
      </w:r>
    </w:p>
    <w:p w14:paraId="51E09EB7">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10.</w:t>
      </w:r>
      <w:r>
        <w:rPr>
          <w:rFonts w:hint="eastAsia" w:ascii="宋体" w:hAnsi="宋体" w:eastAsia="宋体" w:cs="宋体"/>
          <w:color w:val="auto"/>
          <w:sz w:val="24"/>
          <w:highlight w:val="none"/>
        </w:rPr>
        <w:t>乙方提供的成果仅作为甲方及上级机关和政府安全管理部门的管理决策提供依据,不作为其它用途使用。</w:t>
      </w:r>
    </w:p>
    <w:p w14:paraId="22777368">
      <w:pPr>
        <w:keepNext w:val="0"/>
        <w:keepLines w:val="0"/>
        <w:pageBreakBefore w:val="0"/>
        <w:kinsoku/>
        <w:wordWrap/>
        <w:topLinePunct w:val="0"/>
        <w:bidi w:val="0"/>
        <w:snapToGrid/>
        <w:spacing w:line="336"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六、乙方的主要责任和权利</w:t>
      </w:r>
    </w:p>
    <w:p w14:paraId="03684149">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rPr>
        <w:t>乙方有权根据相关法律法规规章和技术规范等，独立开展现场评定；</w:t>
      </w:r>
    </w:p>
    <w:p w14:paraId="71284C14">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乙方有权对甲方提出的影响其独立开展现场评定活动的要求提出质疑；</w:t>
      </w:r>
    </w:p>
    <w:p w14:paraId="0261B09F">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乙方有权要求甲方按照本合同约定及时支付技术服务费用。</w:t>
      </w:r>
    </w:p>
    <w:p w14:paraId="0B3B3054">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乙方应当按照本合同规定的时限和程序组织开展现场评定或备案抽查工作，不得超时限或违反程序。乙方工作人员在现场工作期间应当严格遵守现场安全管理防范等规定，如乙方工作人员在现场评定过程中发生致使本人或其他人人身伤害或财产损失的，由乙方承担全部责任，同时乙方应当将事件书面通知甲方；</w:t>
      </w:r>
    </w:p>
    <w:p w14:paraId="4FA6F450">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乙方在组织开展技术服务过程中，不得接受或变相接受项目单位请托，对存在利害关系或其他需要回避情形的，应当主动向甲方提出回避申请；</w:t>
      </w:r>
    </w:p>
    <w:p w14:paraId="3DA6EEDE">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乙方应当根据项目信息化建设工作要求，及时完成相关信息录入和上传工作；</w:t>
      </w:r>
    </w:p>
    <w:p w14:paraId="2EE409D5">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乙方应当按照档案法和甲方要求对所承接的甲方委托事项单独建档和保存，主动接受甲方的检查；</w:t>
      </w:r>
    </w:p>
    <w:p w14:paraId="4F8EF835">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8.</w:t>
      </w:r>
      <w:r>
        <w:rPr>
          <w:rFonts w:hint="eastAsia" w:ascii="宋体" w:hAnsi="宋体" w:eastAsia="宋体" w:cs="宋体"/>
          <w:color w:val="auto"/>
          <w:sz w:val="24"/>
          <w:highlight w:val="none"/>
        </w:rPr>
        <w:t>乙方提供的技术服务报告应符合相关技术标准和政策规定的规定格式，技术服务报告内容要重点突出，要素齐全、表述清楚、结论明确；</w:t>
      </w:r>
    </w:p>
    <w:p w14:paraId="44ADD04B">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rPr>
        <w:t>乙方的项目负责人和技术服务人员应相对固定，根据甲方要求实行派驻制度。更换人员须提前5个工作日通知甲方，且经甲方书面同意后方可，同时做好相应移交工作；</w:t>
      </w:r>
    </w:p>
    <w:p w14:paraId="73835872">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10.</w:t>
      </w:r>
      <w:r>
        <w:rPr>
          <w:rFonts w:hint="eastAsia" w:ascii="宋体" w:hAnsi="宋体" w:eastAsia="宋体" w:cs="宋体"/>
          <w:color w:val="auto"/>
          <w:sz w:val="24"/>
          <w:highlight w:val="none"/>
        </w:rPr>
        <w:t>乙方应按照法律规范及甲方要求进行各项工作,不得为第三方增加不合理的负担。</w:t>
      </w:r>
    </w:p>
    <w:p w14:paraId="157C040E">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11</w:t>
      </w:r>
      <w:r>
        <w:rPr>
          <w:rFonts w:hint="eastAsia" w:ascii="宋体" w:hAnsi="宋体" w:eastAsia="宋体" w:cs="宋体"/>
          <w:color w:val="auto"/>
          <w:sz w:val="24"/>
          <w:highlight w:val="none"/>
        </w:rPr>
        <w:t>.对甲方提供的基础资料、数据、信息等严格保密。</w:t>
      </w:r>
    </w:p>
    <w:p w14:paraId="4BBE4922">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rPr>
        <w:t>.解答甲方提出的与项目有关的询问，接受甲方监督和检查，无条件按照甲方要求对成果报告进行整改和完善。</w:t>
      </w:r>
    </w:p>
    <w:p w14:paraId="5E0D37A7">
      <w:pPr>
        <w:pStyle w:val="5"/>
        <w:keepNext w:val="0"/>
        <w:keepLines w:val="0"/>
        <w:pageBreakBefore w:val="0"/>
        <w:tabs>
          <w:tab w:val="left" w:pos="1134"/>
          <w:tab w:val="left" w:pos="1418"/>
        </w:tabs>
        <w:kinsoku/>
        <w:wordWrap/>
        <w:topLinePunct w:val="0"/>
        <w:bidi w:val="0"/>
        <w:adjustRightInd w:val="0"/>
        <w:snapToGrid/>
        <w:spacing w:line="336" w:lineRule="auto"/>
        <w:ind w:left="0" w:leftChars="0" w:firstLine="0" w:firstLineChars="0"/>
        <w:textAlignment w:val="auto"/>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七、</w:t>
      </w:r>
      <w:r>
        <w:rPr>
          <w:rFonts w:hint="eastAsia" w:ascii="宋体" w:hAnsi="宋体" w:eastAsia="宋体" w:cs="宋体"/>
          <w:b/>
          <w:color w:val="auto"/>
          <w:highlight w:val="none"/>
          <w:lang w:val="zh-CN" w:eastAsia="zh-CN"/>
        </w:rPr>
        <w:t>知识产权</w:t>
      </w:r>
    </w:p>
    <w:p w14:paraId="6FD309B0">
      <w:pPr>
        <w:keepNext w:val="0"/>
        <w:keepLines w:val="0"/>
        <w:pageBreakBefore w:val="0"/>
        <w:kinsoku/>
        <w:wordWrap/>
        <w:topLinePunct w:val="0"/>
        <w:bidi w:val="0"/>
        <w:snapToGrid/>
        <w:spacing w:line="336"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733AA637">
      <w:pPr>
        <w:keepNext w:val="0"/>
        <w:keepLines w:val="0"/>
        <w:pageBreakBefore w:val="0"/>
        <w:kinsoku/>
        <w:wordWrap/>
        <w:topLinePunct w:val="0"/>
        <w:bidi w:val="0"/>
        <w:snapToGrid/>
        <w:spacing w:line="336"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2.若乙方在为甲方提供服务时侵犯了第三人的权利，致使甲方受到索赔或起诉，由此给甲方造成的一切损失由乙方承担，同时甲方有权解除合同，同时乙方及时消除不良影响。</w:t>
      </w:r>
    </w:p>
    <w:p w14:paraId="44C7BB2B">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2D3F22FA">
      <w:pPr>
        <w:pStyle w:val="6"/>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highlight w:val="none"/>
          <w:lang w:val="en-US" w:eastAsia="zh-CN"/>
        </w:rPr>
      </w:pPr>
      <w:r>
        <w:rPr>
          <w:rFonts w:hint="eastAsia" w:ascii="宋体" w:hAnsi="宋体" w:cs="宋体"/>
          <w:sz w:val="24"/>
          <w:highlight w:val="none"/>
          <w:lang w:val="en-US" w:eastAsia="zh-CN"/>
        </w:rPr>
        <w:t>4.</w:t>
      </w:r>
      <w:r>
        <w:rPr>
          <w:rFonts w:hint="eastAsia" w:ascii="宋体" w:hAnsi="宋体" w:cs="宋体"/>
          <w:sz w:val="24"/>
          <w:highlight w:val="none"/>
        </w:rPr>
        <w:t>本合同条款的规定不因本合同的到期而失效。</w:t>
      </w:r>
    </w:p>
    <w:p w14:paraId="4C27C810">
      <w:pPr>
        <w:pStyle w:val="5"/>
        <w:keepNext w:val="0"/>
        <w:keepLines w:val="0"/>
        <w:pageBreakBefore w:val="0"/>
        <w:tabs>
          <w:tab w:val="left" w:pos="1134"/>
          <w:tab w:val="left" w:pos="1418"/>
        </w:tabs>
        <w:kinsoku/>
        <w:wordWrap/>
        <w:topLinePunct w:val="0"/>
        <w:bidi w:val="0"/>
        <w:adjustRightInd w:val="0"/>
        <w:snapToGrid/>
        <w:spacing w:line="336" w:lineRule="auto"/>
        <w:ind w:left="0" w:leftChars="0" w:firstLine="0" w:firstLineChars="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highlight w:val="none"/>
          <w:lang w:val="en-US" w:eastAsia="zh-CN"/>
        </w:rPr>
        <w:t>八、</w:t>
      </w:r>
      <w:r>
        <w:rPr>
          <w:rFonts w:hint="eastAsia" w:ascii="宋体" w:hAnsi="宋体" w:eastAsia="宋体" w:cs="宋体"/>
          <w:b/>
          <w:bCs/>
          <w:color w:val="auto"/>
          <w:kern w:val="2"/>
          <w:sz w:val="24"/>
          <w:szCs w:val="24"/>
          <w:highlight w:val="none"/>
          <w:lang w:val="en-US" w:eastAsia="zh-CN" w:bidi="ar-SA"/>
        </w:rPr>
        <w:t>验收</w:t>
      </w:r>
    </w:p>
    <w:p w14:paraId="2D56E81F">
      <w:pPr>
        <w:keepNext w:val="0"/>
        <w:keepLines w:val="0"/>
        <w:pageBreakBefore w:val="0"/>
        <w:widowControl w:val="0"/>
        <w:numPr>
          <w:ilvl w:val="0"/>
          <w:numId w:val="0"/>
        </w:numPr>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验收时间：项目完成后</w:t>
      </w:r>
    </w:p>
    <w:p w14:paraId="5D2DFF77">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质量标准：</w:t>
      </w:r>
      <w:r>
        <w:rPr>
          <w:rFonts w:hint="eastAsia" w:ascii="宋体" w:hAnsi="宋体" w:cs="宋体"/>
          <w:color w:val="auto"/>
          <w:sz w:val="24"/>
          <w:highlight w:val="none"/>
          <w:lang w:eastAsia="zh-CN"/>
        </w:rPr>
        <w:t>检测方法和检测数量等满足现行检测规范规定；检测报告符合国家规范。</w:t>
      </w:r>
    </w:p>
    <w:p w14:paraId="5A24DE93">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合格条件：符合国家标准和技术规格书及合同要求，符合竞争性磋商文件、成交供应商的磋商文件、澄清文件和成交通知书的要求等,乙方应严格按照上述及采购人要求实施项目服务，甲方有权对乙方服务质量进行评估，当乙方出现较为严重的服务质量问题时，从乙方服务费中扣除合同总价的10%。</w:t>
      </w:r>
    </w:p>
    <w:p w14:paraId="7F948441">
      <w:pPr>
        <w:pStyle w:val="2"/>
        <w:keepNext w:val="0"/>
        <w:keepLines w:val="0"/>
        <w:pageBreakBefore w:val="0"/>
        <w:kinsoku/>
        <w:wordWrap/>
        <w:topLinePunct w:val="0"/>
        <w:bidi w:val="0"/>
        <w:snapToGrid/>
        <w:spacing w:line="336" w:lineRule="auto"/>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注：乙方应保证交付的成果文件已参照已有的相关规划，并遵循中华人民共和国及地方的有关法律规范，并符合本项目</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要求。</w:t>
      </w:r>
    </w:p>
    <w:p w14:paraId="4B3D15C9">
      <w:pPr>
        <w:pStyle w:val="5"/>
        <w:keepNext w:val="0"/>
        <w:keepLines w:val="0"/>
        <w:pageBreakBefore w:val="0"/>
        <w:tabs>
          <w:tab w:val="left" w:pos="1134"/>
          <w:tab w:val="left" w:pos="1418"/>
        </w:tabs>
        <w:kinsoku/>
        <w:wordWrap/>
        <w:topLinePunct w:val="0"/>
        <w:bidi w:val="0"/>
        <w:adjustRightInd w:val="0"/>
        <w:snapToGrid/>
        <w:spacing w:line="336"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en-US" w:eastAsia="zh-CN"/>
        </w:rPr>
        <w:t>九</w:t>
      </w:r>
      <w:r>
        <w:rPr>
          <w:rFonts w:hint="eastAsia" w:ascii="宋体" w:hAnsi="宋体" w:eastAsia="宋体" w:cs="宋体"/>
          <w:b/>
          <w:color w:val="auto"/>
          <w:highlight w:val="none"/>
          <w:lang w:val="zh-CN" w:eastAsia="zh-CN"/>
        </w:rPr>
        <w:t>、保密</w:t>
      </w:r>
    </w:p>
    <w:p w14:paraId="1F8CFA15">
      <w:pPr>
        <w:keepNext w:val="0"/>
        <w:keepLines w:val="0"/>
        <w:pageBreakBefore w:val="0"/>
        <w:kinsoku/>
        <w:wordWrap/>
        <w:topLinePunct w:val="0"/>
        <w:bidi w:val="0"/>
        <w:snapToGrid/>
        <w:spacing w:line="336"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及其项目参加人员应就合同履行过程中了解到、涉及到、搜集到甲方技术信息、经验信息以及其他尚未公开的有关信息、资料负有保密义务，并采取相应的保密措施，如发生以上情况，甲方有权索赔。乙方应承担的保密义务包括但不限于:</w:t>
      </w:r>
    </w:p>
    <w:p w14:paraId="3BB84750">
      <w:pPr>
        <w:keepNext w:val="0"/>
        <w:keepLines w:val="0"/>
        <w:pageBreakBefore w:val="0"/>
        <w:kinsoku/>
        <w:wordWrap/>
        <w:topLinePunct w:val="0"/>
        <w:bidi w:val="0"/>
        <w:snapToGrid/>
        <w:spacing w:line="336"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（一）未经甲方书面同意，不得将上述信息、资料披露给任何第三人</w:t>
      </w:r>
      <w:r>
        <w:rPr>
          <w:rFonts w:hint="eastAsia" w:ascii="宋体" w:hAnsi="宋体" w:cs="宋体"/>
          <w:color w:val="auto"/>
          <w:sz w:val="24"/>
          <w:highlight w:val="none"/>
          <w:lang w:eastAsia="zh-CN"/>
        </w:rPr>
        <w:t>；</w:t>
      </w:r>
    </w:p>
    <w:p w14:paraId="36CA55AA">
      <w:pPr>
        <w:keepNext w:val="0"/>
        <w:keepLines w:val="0"/>
        <w:pageBreakBefore w:val="0"/>
        <w:kinsoku/>
        <w:wordWrap/>
        <w:topLinePunct w:val="0"/>
        <w:bidi w:val="0"/>
        <w:snapToGrid/>
        <w:spacing w:line="336"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（二）不得将上述信息、资料用于本合同以外的其他目的</w:t>
      </w:r>
      <w:r>
        <w:rPr>
          <w:rFonts w:hint="eastAsia" w:ascii="宋体" w:hAnsi="宋体" w:cs="宋体"/>
          <w:color w:val="auto"/>
          <w:sz w:val="24"/>
          <w:highlight w:val="none"/>
          <w:lang w:eastAsia="zh-CN"/>
        </w:rPr>
        <w:t>；</w:t>
      </w:r>
    </w:p>
    <w:p w14:paraId="5B9233E9">
      <w:pPr>
        <w:keepNext w:val="0"/>
        <w:keepLines w:val="0"/>
        <w:pageBreakBefore w:val="0"/>
        <w:kinsoku/>
        <w:wordWrap/>
        <w:topLinePunct w:val="0"/>
        <w:bidi w:val="0"/>
        <w:snapToGrid/>
        <w:spacing w:line="336"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（三）在本合同终止或解除后或按甲方要求，及时将上述信息、资料返还甲方，或按甲方要求作适当处理</w:t>
      </w:r>
      <w:r>
        <w:rPr>
          <w:rFonts w:hint="eastAsia" w:ascii="宋体" w:hAnsi="宋体" w:cs="宋体"/>
          <w:color w:val="auto"/>
          <w:sz w:val="24"/>
          <w:highlight w:val="none"/>
          <w:lang w:eastAsia="zh-CN"/>
        </w:rPr>
        <w:t>；</w:t>
      </w:r>
    </w:p>
    <w:p w14:paraId="1E64EC9E">
      <w:pPr>
        <w:keepNext w:val="0"/>
        <w:keepLines w:val="0"/>
        <w:pageBreakBefore w:val="0"/>
        <w:kinsoku/>
        <w:wordWrap/>
        <w:topLinePunct w:val="0"/>
        <w:bidi w:val="0"/>
        <w:snapToGrid/>
        <w:spacing w:line="336"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（四）本合同项下的保密义务约定至相关信息、资料正式向社会公开之日或甲方书面解除乙方本合同项下保密义务之日起终止</w:t>
      </w:r>
      <w:r>
        <w:rPr>
          <w:rFonts w:hint="eastAsia" w:ascii="宋体" w:hAnsi="宋体" w:cs="宋体"/>
          <w:color w:val="auto"/>
          <w:sz w:val="24"/>
          <w:highlight w:val="none"/>
          <w:lang w:eastAsia="zh-CN"/>
        </w:rPr>
        <w:t>；</w:t>
      </w:r>
    </w:p>
    <w:p w14:paraId="28B1DF26">
      <w:pPr>
        <w:keepNext w:val="0"/>
        <w:keepLines w:val="0"/>
        <w:pageBreakBefore w:val="0"/>
        <w:kinsoku/>
        <w:wordWrap/>
        <w:topLinePunct w:val="0"/>
        <w:bidi w:val="0"/>
        <w:snapToGrid/>
        <w:spacing w:line="336"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（五）本条约定在本合同终止后仍然继续有效，且不受合同解除、终止或无效的影响。</w:t>
      </w:r>
    </w:p>
    <w:p w14:paraId="41E94006">
      <w:pPr>
        <w:pStyle w:val="6"/>
        <w:keepNext w:val="0"/>
        <w:keepLines w:val="0"/>
        <w:pageBreakBefore w:val="0"/>
        <w:kinsoku/>
        <w:wordWrap/>
        <w:topLinePunct w:val="0"/>
        <w:bidi w:val="0"/>
        <w:snapToGrid/>
        <w:spacing w:line="336" w:lineRule="auto"/>
        <w:ind w:left="0" w:leftChars="0" w:firstLine="0" w:firstLineChars="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w:t>
      </w:r>
      <w:r>
        <w:rPr>
          <w:rFonts w:hint="eastAsia" w:ascii="宋体" w:hAnsi="宋体" w:eastAsia="宋体" w:cs="宋体"/>
          <w:b/>
          <w:bCs/>
          <w:color w:val="auto"/>
          <w:sz w:val="24"/>
          <w:highlight w:val="none"/>
        </w:rPr>
        <w:t>、不可抗力</w:t>
      </w:r>
    </w:p>
    <w:p w14:paraId="647B97F2">
      <w:pPr>
        <w:pStyle w:val="6"/>
        <w:keepNext w:val="0"/>
        <w:keepLines w:val="0"/>
        <w:pageBreakBefore w:val="0"/>
        <w:kinsoku/>
        <w:wordWrap/>
        <w:topLinePunct w:val="0"/>
        <w:bidi w:val="0"/>
        <w:snapToGrid/>
        <w:spacing w:line="336"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4CEF8A7F">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30CCD65C">
      <w:pPr>
        <w:keepNext w:val="0"/>
        <w:keepLines w:val="0"/>
        <w:pageBreakBefore w:val="0"/>
        <w:kinsoku/>
        <w:wordWrap/>
        <w:topLinePunct w:val="0"/>
        <w:bidi w:val="0"/>
        <w:snapToGrid/>
        <w:spacing w:line="336"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一</w:t>
      </w:r>
      <w:r>
        <w:rPr>
          <w:rFonts w:hint="eastAsia" w:ascii="宋体" w:hAnsi="宋体" w:eastAsia="宋体" w:cs="宋体"/>
          <w:b/>
          <w:bCs/>
          <w:color w:val="auto"/>
          <w:sz w:val="24"/>
          <w:highlight w:val="none"/>
        </w:rPr>
        <w:t>、破产终止合同</w:t>
      </w:r>
    </w:p>
    <w:p w14:paraId="08217708">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当乙方破产或无供货（或提供服务）能力时，甲方可在任何时候以书面形式通知乙方单方解除合同；并且该终止合同不损害或不影响甲方已采取或将采取补救措施的权利。</w:t>
      </w:r>
    </w:p>
    <w:p w14:paraId="43CB621C">
      <w:pPr>
        <w:keepNext w:val="0"/>
        <w:keepLines w:val="0"/>
        <w:pageBreakBefore w:val="0"/>
        <w:kinsoku/>
        <w:wordWrap/>
        <w:topLinePunct w:val="0"/>
        <w:bidi w:val="0"/>
        <w:snapToGrid/>
        <w:spacing w:line="336"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二</w:t>
      </w:r>
      <w:r>
        <w:rPr>
          <w:rFonts w:hint="eastAsia" w:ascii="宋体" w:hAnsi="宋体" w:eastAsia="宋体" w:cs="宋体"/>
          <w:b/>
          <w:bCs/>
          <w:color w:val="auto"/>
          <w:sz w:val="24"/>
          <w:highlight w:val="none"/>
        </w:rPr>
        <w:t>、转让</w:t>
      </w:r>
    </w:p>
    <w:p w14:paraId="57FA07A0">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未经甲方事先书面同意，乙方不得部分转让或全部转让其应履行的合同义务。乙方擅自转让自身合同义务，甲方有权单方解除合同，并要求乙方赔偿因此产生的一切损失。</w:t>
      </w:r>
    </w:p>
    <w:p w14:paraId="531984E8">
      <w:pPr>
        <w:keepNext w:val="0"/>
        <w:keepLines w:val="0"/>
        <w:pageBreakBefore w:val="0"/>
        <w:kinsoku/>
        <w:wordWrap/>
        <w:topLinePunct w:val="0"/>
        <w:bidi w:val="0"/>
        <w:snapToGrid/>
        <w:spacing w:line="336" w:lineRule="auto"/>
        <w:textAlignment w:val="auto"/>
        <w:rPr>
          <w:rFonts w:hint="eastAsia" w:ascii="宋体" w:hAnsi="宋体" w:eastAsia="宋体" w:cs="宋体"/>
          <w:b/>
          <w:bCs/>
          <w:color w:val="auto"/>
          <w:sz w:val="24"/>
          <w:highlight w:val="none"/>
          <w:lang w:val="zh-CN"/>
        </w:rPr>
      </w:pPr>
      <w:r>
        <w:rPr>
          <w:rFonts w:hint="eastAsia" w:ascii="宋体" w:hAnsi="宋体" w:eastAsia="宋体" w:cs="宋体"/>
          <w:b/>
          <w:bCs/>
          <w:color w:val="auto"/>
          <w:sz w:val="24"/>
          <w:highlight w:val="none"/>
          <w:lang w:val="zh-CN"/>
        </w:rPr>
        <w:t>十</w:t>
      </w:r>
      <w:r>
        <w:rPr>
          <w:rFonts w:hint="eastAsia" w:ascii="宋体" w:hAnsi="宋体" w:eastAsia="宋体" w:cs="宋体"/>
          <w:b/>
          <w:bCs/>
          <w:color w:val="auto"/>
          <w:sz w:val="24"/>
          <w:highlight w:val="none"/>
          <w:lang w:val="en-US" w:eastAsia="zh-CN"/>
        </w:rPr>
        <w:t>三</w:t>
      </w:r>
      <w:r>
        <w:rPr>
          <w:rFonts w:hint="eastAsia" w:ascii="宋体" w:hAnsi="宋体" w:eastAsia="宋体" w:cs="宋体"/>
          <w:b/>
          <w:bCs/>
          <w:color w:val="auto"/>
          <w:sz w:val="24"/>
          <w:highlight w:val="none"/>
          <w:lang w:val="zh-CN"/>
        </w:rPr>
        <w:t>、违约责任</w:t>
      </w:r>
    </w:p>
    <w:p w14:paraId="5B7DACAD">
      <w:pPr>
        <w:pStyle w:val="5"/>
        <w:keepNext w:val="0"/>
        <w:keepLines w:val="0"/>
        <w:pageBreakBefore w:val="0"/>
        <w:widowControl w:val="0"/>
        <w:tabs>
          <w:tab w:val="left" w:pos="1134"/>
          <w:tab w:val="left" w:pos="1418"/>
        </w:tabs>
        <w:kinsoku/>
        <w:wordWrap/>
        <w:topLinePunct w:val="0"/>
        <w:bidi w:val="0"/>
        <w:adjustRightInd w:val="0"/>
        <w:snapToGrid/>
        <w:spacing w:line="336"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1.</w:t>
      </w:r>
      <w:r>
        <w:rPr>
          <w:rFonts w:hint="eastAsia" w:ascii="宋体" w:hAnsi="宋体" w:eastAsia="宋体" w:cs="宋体"/>
          <w:color w:val="auto"/>
          <w:highlight w:val="none"/>
          <w:lang w:eastAsia="zh-CN"/>
        </w:rPr>
        <w:t>依据《中华人民共和国民法典》《中华人民共和国政府采购法》的相关条款和本合同约定，乙方未全面履行合同义务或者发生违约，甲方有权终止合同，依法向乙方进行经济索赔，并报请政府采购监督管理机关进行相应的行政处罚。甲方违约的，应当赔偿给乙方造成的经济损失。</w:t>
      </w:r>
    </w:p>
    <w:p w14:paraId="24CF521B">
      <w:pPr>
        <w:pStyle w:val="5"/>
        <w:keepNext w:val="0"/>
        <w:keepLines w:val="0"/>
        <w:pageBreakBefore w:val="0"/>
        <w:widowControl w:val="0"/>
        <w:tabs>
          <w:tab w:val="left" w:pos="1134"/>
          <w:tab w:val="left" w:pos="1418"/>
        </w:tabs>
        <w:kinsoku/>
        <w:wordWrap/>
        <w:topLinePunct w:val="0"/>
        <w:bidi w:val="0"/>
        <w:adjustRightInd w:val="0"/>
        <w:snapToGrid/>
        <w:spacing w:line="336"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2.</w:t>
      </w:r>
      <w:r>
        <w:rPr>
          <w:rFonts w:hint="eastAsia" w:ascii="宋体" w:hAnsi="宋体" w:eastAsia="宋体" w:cs="宋体"/>
          <w:color w:val="auto"/>
          <w:highlight w:val="none"/>
          <w:lang w:eastAsia="zh-CN"/>
        </w:rPr>
        <w:t>乙方在接到甲方书面通知后未按照合同约定期限完成服务、出具报告的，每拖延一日乙方按合同总价的1%支付甲方违约金。甲方有权在未付价款中扣除违约金和损失赔偿金。乙方超出约定时间仍未履行的，甲方有权解除合同，合同价款不再支付，同时，乙方应按服务费总额的20%向甲方支付违约金，且乙方应当赔偿甲方因此造成的各项损失（包括但不限于诉讼费、律师费、保全费、保险费、公证费、鉴定费等各项费用）。</w:t>
      </w:r>
    </w:p>
    <w:p w14:paraId="1198D5DF">
      <w:pPr>
        <w:pStyle w:val="5"/>
        <w:keepNext w:val="0"/>
        <w:keepLines w:val="0"/>
        <w:pageBreakBefore w:val="0"/>
        <w:widowControl w:val="0"/>
        <w:tabs>
          <w:tab w:val="left" w:pos="1134"/>
          <w:tab w:val="left" w:pos="1418"/>
        </w:tabs>
        <w:kinsoku/>
        <w:wordWrap/>
        <w:topLinePunct w:val="0"/>
        <w:bidi w:val="0"/>
        <w:adjustRightInd w:val="0"/>
        <w:snapToGrid/>
        <w:spacing w:line="336"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3.</w:t>
      </w:r>
      <w:r>
        <w:rPr>
          <w:rFonts w:hint="eastAsia" w:ascii="宋体" w:hAnsi="宋体" w:eastAsia="宋体" w:cs="宋体"/>
          <w:color w:val="auto"/>
          <w:highlight w:val="none"/>
          <w:lang w:eastAsia="zh-CN"/>
        </w:rPr>
        <w:t>乙方违反合同其他约定义务，经甲方催告拒不整改的，甲方有权解除合同，合同价款不再支付，同时，乙方应按服务费总额的20%向甲方支付违约金，且乙方应当赔偿甲方因此造成的各项损失（包括但不限于诉讼费、律师费、保全费、保险费、公证费、鉴定费等各项费用）。</w:t>
      </w:r>
    </w:p>
    <w:p w14:paraId="12AA73DD">
      <w:pPr>
        <w:pStyle w:val="5"/>
        <w:keepNext w:val="0"/>
        <w:keepLines w:val="0"/>
        <w:pageBreakBefore w:val="0"/>
        <w:widowControl w:val="0"/>
        <w:tabs>
          <w:tab w:val="left" w:pos="1134"/>
          <w:tab w:val="left" w:pos="1418"/>
        </w:tabs>
        <w:kinsoku/>
        <w:wordWrap/>
        <w:topLinePunct w:val="0"/>
        <w:bidi w:val="0"/>
        <w:adjustRightInd w:val="0"/>
        <w:snapToGrid/>
        <w:spacing w:line="336"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4.</w:t>
      </w:r>
      <w:r>
        <w:rPr>
          <w:rFonts w:hint="eastAsia" w:ascii="宋体" w:hAnsi="宋体" w:eastAsia="宋体" w:cs="宋体"/>
          <w:color w:val="auto"/>
          <w:highlight w:val="none"/>
          <w:lang w:eastAsia="zh-CN"/>
        </w:rPr>
        <w:t>乙方在组织开展验收评定工作中，违规向项目单位索取额外费用的，甲方有权终止合同，并要求乙方赔偿损失，由此造成的后果由乙方自行承担。</w:t>
      </w:r>
    </w:p>
    <w:p w14:paraId="18777FA4">
      <w:pPr>
        <w:keepNext w:val="0"/>
        <w:keepLines w:val="0"/>
        <w:pageBreakBefore w:val="0"/>
        <w:kinsoku/>
        <w:wordWrap/>
        <w:topLinePunct w:val="0"/>
        <w:bidi w:val="0"/>
        <w:snapToGrid/>
        <w:spacing w:line="336"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四</w:t>
      </w:r>
      <w:r>
        <w:rPr>
          <w:rFonts w:hint="eastAsia" w:ascii="宋体" w:hAnsi="宋体" w:eastAsia="宋体" w:cs="宋体"/>
          <w:b/>
          <w:bCs/>
          <w:color w:val="auto"/>
          <w:sz w:val="24"/>
          <w:highlight w:val="none"/>
        </w:rPr>
        <w:t>、合同争议和解决办法</w:t>
      </w:r>
    </w:p>
    <w:p w14:paraId="5CDFA481">
      <w:pPr>
        <w:keepNext w:val="0"/>
        <w:keepLines w:val="0"/>
        <w:pageBreakBefore w:val="0"/>
        <w:kinsoku/>
        <w:wordWrap/>
        <w:topLinePunct w:val="0"/>
        <w:bidi w:val="0"/>
        <w:snapToGrid/>
        <w:spacing w:line="336"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bCs/>
          <w:color w:val="auto"/>
          <w:sz w:val="24"/>
          <w:highlight w:val="none"/>
        </w:rPr>
        <w:t>因本合同产生纠纷，如协商无法解决，双方均有权向有管辖权的人民法院提起诉讼。</w:t>
      </w:r>
    </w:p>
    <w:p w14:paraId="1858A4D7">
      <w:pPr>
        <w:keepNext w:val="0"/>
        <w:keepLines w:val="0"/>
        <w:pageBreakBefore w:val="0"/>
        <w:kinsoku/>
        <w:wordWrap/>
        <w:topLinePunct w:val="0"/>
        <w:autoSpaceDE w:val="0"/>
        <w:autoSpaceDN w:val="0"/>
        <w:bidi w:val="0"/>
        <w:adjustRightInd w:val="0"/>
        <w:spacing w:line="336" w:lineRule="auto"/>
        <w:textAlignment w:val="auto"/>
        <w:rPr>
          <w:rFonts w:ascii="宋体"/>
          <w:b/>
          <w:bCs/>
          <w:sz w:val="24"/>
          <w:highlight w:val="none"/>
        </w:rPr>
      </w:pPr>
      <w:r>
        <w:rPr>
          <w:rFonts w:hint="eastAsia" w:ascii="宋体" w:hAnsi="宋体" w:cs="宋体"/>
          <w:b/>
          <w:bCs/>
          <w:sz w:val="24"/>
          <w:highlight w:val="none"/>
        </w:rPr>
        <w:t>十</w:t>
      </w:r>
      <w:r>
        <w:rPr>
          <w:rFonts w:hint="eastAsia" w:ascii="宋体" w:hAnsi="宋体" w:cs="宋体"/>
          <w:b/>
          <w:bCs/>
          <w:sz w:val="24"/>
          <w:highlight w:val="none"/>
          <w:lang w:eastAsia="zh-CN"/>
        </w:rPr>
        <w:t>五</w:t>
      </w:r>
      <w:r>
        <w:rPr>
          <w:rFonts w:hint="eastAsia" w:ascii="宋体" w:hAnsi="宋体" w:cs="宋体"/>
          <w:b/>
          <w:bCs/>
          <w:sz w:val="24"/>
          <w:highlight w:val="none"/>
        </w:rPr>
        <w:t>、合同生效</w:t>
      </w:r>
    </w:p>
    <w:p w14:paraId="3B33E859">
      <w:pPr>
        <w:keepNext w:val="0"/>
        <w:keepLines w:val="0"/>
        <w:pageBreakBefore w:val="0"/>
        <w:widowControl w:val="0"/>
        <w:kinsoku/>
        <w:wordWrap/>
        <w:overflowPunct/>
        <w:topLinePunct w:val="0"/>
        <w:bidi w:val="0"/>
        <w:adjustRightInd/>
        <w:spacing w:line="336" w:lineRule="auto"/>
        <w:ind w:firstLine="480" w:firstLineChars="200"/>
        <w:textAlignment w:val="auto"/>
        <w:rPr>
          <w:rFonts w:hint="eastAsia" w:ascii="宋体" w:hAnsi="宋体" w:cs="宋体"/>
          <w:sz w:val="24"/>
          <w:highlight w:val="none"/>
          <w:lang w:val="en-US" w:eastAsia="zh-CN"/>
        </w:rPr>
      </w:pPr>
      <w:r>
        <w:rPr>
          <w:rFonts w:hint="eastAsia" w:ascii="宋体" w:hAnsi="宋体" w:cs="宋体"/>
          <w:sz w:val="24"/>
          <w:highlight w:val="none"/>
          <w:lang w:val="en-US" w:eastAsia="zh-CN"/>
        </w:rPr>
        <w:t>1.政府采购合同履行中，甲方需追加与合同标的相同的货物、工程或者服务的，在不改变合同其他条款的前提下，可以与乙方协商签订补充合同，但所有补充合同的采购金额不得超过原合同采购金额的10%。</w:t>
      </w:r>
    </w:p>
    <w:p w14:paraId="240762BE">
      <w:pPr>
        <w:keepNext w:val="0"/>
        <w:keepLines w:val="0"/>
        <w:pageBreakBefore w:val="0"/>
        <w:widowControl w:val="0"/>
        <w:kinsoku/>
        <w:wordWrap/>
        <w:overflowPunct/>
        <w:topLinePunct w:val="0"/>
        <w:bidi w:val="0"/>
        <w:adjustRightInd/>
        <w:spacing w:line="336" w:lineRule="auto"/>
        <w:ind w:firstLine="480" w:firstLineChars="200"/>
        <w:textAlignment w:val="auto"/>
        <w:rPr>
          <w:rFonts w:hint="eastAsia" w:ascii="宋体" w:hAnsi="宋体" w:cs="宋体"/>
          <w:sz w:val="24"/>
          <w:highlight w:val="none"/>
        </w:rPr>
      </w:pPr>
      <w:r>
        <w:rPr>
          <w:rFonts w:hint="eastAsia" w:ascii="宋体" w:hAnsi="宋体" w:cs="宋体"/>
          <w:sz w:val="24"/>
          <w:highlight w:val="none"/>
          <w:lang w:val="en-US" w:eastAsia="zh-CN"/>
        </w:rPr>
        <w:t>2.</w:t>
      </w:r>
      <w:r>
        <w:rPr>
          <w:rFonts w:hint="eastAsia" w:ascii="宋体" w:hAnsi="宋体" w:cs="宋体"/>
          <w:sz w:val="24"/>
          <w:highlight w:val="none"/>
        </w:rPr>
        <w:t>本合同须经甲、乙双方的法定代表人（委托代理人）在合同书上签字并加盖本单位公章后正式生效。</w:t>
      </w:r>
    </w:p>
    <w:p w14:paraId="12587030">
      <w:pPr>
        <w:keepNext w:val="0"/>
        <w:keepLines w:val="0"/>
        <w:pageBreakBefore w:val="0"/>
        <w:widowControl w:val="0"/>
        <w:kinsoku/>
        <w:wordWrap/>
        <w:overflowPunct/>
        <w:topLinePunct w:val="0"/>
        <w:autoSpaceDE w:val="0"/>
        <w:autoSpaceDN w:val="0"/>
        <w:bidi w:val="0"/>
        <w:adjustRightInd/>
        <w:spacing w:line="336" w:lineRule="auto"/>
        <w:ind w:firstLine="480" w:firstLineChars="200"/>
        <w:textAlignment w:val="auto"/>
        <w:rPr>
          <w:rFonts w:ascii="宋体"/>
          <w:sz w:val="24"/>
          <w:highlight w:val="none"/>
        </w:rPr>
      </w:pPr>
      <w:r>
        <w:rPr>
          <w:rFonts w:hint="eastAsia" w:ascii="宋体" w:hAnsi="宋体" w:cs="宋体"/>
          <w:sz w:val="24"/>
          <w:highlight w:val="none"/>
          <w:lang w:val="en-US" w:eastAsia="zh-CN"/>
        </w:rPr>
        <w:t>3.</w:t>
      </w:r>
      <w:r>
        <w:rPr>
          <w:rFonts w:hint="eastAsia" w:ascii="宋体" w:hAnsi="宋体" w:cs="宋体"/>
          <w:sz w:val="24"/>
          <w:highlight w:val="none"/>
        </w:rPr>
        <w:t>合同生效后，甲、乙双方须严格执行本合同条款的规定，全面履行合同，违者按《中华人民共和国民法典》的有关规定承担相应责任。</w:t>
      </w:r>
    </w:p>
    <w:p w14:paraId="52E63238">
      <w:pPr>
        <w:keepNext w:val="0"/>
        <w:keepLines w:val="0"/>
        <w:pageBreakBefore w:val="0"/>
        <w:widowControl w:val="0"/>
        <w:kinsoku/>
        <w:wordWrap/>
        <w:overflowPunct/>
        <w:topLinePunct w:val="0"/>
        <w:autoSpaceDE w:val="0"/>
        <w:autoSpaceDN w:val="0"/>
        <w:bidi w:val="0"/>
        <w:adjustRightInd/>
        <w:spacing w:line="336" w:lineRule="auto"/>
        <w:ind w:firstLine="480" w:firstLineChars="200"/>
        <w:textAlignment w:val="auto"/>
        <w:rPr>
          <w:rFonts w:ascii="宋体"/>
          <w:sz w:val="24"/>
          <w:highlight w:val="none"/>
        </w:rPr>
      </w:pPr>
      <w:r>
        <w:rPr>
          <w:rFonts w:hint="eastAsia" w:ascii="宋体" w:hAnsi="宋体" w:cs="宋体"/>
          <w:sz w:val="24"/>
          <w:highlight w:val="none"/>
          <w:lang w:val="en-US" w:eastAsia="zh-CN"/>
        </w:rPr>
        <w:t>4.</w:t>
      </w:r>
      <w:r>
        <w:rPr>
          <w:rFonts w:hint="eastAsia" w:ascii="宋体" w:hAnsi="宋体" w:cs="宋体"/>
          <w:sz w:val="24"/>
          <w:highlight w:val="none"/>
        </w:rPr>
        <w:t>本合同一式</w:t>
      </w:r>
      <w:r>
        <w:rPr>
          <w:rFonts w:hint="eastAsia" w:ascii="宋体" w:hAnsi="宋体" w:cs="宋体"/>
          <w:sz w:val="24"/>
          <w:highlight w:val="none"/>
          <w:u w:val="single"/>
        </w:rPr>
        <w:t xml:space="preserve">   </w:t>
      </w:r>
      <w:r>
        <w:rPr>
          <w:rFonts w:hint="eastAsia" w:ascii="宋体" w:hAnsi="宋体" w:cs="宋体"/>
          <w:sz w:val="24"/>
          <w:highlight w:val="none"/>
        </w:rPr>
        <w:t>份，甲乙双方各执</w:t>
      </w:r>
      <w:r>
        <w:rPr>
          <w:rFonts w:hint="eastAsia" w:ascii="宋体" w:hAnsi="宋体" w:cs="宋体"/>
          <w:sz w:val="24"/>
          <w:highlight w:val="none"/>
          <w:u w:val="single"/>
        </w:rPr>
        <w:t xml:space="preserve">   </w:t>
      </w:r>
      <w:r>
        <w:rPr>
          <w:rFonts w:hint="eastAsia" w:ascii="宋体" w:hAnsi="宋体" w:cs="宋体"/>
          <w:sz w:val="24"/>
          <w:highlight w:val="none"/>
        </w:rPr>
        <w:t>份。</w:t>
      </w:r>
    </w:p>
    <w:p w14:paraId="14198EA1">
      <w:pPr>
        <w:keepNext w:val="0"/>
        <w:keepLines w:val="0"/>
        <w:pageBreakBefore w:val="0"/>
        <w:widowControl w:val="0"/>
        <w:kinsoku/>
        <w:wordWrap/>
        <w:overflowPunct/>
        <w:topLinePunct w:val="0"/>
        <w:bidi w:val="0"/>
        <w:adjustRightInd/>
        <w:snapToGrid w:val="0"/>
        <w:spacing w:line="336" w:lineRule="auto"/>
        <w:ind w:firstLine="480" w:firstLineChars="200"/>
        <w:textAlignment w:val="auto"/>
        <w:rPr>
          <w:rFonts w:hint="eastAsia" w:ascii="宋体" w:hAnsi="宋体" w:cs="宋体"/>
          <w:b/>
          <w:bCs/>
          <w:color w:val="000000"/>
          <w:sz w:val="36"/>
          <w:szCs w:val="36"/>
          <w:highlight w:val="none"/>
        </w:rPr>
      </w:pPr>
      <w:r>
        <w:rPr>
          <w:rFonts w:hint="eastAsia" w:ascii="宋体" w:hAnsi="宋体" w:cs="宋体"/>
          <w:sz w:val="24"/>
          <w:highlight w:val="none"/>
          <w:lang w:val="en-US" w:eastAsia="zh-CN"/>
        </w:rPr>
        <w:t>5.</w:t>
      </w:r>
      <w:r>
        <w:rPr>
          <w:rFonts w:hint="eastAsia" w:ascii="宋体" w:hAnsi="宋体" w:cs="宋体"/>
          <w:sz w:val="24"/>
          <w:highlight w:val="none"/>
        </w:rPr>
        <w:t>本合同如有未尽事宜，甲、乙双方协商解决。</w:t>
      </w:r>
    </w:p>
    <w:tbl>
      <w:tblPr>
        <w:tblStyle w:val="3"/>
        <w:tblpPr w:leftFromText="180" w:rightFromText="180" w:vertAnchor="text" w:horzAnchor="page" w:tblpX="1937" w:tblpY="99"/>
        <w:tblOverlap w:val="never"/>
        <w:tblW w:w="8403" w:type="dxa"/>
        <w:tblInd w:w="0" w:type="dxa"/>
        <w:tblLayout w:type="fixed"/>
        <w:tblCellMar>
          <w:top w:w="0" w:type="dxa"/>
          <w:left w:w="108" w:type="dxa"/>
          <w:bottom w:w="0" w:type="dxa"/>
          <w:right w:w="108" w:type="dxa"/>
        </w:tblCellMar>
      </w:tblPr>
      <w:tblGrid>
        <w:gridCol w:w="4201"/>
        <w:gridCol w:w="4202"/>
      </w:tblGrid>
      <w:tr w14:paraId="57B8DCB3">
        <w:tblPrEx>
          <w:tblCellMar>
            <w:top w:w="0" w:type="dxa"/>
            <w:left w:w="108" w:type="dxa"/>
            <w:bottom w:w="0" w:type="dxa"/>
            <w:right w:w="108" w:type="dxa"/>
          </w:tblCellMar>
        </w:tblPrEx>
        <w:trPr>
          <w:trHeight w:val="454" w:hRule="atLeast"/>
        </w:trPr>
        <w:tc>
          <w:tcPr>
            <w:tcW w:w="4201" w:type="dxa"/>
            <w:vAlign w:val="center"/>
          </w:tcPr>
          <w:p w14:paraId="56352F1F">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甲</w:t>
            </w:r>
            <w:r>
              <w:rPr>
                <w:rFonts w:ascii="宋体" w:hAnsi="宋体" w:cs="宋体"/>
                <w:sz w:val="24"/>
                <w:highlight w:val="none"/>
              </w:rPr>
              <w:t xml:space="preserve">  </w:t>
            </w:r>
            <w:r>
              <w:rPr>
                <w:rFonts w:hint="eastAsia" w:ascii="宋体" w:hAnsi="宋体" w:cs="宋体"/>
                <w:sz w:val="24"/>
                <w:highlight w:val="none"/>
              </w:rPr>
              <w:t>方</w:t>
            </w:r>
          </w:p>
        </w:tc>
        <w:tc>
          <w:tcPr>
            <w:tcW w:w="4202" w:type="dxa"/>
            <w:vAlign w:val="center"/>
          </w:tcPr>
          <w:p w14:paraId="27D62A4A">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乙</w:t>
            </w:r>
            <w:r>
              <w:rPr>
                <w:rFonts w:ascii="宋体" w:hAnsi="宋体" w:cs="宋体"/>
                <w:sz w:val="24"/>
                <w:highlight w:val="none"/>
              </w:rPr>
              <w:t xml:space="preserve">  </w:t>
            </w:r>
            <w:r>
              <w:rPr>
                <w:rFonts w:hint="eastAsia" w:ascii="宋体" w:hAnsi="宋体" w:cs="宋体"/>
                <w:sz w:val="24"/>
                <w:highlight w:val="none"/>
              </w:rPr>
              <w:t>方</w:t>
            </w:r>
          </w:p>
        </w:tc>
      </w:tr>
      <w:tr w14:paraId="445E79D0">
        <w:tblPrEx>
          <w:tblCellMar>
            <w:top w:w="0" w:type="dxa"/>
            <w:left w:w="108" w:type="dxa"/>
            <w:bottom w:w="0" w:type="dxa"/>
            <w:right w:w="108" w:type="dxa"/>
          </w:tblCellMar>
        </w:tblPrEx>
        <w:trPr>
          <w:trHeight w:val="454" w:hRule="atLeast"/>
        </w:trPr>
        <w:tc>
          <w:tcPr>
            <w:tcW w:w="4201" w:type="dxa"/>
            <w:vAlign w:val="center"/>
          </w:tcPr>
          <w:p w14:paraId="1ECE1530">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（盖章）</w:t>
            </w:r>
          </w:p>
        </w:tc>
        <w:tc>
          <w:tcPr>
            <w:tcW w:w="4202" w:type="dxa"/>
            <w:vAlign w:val="center"/>
          </w:tcPr>
          <w:p w14:paraId="52F9C966">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（盖章）</w:t>
            </w:r>
          </w:p>
        </w:tc>
      </w:tr>
      <w:tr w14:paraId="4C9F99B3">
        <w:tblPrEx>
          <w:tblCellMar>
            <w:top w:w="0" w:type="dxa"/>
            <w:left w:w="108" w:type="dxa"/>
            <w:bottom w:w="0" w:type="dxa"/>
            <w:right w:w="108" w:type="dxa"/>
          </w:tblCellMar>
        </w:tblPrEx>
        <w:trPr>
          <w:trHeight w:val="454" w:hRule="atLeast"/>
        </w:trPr>
        <w:tc>
          <w:tcPr>
            <w:tcW w:w="4201" w:type="dxa"/>
            <w:vAlign w:val="center"/>
          </w:tcPr>
          <w:p w14:paraId="03FCE023">
            <w:pPr>
              <w:keepNext w:val="0"/>
              <w:keepLines w:val="0"/>
              <w:pageBreakBefore w:val="0"/>
              <w:kinsoku/>
              <w:wordWrap/>
              <w:topLinePunct w:val="0"/>
              <w:bidi w:val="0"/>
              <w:spacing w:line="336" w:lineRule="auto"/>
              <w:ind w:firstLine="480" w:firstLineChars="200"/>
              <w:textAlignment w:val="auto"/>
              <w:rPr>
                <w:rFonts w:ascii="宋体" w:hAnsi="宋体" w:cs="宋体"/>
                <w:sz w:val="24"/>
                <w:highlight w:val="none"/>
              </w:rPr>
            </w:pPr>
            <w:r>
              <w:rPr>
                <w:rFonts w:hint="eastAsia" w:ascii="宋体" w:hAnsi="宋体" w:cs="宋体"/>
                <w:sz w:val="24"/>
                <w:highlight w:val="none"/>
              </w:rPr>
              <w:t>地址：</w:t>
            </w:r>
            <w:r>
              <w:rPr>
                <w:rFonts w:ascii="宋体" w:hAnsi="宋体" w:cs="宋体"/>
                <w:sz w:val="24"/>
                <w:highlight w:val="none"/>
              </w:rPr>
              <w:t xml:space="preserve"> </w:t>
            </w:r>
          </w:p>
        </w:tc>
        <w:tc>
          <w:tcPr>
            <w:tcW w:w="4202" w:type="dxa"/>
            <w:vAlign w:val="center"/>
          </w:tcPr>
          <w:p w14:paraId="4E5C1280">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地址：</w:t>
            </w:r>
          </w:p>
        </w:tc>
      </w:tr>
      <w:tr w14:paraId="739699A9">
        <w:tblPrEx>
          <w:tblCellMar>
            <w:top w:w="0" w:type="dxa"/>
            <w:left w:w="108" w:type="dxa"/>
            <w:bottom w:w="0" w:type="dxa"/>
            <w:right w:w="108" w:type="dxa"/>
          </w:tblCellMar>
        </w:tblPrEx>
        <w:trPr>
          <w:trHeight w:val="454" w:hRule="atLeast"/>
        </w:trPr>
        <w:tc>
          <w:tcPr>
            <w:tcW w:w="4201" w:type="dxa"/>
            <w:vAlign w:val="center"/>
          </w:tcPr>
          <w:p w14:paraId="4D962C5A">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邮编：</w:t>
            </w:r>
          </w:p>
        </w:tc>
        <w:tc>
          <w:tcPr>
            <w:tcW w:w="4202" w:type="dxa"/>
            <w:vAlign w:val="center"/>
          </w:tcPr>
          <w:p w14:paraId="69FA3286">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邮编：</w:t>
            </w:r>
          </w:p>
        </w:tc>
      </w:tr>
      <w:tr w14:paraId="2B6A9C50">
        <w:tblPrEx>
          <w:tblCellMar>
            <w:top w:w="0" w:type="dxa"/>
            <w:left w:w="108" w:type="dxa"/>
            <w:bottom w:w="0" w:type="dxa"/>
            <w:right w:w="108" w:type="dxa"/>
          </w:tblCellMar>
        </w:tblPrEx>
        <w:trPr>
          <w:trHeight w:val="454" w:hRule="atLeast"/>
        </w:trPr>
        <w:tc>
          <w:tcPr>
            <w:tcW w:w="4201" w:type="dxa"/>
            <w:vAlign w:val="center"/>
          </w:tcPr>
          <w:p w14:paraId="4CB8305C">
            <w:pPr>
              <w:keepNext w:val="0"/>
              <w:keepLines w:val="0"/>
              <w:pageBreakBefore w:val="0"/>
              <w:kinsoku/>
              <w:wordWrap/>
              <w:topLinePunct w:val="0"/>
              <w:bidi w:val="0"/>
              <w:spacing w:line="336" w:lineRule="auto"/>
              <w:ind w:firstLine="480" w:firstLineChars="200"/>
              <w:textAlignment w:val="auto"/>
              <w:rPr>
                <w:rFonts w:ascii="宋体" w:hAnsi="宋体" w:cs="宋体"/>
                <w:sz w:val="24"/>
                <w:highlight w:val="none"/>
              </w:rPr>
            </w:pPr>
            <w:r>
              <w:rPr>
                <w:rFonts w:hint="eastAsia" w:ascii="宋体" w:hAnsi="宋体" w:cs="宋体"/>
                <w:sz w:val="24"/>
                <w:highlight w:val="none"/>
              </w:rPr>
              <w:t>法定代表人：</w:t>
            </w:r>
            <w:r>
              <w:rPr>
                <w:rFonts w:ascii="宋体" w:hAnsi="宋体" w:cs="宋体"/>
                <w:sz w:val="24"/>
                <w:highlight w:val="none"/>
              </w:rPr>
              <w:t xml:space="preserve"> </w:t>
            </w:r>
          </w:p>
        </w:tc>
        <w:tc>
          <w:tcPr>
            <w:tcW w:w="4202" w:type="dxa"/>
            <w:vAlign w:val="center"/>
          </w:tcPr>
          <w:p w14:paraId="6E244695">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法定代表人：</w:t>
            </w:r>
          </w:p>
        </w:tc>
      </w:tr>
      <w:tr w14:paraId="46A0F9AA">
        <w:tblPrEx>
          <w:tblCellMar>
            <w:top w:w="0" w:type="dxa"/>
            <w:left w:w="108" w:type="dxa"/>
            <w:bottom w:w="0" w:type="dxa"/>
            <w:right w:w="108" w:type="dxa"/>
          </w:tblCellMar>
        </w:tblPrEx>
        <w:trPr>
          <w:trHeight w:val="454" w:hRule="atLeast"/>
        </w:trPr>
        <w:tc>
          <w:tcPr>
            <w:tcW w:w="4201" w:type="dxa"/>
            <w:vAlign w:val="center"/>
          </w:tcPr>
          <w:p w14:paraId="3F398C93">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委托代理人：</w:t>
            </w:r>
          </w:p>
        </w:tc>
        <w:tc>
          <w:tcPr>
            <w:tcW w:w="4202" w:type="dxa"/>
            <w:vAlign w:val="center"/>
          </w:tcPr>
          <w:p w14:paraId="2B4958B2">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委托代理人：</w:t>
            </w:r>
          </w:p>
        </w:tc>
      </w:tr>
      <w:tr w14:paraId="3D533573">
        <w:tblPrEx>
          <w:tblCellMar>
            <w:top w:w="0" w:type="dxa"/>
            <w:left w:w="108" w:type="dxa"/>
            <w:bottom w:w="0" w:type="dxa"/>
            <w:right w:w="108" w:type="dxa"/>
          </w:tblCellMar>
        </w:tblPrEx>
        <w:trPr>
          <w:trHeight w:val="454" w:hRule="atLeast"/>
        </w:trPr>
        <w:tc>
          <w:tcPr>
            <w:tcW w:w="4201" w:type="dxa"/>
            <w:vAlign w:val="center"/>
          </w:tcPr>
          <w:p w14:paraId="6F37AF30">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电话：</w:t>
            </w:r>
          </w:p>
        </w:tc>
        <w:tc>
          <w:tcPr>
            <w:tcW w:w="4202" w:type="dxa"/>
            <w:vAlign w:val="center"/>
          </w:tcPr>
          <w:p w14:paraId="4E2D715D">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电话：</w:t>
            </w:r>
          </w:p>
        </w:tc>
      </w:tr>
      <w:tr w14:paraId="28A7E161">
        <w:tblPrEx>
          <w:tblCellMar>
            <w:top w:w="0" w:type="dxa"/>
            <w:left w:w="108" w:type="dxa"/>
            <w:bottom w:w="0" w:type="dxa"/>
            <w:right w:w="108" w:type="dxa"/>
          </w:tblCellMar>
        </w:tblPrEx>
        <w:trPr>
          <w:trHeight w:val="454" w:hRule="atLeast"/>
        </w:trPr>
        <w:tc>
          <w:tcPr>
            <w:tcW w:w="4201" w:type="dxa"/>
            <w:vAlign w:val="center"/>
          </w:tcPr>
          <w:p w14:paraId="00C2DF55">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传真：</w:t>
            </w:r>
          </w:p>
        </w:tc>
        <w:tc>
          <w:tcPr>
            <w:tcW w:w="4202" w:type="dxa"/>
            <w:vAlign w:val="center"/>
          </w:tcPr>
          <w:p w14:paraId="1900E5C8">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传真：</w:t>
            </w:r>
          </w:p>
        </w:tc>
      </w:tr>
      <w:tr w14:paraId="214EBCBC">
        <w:tblPrEx>
          <w:tblCellMar>
            <w:top w:w="0" w:type="dxa"/>
            <w:left w:w="108" w:type="dxa"/>
            <w:bottom w:w="0" w:type="dxa"/>
            <w:right w:w="108" w:type="dxa"/>
          </w:tblCellMar>
        </w:tblPrEx>
        <w:trPr>
          <w:trHeight w:val="454" w:hRule="atLeast"/>
        </w:trPr>
        <w:tc>
          <w:tcPr>
            <w:tcW w:w="4201" w:type="dxa"/>
            <w:vAlign w:val="center"/>
          </w:tcPr>
          <w:p w14:paraId="0135C6D7">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开户银行：</w:t>
            </w:r>
          </w:p>
        </w:tc>
        <w:tc>
          <w:tcPr>
            <w:tcW w:w="4202" w:type="dxa"/>
            <w:vAlign w:val="center"/>
          </w:tcPr>
          <w:p w14:paraId="031E0955">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开户银行：</w:t>
            </w:r>
          </w:p>
        </w:tc>
      </w:tr>
      <w:tr w14:paraId="5BEEC20A">
        <w:tblPrEx>
          <w:tblCellMar>
            <w:top w:w="0" w:type="dxa"/>
            <w:left w:w="108" w:type="dxa"/>
            <w:bottom w:w="0" w:type="dxa"/>
            <w:right w:w="108" w:type="dxa"/>
          </w:tblCellMar>
        </w:tblPrEx>
        <w:trPr>
          <w:trHeight w:val="454" w:hRule="atLeast"/>
        </w:trPr>
        <w:tc>
          <w:tcPr>
            <w:tcW w:w="4201" w:type="dxa"/>
            <w:vAlign w:val="center"/>
          </w:tcPr>
          <w:p w14:paraId="10095FC1">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日期：</w:t>
            </w:r>
          </w:p>
        </w:tc>
        <w:tc>
          <w:tcPr>
            <w:tcW w:w="4202" w:type="dxa"/>
            <w:vAlign w:val="center"/>
          </w:tcPr>
          <w:p w14:paraId="472842EA">
            <w:pPr>
              <w:keepNext w:val="0"/>
              <w:keepLines w:val="0"/>
              <w:pageBreakBefore w:val="0"/>
              <w:kinsoku/>
              <w:wordWrap/>
              <w:topLinePunct w:val="0"/>
              <w:bidi w:val="0"/>
              <w:spacing w:line="336" w:lineRule="auto"/>
              <w:ind w:firstLine="480" w:firstLineChars="200"/>
              <w:textAlignment w:val="auto"/>
              <w:rPr>
                <w:rFonts w:ascii="宋体"/>
                <w:sz w:val="24"/>
                <w:highlight w:val="none"/>
              </w:rPr>
            </w:pPr>
            <w:r>
              <w:rPr>
                <w:rFonts w:hint="eastAsia" w:ascii="宋体" w:hAnsi="宋体" w:cs="宋体"/>
                <w:sz w:val="24"/>
                <w:highlight w:val="none"/>
              </w:rPr>
              <w:t>日期：</w:t>
            </w:r>
          </w:p>
        </w:tc>
      </w:tr>
    </w:tbl>
    <w:p w14:paraId="74833F3E">
      <w:pPr>
        <w:rPr>
          <w:b/>
          <w:bCs/>
        </w:rPr>
      </w:pPr>
    </w:p>
    <w:sectPr>
      <w:pgSz w:w="11906" w:h="16838"/>
      <w:pgMar w:top="1440" w:right="1123" w:bottom="1440" w:left="112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2440C1"/>
    <w:rsid w:val="63244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styleId="5">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 w:type="paragraph" w:customStyle="1" w:styleId="6">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2025-10-30T03:31:00Z</dcterms:created>
  <dc:creator>YIN</dc:creator>
  <cp:lastModifiedBy>YIN</cp:lastModifiedBy>
  <dcterms:modified xsi:type="dcterms:W3CDTF">2025-10-30T03:31:49Z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4C06A03AE4634AA5A9E0E6966F04375C_11</vt:lpwstr>
  </property>
  <property fmtid="{D5CDD505-2E9C-101B-9397-08002B2CF9AE}" pid="4" name="KSOTemplateDocerSaveRecord">
    <vt:lpwstr>eyJoZGlkIjoiMjA4OWRlZGM1ODAwNDJhMTNmNjUzY2IwODY1ZTNjNjIiLCJ1c2VySWQiOiIyODQ1NzA0OTAifQ==</vt:lpwstr>
  </property>
</Properties>
</file>