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版本号：ZBZB-2025-2741.1B120251104002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遥感图像解译AI大模型适配的高性能计算机货物类项目(二次)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ZBZB-2025-2741.1B1</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遥感图像解译AI大模型适配的高性能计算机货物类项目(二次)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ZBZB-2025-2741.1B1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遥感图像解译AI大模型适配的高性能计算机货物类项目(二次)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遥感图像解译AI大模型适配的高性能计算机货物类项目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并进行电子签章。</w:t>
      </w:r>
    </w:p>
    <w:p>
      <w:pPr>
        <w:pStyle w:val="null3"/>
      </w:pPr>
      <w:r>
        <w:rPr>
          <w:rFonts w:ascii="仿宋_GB2312" w:hAnsi="仿宋_GB2312" w:cs="仿宋_GB2312" w:eastAsia="仿宋_GB2312"/>
        </w:rPr>
        <w:t>2、法定代表人（负责人）授权委托书身份证明/法定代表人（负责人）授权委托书：法定代表人授权书（附法定代表人身份证复印件）及被授权人身份证复印件（法定代表人直接参加投标只需提供法定代表人身份证复印件加盖公章）；</w:t>
      </w:r>
    </w:p>
    <w:p>
      <w:pPr>
        <w:pStyle w:val="null3"/>
      </w:pPr>
      <w:r>
        <w:rPr>
          <w:rFonts w:ascii="仿宋_GB2312" w:hAnsi="仿宋_GB2312" w:cs="仿宋_GB2312" w:eastAsia="仿宋_GB2312"/>
        </w:rPr>
        <w:t>3、财务状况报告：提供2023年度或2024年度经审计的完整的财务审计报告(成立时间至提交投标文件截止时间不足一年的可提供成立后任意时段的资产负债表)，或开标前半年内其基本存款账户开户银行出具的资信证明；并进行电子签章。</w:t>
      </w:r>
    </w:p>
    <w:p>
      <w:pPr>
        <w:pStyle w:val="null3"/>
      </w:pPr>
      <w:r>
        <w:rPr>
          <w:rFonts w:ascii="仿宋_GB2312" w:hAnsi="仿宋_GB2312" w:cs="仿宋_GB2312" w:eastAsia="仿宋_GB2312"/>
        </w:rPr>
        <w:t>4、税收缴纳证明：提供2024年9月至今已缴纳的至少三个月的纳税证明或完税证明，依法免税的单位应提供相关证明材料；并进行电子签章。</w:t>
      </w:r>
    </w:p>
    <w:p>
      <w:pPr>
        <w:pStyle w:val="null3"/>
      </w:pPr>
      <w:r>
        <w:rPr>
          <w:rFonts w:ascii="仿宋_GB2312" w:hAnsi="仿宋_GB2312" w:cs="仿宋_GB2312" w:eastAsia="仿宋_GB2312"/>
        </w:rPr>
        <w:t>5、社会保障资金缴纳证明：提供2024年9月至今已缴存的至少三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6、说明及承诺书；：提供具有履行本合同所必需的设备和专业技术能力的说明及承诺书；并进行电子签章。</w:t>
      </w:r>
    </w:p>
    <w:p>
      <w:pPr>
        <w:pStyle w:val="null3"/>
      </w:pPr>
      <w:r>
        <w:rPr>
          <w:rFonts w:ascii="仿宋_GB2312" w:hAnsi="仿宋_GB2312" w:cs="仿宋_GB2312" w:eastAsia="仿宋_GB2312"/>
        </w:rPr>
        <w:t>7、无重大违法记录的书面声明：参加本次采购活动前三年内，在政府采购活动中没有重大违法记录声明； 并进行电子签章。</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8、信用查询：供应商未被信用中国（中国执行信息公开网）网站列入失信被执行人和重大税收违法案件名单；未被列入“中国政府采购网”政府采购严重违法失信行为记录名单；并进行电子签章。</w:t>
      </w:r>
    </w:p>
    <w:p>
      <w:pPr>
        <w:pStyle w:val="null3"/>
      </w:pPr>
      <w:r>
        <w:rPr>
          <w:rFonts w:ascii="仿宋_GB2312" w:hAnsi="仿宋_GB2312" w:cs="仿宋_GB2312" w:eastAsia="仿宋_GB2312"/>
        </w:rPr>
        <w:t>9、投标担保：须提供投标保证金交纳凭证（银行汇（存）款回执单）或投标担保函，复印件须加盖投标人公章；</w:t>
      </w:r>
    </w:p>
    <w:p>
      <w:pPr>
        <w:pStyle w:val="null3"/>
      </w:pPr>
      <w:r>
        <w:rPr>
          <w:rFonts w:ascii="仿宋_GB2312" w:hAnsi="仿宋_GB2312" w:cs="仿宋_GB2312" w:eastAsia="仿宋_GB2312"/>
        </w:rPr>
        <w:t>10、控股关系：具有投资参股关系的关联企业,或具有直接管理和被管理关系的母子公司,或同一母公司的子公司,或法定代表人为同一个人的两个及两个以上法人不得同时对本项目投标,否则均按无效投标处理。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null3"/>
      </w:pPr>
      <w:r>
        <w:rPr>
          <w:rFonts w:ascii="仿宋_GB2312" w:hAnsi="仿宋_GB2312" w:cs="仿宋_GB2312" w:eastAsia="仿宋_GB2312"/>
        </w:rPr>
        <w:t>11、不接受联合体投标：本项目不接受联合体投标，提供声明函。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029-81670325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发展和改革委员会办公厅发改办价格【2002】1980号文的规定，经与采购人协商，按照定额陆仟元整收取，由成交单位在领取成交通知书前，向陕西正邦招标有限责任公司支付。 名称：陕西正邦招标有限责任公司 开户行：平安银行股西安分行营业部/平安银行西安分行 账号： 30205380001969 备注：请注明费用信息“ZBZB-2025-2741招标服务费”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西安航空学院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陕西正邦招标有限责任公司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按照竞争性谈判文件及成交供应商竞争性谈判响应文件进行履约验收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我国在轨遥感卫星呈现爆炸式增长的趋势，从新中国成立到2021年底的72年里，我国总共发射了110颗遥感卫星。而在2022年，仅一年我国就成功发射了105颗遥感卫星。2023年仅半年时间又发射升空了100多颗遥感卫星。遥感卫星数量的爆炸式增长，带来的是对其数据处理能力的极大需求。然而，当前遥感数据处理以人工作业为主，成本高、时效性差，无法满足对海量遥感数据低成本、快速高效的处理需求。随着上游海量遥感数据的产生，以及下游需求时效性的提高，现有人工解译模式远远无法满足遥感数据处理需求，已成为阻碍产业发展的瓶颈。为提升遥感数据处理能力、突破行业发展瓶颈，本项目将研究如何将视觉AI大模型应用于遥感解译任务，专注于具备遥感数据解译能力的新质AI生产力工具。 我校目前成立了低空经济研究院，现与西安交通大学龚怡宏教授团队合作，共同开展秦岭环境保护项目，急需建立遥感AI大模型平台，并为之配备适配的高性能计算机。遥感数据具有分辨率极高、谱段多样、时序跨度长和数据格式复杂等特点，导致模型输入尺寸大、激活与KV缓存占用高，对显存和算力提出远高于通用视觉任务的要求。H200单卡141GB显存与NVLink高带宽互联可显著降低分块与重计算开销，支持更大patch（如2048–4096）与更长时序栈的端到端训练，保持地物空间连续性并减少滑窗接缝伪影，同时以BF16/FP8提供高吞吐的Transformer算力，满足多模态预训练、变化检测与语义/实例/文本联合任务的并行需求。双路EPYC 64C/128T提供充足的解码与数据管道能力，能在GeoTIFF、JPEG2000、SAR复数、NetCDF等格式的重度预处理（几何/辐射校正、重采样、时空对齐）下持续“喂满”八卡，避免CPU成为瓶颈；128GB ECC内存为大规模样本队列、瓦片缓存和分布式通信缓冲提供空间，并以ECC保证周级训练稳定性。主板提供充足的PCIe 5.0通道与U.2位点，使NVMe直连可达多GB/s级吞吐与高IOPS，缓解百万级小文件与随机读取压力；同时为后续扩展高速网络（100/200/400GbE或IB）预留带宽，便于从单机扩展到多节点分布式训练。NVMe热存储与企业级HDD冷存储配合RAID控制器，既能支撑高并发数据加载，又可进行检查点与数据集的可靠归档。4U机箱的高密度设计与2+2冗余高效电源、带外BMC远程管理共同保障长时间满载运行的散热、安全与可维护性，显著降低因故障引发的停机与重训成本。综合而言，该配置在显存容量、计算吞吐、I/O带宽、系统可靠性与可扩展性上全面对齐遥感大模型“高分辨率+长时序+多模态”的实际诉求，是确保模型效果、训练效率与工程可持续性的必要投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遥感图像解译AI大模型适配的高性能计算机货物类项目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标的名称：遥感图像解译AI大模型适配的高性能计算机货物类项目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GPU计算服务器</w:t>
            </w:r>
          </w:p>
          <w:p>
            <w:pPr>
              <w:pStyle w:val="null3"/>
              <w:jc w:val="both"/>
            </w:pPr>
            <w:r>
              <w:rPr>
                <w:rFonts w:ascii="仿宋_GB2312" w:hAnsi="仿宋_GB2312" w:cs="仿宋_GB2312" w:eastAsia="仿宋_GB2312"/>
                <w:sz w:val="20"/>
              </w:rPr>
              <w:t>技术参数</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数量：</w:t>
            </w:r>
            <w:r>
              <w:rPr>
                <w:rFonts w:ascii="仿宋_GB2312" w:hAnsi="仿宋_GB2312" w:cs="仿宋_GB2312" w:eastAsia="仿宋_GB2312"/>
                <w:sz w:val="20"/>
              </w:rPr>
              <w:t>1台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类型：</w:t>
            </w:r>
            <w:r>
              <w:rPr>
                <w:rFonts w:ascii="仿宋_GB2312" w:hAnsi="仿宋_GB2312" w:cs="仿宋_GB2312" w:eastAsia="仿宋_GB2312"/>
                <w:sz w:val="20"/>
              </w:rPr>
              <w:t>4U机架式高性能异构计算服务器，支持双路AMD EPYC</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9005/9004系列处理器，cTDP up to 500W，支持8张双宽GPU，轻松处理严苛的应用程序； 24根DDR5内存插槽，可提供超高内存带宽；支持12块3.5或2.5寸热插拔硬盘</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CPU： 单颗CPU 性能相当于或者不低于32核 /64 线程. 基础频率3.25GHz，规格不少AMD 9354（数量：2个）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内存：内存总容量不低于</w:t>
            </w:r>
            <w:r>
              <w:rPr>
                <w:rFonts w:ascii="仿宋_GB2312" w:hAnsi="仿宋_GB2312" w:cs="仿宋_GB2312" w:eastAsia="仿宋_GB2312"/>
                <w:sz w:val="20"/>
              </w:rPr>
              <w:t>64</w:t>
            </w:r>
            <w:r>
              <w:rPr>
                <w:rFonts w:ascii="仿宋_GB2312" w:hAnsi="仿宋_GB2312" w:cs="仿宋_GB2312" w:eastAsia="仿宋_GB2312"/>
                <w:sz w:val="20"/>
              </w:rPr>
              <w:t>GB. 单根内存容量不少于32GB. R-ECC DDR5 5600</w:t>
            </w:r>
            <w:r>
              <w:rPr>
                <w:rFonts w:ascii="仿宋_GB2312" w:hAnsi="仿宋_GB2312" w:cs="仿宋_GB2312" w:eastAsia="仿宋_GB2312"/>
                <w:sz w:val="20"/>
              </w:rPr>
              <w:t>Hz 服务器内存（数量：</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硬盘：系统盘：总容量不低于</w:t>
            </w:r>
            <w:r>
              <w:rPr>
                <w:rFonts w:ascii="仿宋_GB2312" w:hAnsi="仿宋_GB2312" w:cs="仿宋_GB2312" w:eastAsia="仿宋_GB2312"/>
                <w:sz w:val="20"/>
              </w:rPr>
              <w:t>3840GB； 单块磁盘容量不低于3840GB，U.2 NVME接口固态硬盘（数量：1 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GPU卡：GPU：高性计算CUDA核心不低于16896 核心. 单精度浮点算力不低于66TFlops，双精度浮点算力不低于33TFlops,配备至少141GB 显存. 规格不少于H200原版（每套数量：2个）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网络接口：配置</w:t>
            </w:r>
            <w:r>
              <w:rPr>
                <w:rFonts w:ascii="仿宋_GB2312" w:hAnsi="仿宋_GB2312" w:cs="仿宋_GB2312" w:eastAsia="仿宋_GB2312"/>
                <w:sz w:val="20"/>
              </w:rPr>
              <w:t>不少于</w:t>
            </w:r>
            <w:r>
              <w:rPr>
                <w:rFonts w:ascii="仿宋_GB2312" w:hAnsi="仿宋_GB2312" w:cs="仿宋_GB2312" w:eastAsia="仿宋_GB2312"/>
                <w:sz w:val="20"/>
              </w:rPr>
              <w:t>1块2</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1GBase-T LAN ports ，配置不少于1 个IPMI 远程管理口（支持远程开关机、温度监测、调整风扇转速、远程桌面、报错log 收集等）</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 xml:space="preserve"> </w:t>
            </w:r>
            <w:r>
              <w:rPr>
                <w:rFonts w:ascii="仿宋_GB2312" w:hAnsi="仿宋_GB2312" w:cs="仿宋_GB2312" w:eastAsia="仿宋_GB2312"/>
                <w:sz w:val="20"/>
              </w:rPr>
              <w:t>电源：</w:t>
            </w:r>
            <w:r>
              <w:rPr>
                <w:rFonts w:ascii="仿宋_GB2312" w:hAnsi="仿宋_GB2312" w:cs="仿宋_GB2312" w:eastAsia="仿宋_GB2312"/>
                <w:sz w:val="20"/>
              </w:rPr>
              <w:t>配置</w:t>
            </w:r>
            <w:r>
              <w:rPr>
                <w:rFonts w:ascii="仿宋_GB2312" w:hAnsi="仿宋_GB2312" w:cs="仿宋_GB2312" w:eastAsia="仿宋_GB2312"/>
                <w:sz w:val="20"/>
              </w:rPr>
              <w:t>2700W（2+2）冗余电源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▲硬件服务：提供3年原厂整机质保，3年原厂免费上门保修服务.4小时快速响应（提供原厂服务承诺函）.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10</w:t>
            </w:r>
            <w:r>
              <w:rPr>
                <w:rFonts w:ascii="仿宋_GB2312" w:hAnsi="仿宋_GB2312" w:cs="仿宋_GB2312" w:eastAsia="仿宋_GB2312"/>
                <w:sz w:val="20"/>
              </w:rPr>
              <w:t>▲硬件技术支持和资质认证：要求厂商和NVIDIA具备长期合作关系，提供相关证明;（1）生产厂家具备NVIDIA NPN Elite推荐供应商资质；具有15名以上的NVIDIA认证的技术工程师；（2）生产工厂通过ISO9001质量管理体系认证；</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0"/>
              </w:rPr>
              <w:t>、管理软件：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0"/>
              </w:rPr>
              <w:t>.1、自主研发平台,提供国家颁发的软著，须和服务器同品牌（提供证明）；</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0"/>
              </w:rPr>
              <w:t>.2、平台提供公共镜像、分区镜像、项目镜像、私有镜像多层级镜像管理,允许用户之间分享镜像,同时提供云端下载功能,如Nvidia NGC/Docker hub等,此外允许用户上传镜像包, 平台解压并加载镜像到平台镜像仓库,平台允许将运行中容器保存为镜像；；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11</w:t>
            </w:r>
            <w:r>
              <w:rPr>
                <w:rFonts w:ascii="仿宋_GB2312" w:hAnsi="仿宋_GB2312" w:cs="仿宋_GB2312" w:eastAsia="仿宋_GB2312"/>
                <w:sz w:val="20"/>
              </w:rPr>
              <w:t>.3、支持GPU按照份数切分，单张GPU可按照1/2/4/8份数进行切分，实现GPU高利用率（提供截图证明）；</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中标后20日内交货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1.验收分预验收和学校最终验收两个阶段，以最终验收为准。 2.货物到货后，甲、乙双方共同开箱验收。在检查货物原产地、型号、规格、配置符合合同要求后，由乙方负责安装调试、甲方项目单位负责技术指标验收（乙方协助），验收以国内行业标准或投标文件、合同文本货物供货配置清单中描述的有关技术要求为准。 3.甲方项目单位预验收合格后提出终验收申请，学校相关部门根据项目单位预验收结果，组织有关专家进行最终验收。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1.项目质保期：3年 2.售后服务响应时间（质保期内）：即时响应（包括电话响应）；电话响应无法解决 2 小时内到达现场。修复时间 8 小时内解决；如在 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未按合同要求提供货物质量不能满足技术要求，采购人有权终止合同，并对供方违约行为进行追究，同时按《中华人民共和国政府采购法》、《中华人民共和国民法典》等有关规定进行处罚。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本项目要求供应商需在投标截止之日前提交投标承诺函（格式自拟），确认是否参与该项目投标活动，发送至电子邮箱：819262815@qq.com。 2.因项目存档使用，参与投标的供应商须在开标后2个工作日之内递交纸质版响应文件（一正两副电子版一份），（联系人：张工；联系电话：029-85578186-821；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开标前半年内其基本存款账户开户银行出具的资信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提供2024年9月至今已缴纳的至少三个月的纳税证明或完税证明，依法免税的单位应提供相关证明材料；并进行电子签章。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提供2024年9月至今已缴存的至少三个月的社会保障资金缴存单据或社保机构开具的社会保险参保缴费情况证明，依法不需要缴纳社会保障资金的单位应提供相关证明材料；并进行电子签章。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参加本次采购活动前三年内，在政府采购活动中没有重大违法记录声明； 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具有投资参股关系的关联企业,或具有直接管理和被管理关系的母子公司,或同一母公司的子公司,或法定代表人为同一个人的两个及两个以上法人不得同时对本项目投标,否则均按无效投标处理。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供应商须提供参加政府采购活动承诺书（格式见投标文件格式附件）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供应商是否按照采购文件要求响应</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