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6C67E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 w14:paraId="07E560CF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7830FD7C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（各投标人根据采购内容及</w:t>
      </w:r>
      <w:r>
        <w:rPr>
          <w:rFonts w:hint="eastAsia" w:ascii="宋体" w:hAnsi="宋体"/>
          <w:b/>
          <w:sz w:val="24"/>
          <w:lang w:val="en-US" w:eastAsia="zh-CN"/>
        </w:rPr>
        <w:t>评分标准</w:t>
      </w:r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投标方案，标注页码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）</w:t>
      </w:r>
    </w:p>
    <w:p w14:paraId="4FAACBA1">
      <w:pPr>
        <w:pStyle w:val="6"/>
        <w:spacing w:line="360" w:lineRule="auto"/>
        <w:rPr>
          <w:rFonts w:hint="eastAsia"/>
        </w:rPr>
      </w:pPr>
    </w:p>
    <w:p w14:paraId="1D9157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43223CD3"/>
    <w:rsid w:val="510576FA"/>
    <w:rsid w:val="54101856"/>
    <w:rsid w:val="6B3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2025-10-30T03:47:01Z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