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5B54E">
      <w:pPr>
        <w:jc w:val="center"/>
        <w:rPr>
          <w:rFonts w:hint="eastAsia" w:ascii="宋体" w:hAnsi="宋体"/>
          <w:color w:val="auto"/>
          <w:sz w:val="28"/>
          <w:szCs w:val="28"/>
          <w:highlight w:val="none"/>
        </w:rPr>
      </w:pPr>
      <w:r>
        <w:rPr>
          <w:rFonts w:hint="eastAsia" w:ascii="宋体" w:hAnsi="宋体"/>
          <w:b/>
          <w:color w:val="auto"/>
          <w:sz w:val="28"/>
          <w:szCs w:val="28"/>
          <w:highlight w:val="none"/>
        </w:rPr>
        <w:t>合同范本（仅供参考）</w:t>
      </w:r>
    </w:p>
    <w:p w14:paraId="64F4FC2E">
      <w:pPr>
        <w:spacing w:line="360" w:lineRule="auto"/>
        <w:ind w:firstLine="482" w:firstLineChars="200"/>
        <w:rPr>
          <w:rFonts w:hint="eastAsia" w:ascii="宋体" w:hAnsi="宋体" w:cs="宋体"/>
          <w:color w:val="auto"/>
          <w:sz w:val="24"/>
          <w:highlight w:val="none"/>
        </w:rPr>
      </w:pPr>
      <w:r>
        <w:rPr>
          <w:rFonts w:hint="eastAsia" w:ascii="宋体" w:hAnsi="宋体" w:cs="宋体"/>
          <w:b/>
          <w:color w:val="auto"/>
          <w:sz w:val="24"/>
          <w:highlight w:val="non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（以下简称甲方）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采购，在</w:t>
      </w:r>
      <w:r>
        <w:rPr>
          <w:rFonts w:hint="eastAsia" w:ascii="宋体" w:hAnsi="宋体" w:cs="宋体"/>
          <w:color w:val="auto"/>
          <w:sz w:val="24"/>
          <w:highlight w:val="none"/>
          <w:u w:val="single"/>
        </w:rPr>
        <w:t>陕西省财政厅政府采购管理处</w:t>
      </w:r>
      <w:r>
        <w:rPr>
          <w:rFonts w:hint="eastAsia" w:ascii="宋体" w:hAnsi="宋体" w:cs="宋体"/>
          <w:color w:val="auto"/>
          <w:sz w:val="24"/>
          <w:highlight w:val="none"/>
        </w:rPr>
        <w:t>的监督管理下，由</w:t>
      </w:r>
      <w:r>
        <w:rPr>
          <w:rFonts w:hint="eastAsia" w:ascii="宋体" w:hAnsi="宋体" w:cs="宋体"/>
          <w:color w:val="auto"/>
          <w:sz w:val="24"/>
          <w:highlight w:val="none"/>
          <w:u w:val="single"/>
        </w:rPr>
        <w:t>陕西开源招标有限公司</w:t>
      </w:r>
      <w:r>
        <w:rPr>
          <w:rFonts w:hint="eastAsia" w:ascii="宋体" w:hAnsi="宋体" w:cs="宋体"/>
          <w:color w:val="auto"/>
          <w:sz w:val="24"/>
          <w:highlight w:val="none"/>
        </w:rPr>
        <w:t>组织采购，选定</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(以下简称乙方）为该项目中标人。依据《中华人民共和国民法典》和《中华人民共和国政府采购法》，经甲、乙双方共同协商，按下述条款和条件签署本合同。</w:t>
      </w:r>
    </w:p>
    <w:p w14:paraId="470A3837">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一、合同内容</w:t>
      </w:r>
    </w:p>
    <w:p w14:paraId="60B28384">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乙方负责按照合同确定的产品名称、规格型号、数量、产地、配置内容及技术标准组织供货（具体采购项目见附件1），按时运到甲方指定的交货地点；负责</w:t>
      </w:r>
      <w:r>
        <w:rPr>
          <w:rFonts w:hint="eastAsia" w:ascii="宋体" w:hAnsi="宋体" w:cs="宋体"/>
          <w:color w:val="auto"/>
          <w:sz w:val="24"/>
          <w:highlight w:val="none"/>
          <w:lang w:eastAsia="zh-CN"/>
        </w:rPr>
        <w:t>产品</w:t>
      </w:r>
      <w:r>
        <w:rPr>
          <w:rFonts w:hint="eastAsia" w:ascii="宋体" w:hAnsi="宋体" w:cs="宋体"/>
          <w:color w:val="auto"/>
          <w:sz w:val="24"/>
          <w:highlight w:val="none"/>
        </w:rPr>
        <w:t xml:space="preserve">到货后的安装及调试；确保所有产品各项指标达到要求；负责操作和管理人员的培训工作，保证甲方能够正常操作和维护，同时乙方根据产品的使用特性做好售后服务。 </w:t>
      </w:r>
    </w:p>
    <w:p w14:paraId="349C3A8E">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二、合同价格</w:t>
      </w:r>
    </w:p>
    <w:p w14:paraId="14F2C889">
      <w:pPr>
        <w:spacing w:line="360" w:lineRule="auto"/>
        <w:ind w:left="420" w:leftChars="200"/>
        <w:jc w:val="left"/>
        <w:rPr>
          <w:rFonts w:hint="eastAsia" w:ascii="宋体" w:hAnsi="宋体" w:cs="宋体"/>
          <w:color w:val="auto"/>
          <w:sz w:val="24"/>
          <w:highlight w:val="none"/>
        </w:rPr>
      </w:pPr>
      <w:r>
        <w:rPr>
          <w:rFonts w:hint="eastAsia" w:ascii="宋体" w:hAnsi="宋体" w:cs="宋体"/>
          <w:color w:val="auto"/>
          <w:sz w:val="24"/>
          <w:highlight w:val="none"/>
        </w:rPr>
        <w:t>合同总价：</w:t>
      </w:r>
      <w:r>
        <w:rPr>
          <w:rFonts w:hint="eastAsia" w:ascii="宋体" w:hAnsi="宋体" w:cs="宋体"/>
          <w:color w:val="auto"/>
          <w:sz w:val="24"/>
          <w:highlight w:val="none"/>
          <w:u w:val="single"/>
        </w:rPr>
        <w:t xml:space="preserve">人民币       元整（¥         元） </w:t>
      </w:r>
    </w:p>
    <w:p w14:paraId="105BE840">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说明：</w:t>
      </w:r>
    </w:p>
    <w:p w14:paraId="75D25200">
      <w:pPr>
        <w:numPr>
          <w:ilvl w:val="0"/>
          <w:numId w:val="1"/>
        </w:num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合同总价包含</w:t>
      </w:r>
      <w:r>
        <w:rPr>
          <w:rFonts w:hint="eastAsia" w:ascii="宋体" w:hAnsi="宋体" w:cs="宋体"/>
          <w:color w:val="auto"/>
          <w:sz w:val="24"/>
          <w:highlight w:val="none"/>
          <w:lang w:eastAsia="zh-CN"/>
        </w:rPr>
        <w:t>产品</w:t>
      </w:r>
      <w:r>
        <w:rPr>
          <w:rFonts w:hint="eastAsia" w:ascii="宋体" w:hAnsi="宋体" w:cs="宋体"/>
          <w:color w:val="auto"/>
          <w:sz w:val="24"/>
          <w:highlight w:val="none"/>
        </w:rPr>
        <w:t>费、</w:t>
      </w:r>
      <w:r>
        <w:rPr>
          <w:rFonts w:hint="eastAsia" w:ascii="宋体" w:hAnsi="宋体" w:cs="宋体"/>
          <w:color w:val="auto"/>
          <w:sz w:val="24"/>
          <w:highlight w:val="none"/>
          <w:lang w:eastAsia="zh-CN"/>
        </w:rPr>
        <w:t>产品</w:t>
      </w:r>
      <w:r>
        <w:rPr>
          <w:rFonts w:hint="eastAsia" w:ascii="宋体" w:hAnsi="宋体" w:cs="宋体"/>
          <w:color w:val="auto"/>
          <w:sz w:val="24"/>
          <w:highlight w:val="none"/>
        </w:rPr>
        <w:t>到达交货地点的运杂费（含保险）、</w:t>
      </w:r>
      <w:r>
        <w:rPr>
          <w:rFonts w:hint="eastAsia" w:ascii="宋体" w:hAnsi="宋体" w:cs="宋体"/>
          <w:color w:val="auto"/>
          <w:sz w:val="24"/>
          <w:highlight w:val="none"/>
          <w:lang w:eastAsia="zh-CN"/>
        </w:rPr>
        <w:t>产品</w:t>
      </w:r>
      <w:r>
        <w:rPr>
          <w:rFonts w:hint="eastAsia" w:ascii="宋体" w:hAnsi="宋体" w:cs="宋体"/>
          <w:color w:val="auto"/>
          <w:sz w:val="24"/>
          <w:highlight w:val="none"/>
        </w:rPr>
        <w:t>安装调试费、</w:t>
      </w:r>
      <w:r>
        <w:rPr>
          <w:rFonts w:hint="eastAsia" w:ascii="宋体" w:hAnsi="宋体" w:cs="宋体"/>
          <w:color w:val="auto"/>
          <w:sz w:val="24"/>
          <w:highlight w:val="none"/>
          <w:lang w:eastAsia="zh-CN"/>
        </w:rPr>
        <w:t>产品</w:t>
      </w:r>
      <w:r>
        <w:rPr>
          <w:rFonts w:hint="eastAsia" w:ascii="宋体" w:hAnsi="宋体" w:cs="宋体"/>
          <w:color w:val="auto"/>
          <w:sz w:val="24"/>
          <w:highlight w:val="none"/>
        </w:rPr>
        <w:t>强制计量检测费及应缴纳的全部税款等费用。</w:t>
      </w:r>
    </w:p>
    <w:p w14:paraId="7203F503">
      <w:pPr>
        <w:numPr>
          <w:ilvl w:val="0"/>
          <w:numId w:val="1"/>
        </w:num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合同总价一次包死，不受市场价格变化的影响，并作为结算的唯一依据。</w:t>
      </w:r>
    </w:p>
    <w:p w14:paraId="50A2AA1F">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三、合同款项支付</w:t>
      </w:r>
    </w:p>
    <w:p w14:paraId="331A2767">
      <w:pPr>
        <w:pStyle w:val="7"/>
        <w:spacing w:line="360" w:lineRule="auto"/>
        <w:ind w:firstLine="480" w:firstLineChars="200"/>
        <w:rPr>
          <w:rFonts w:ascii="宋体" w:hAnsi="宋体" w:cs="宋体"/>
          <w:color w:val="auto"/>
          <w:sz w:val="24"/>
          <w:szCs w:val="24"/>
          <w:highlight w:val="none"/>
        </w:rPr>
      </w:pPr>
      <w:r>
        <w:rPr>
          <w:rFonts w:ascii="宋体" w:hAnsi="宋体" w:cs="宋体"/>
          <w:color w:val="auto"/>
          <w:sz w:val="24"/>
          <w:szCs w:val="24"/>
          <w:highlight w:val="none"/>
        </w:rPr>
        <w:t>采购包1：</w:t>
      </w:r>
      <w:r>
        <w:rPr>
          <w:rFonts w:ascii="宋体" w:hAnsi="宋体" w:cs="宋体"/>
          <w:color w:val="auto"/>
          <w:sz w:val="24"/>
          <w:szCs w:val="24"/>
          <w:highlight w:val="none"/>
          <w:u w:val="single"/>
        </w:rPr>
        <w:t>付款条件说明：</w:t>
      </w:r>
      <w:r>
        <w:rPr>
          <w:rFonts w:hint="eastAsia" w:ascii="宋体" w:hAnsi="宋体" w:cs="宋体"/>
          <w:color w:val="auto"/>
          <w:sz w:val="24"/>
          <w:szCs w:val="24"/>
          <w:highlight w:val="none"/>
          <w:u w:val="single"/>
        </w:rPr>
        <w:t>自签订合同之日起30日内成交供应商完成新设施安装、调试，旧设施改造利用。经采购人验收合格交付使用后，采购人在收到成交供应商开具的合同总价款增值税专用发票之日起</w:t>
      </w:r>
      <w:r>
        <w:rPr>
          <w:rFonts w:ascii="宋体" w:hAnsi="宋体" w:cs="宋体"/>
          <w:color w:val="auto"/>
          <w:sz w:val="24"/>
          <w:szCs w:val="24"/>
          <w:highlight w:val="none"/>
          <w:u w:val="single"/>
        </w:rPr>
        <w:t xml:space="preserve"> </w:t>
      </w:r>
      <w:r>
        <w:rPr>
          <w:rFonts w:ascii="宋体" w:hAnsi="宋体" w:cs="宋体"/>
          <w:color w:val="auto"/>
          <w:sz w:val="24"/>
          <w:szCs w:val="24"/>
          <w:highlight w:val="none"/>
        </w:rPr>
        <w:t>，达到付款条件起</w:t>
      </w:r>
      <w:r>
        <w:rPr>
          <w:rFonts w:ascii="宋体" w:hAnsi="宋体" w:cs="宋体"/>
          <w:color w:val="auto"/>
          <w:sz w:val="24"/>
          <w:szCs w:val="24"/>
          <w:highlight w:val="none"/>
          <w:u w:val="single"/>
          <w:lang w:eastAsia="zh-CN"/>
        </w:rPr>
        <w:t xml:space="preserve"> </w:t>
      </w:r>
      <w:r>
        <w:rPr>
          <w:rFonts w:hint="eastAsia" w:ascii="宋体" w:hAnsi="宋体" w:cs="宋体"/>
          <w:color w:val="auto"/>
          <w:sz w:val="24"/>
          <w:szCs w:val="24"/>
          <w:highlight w:val="none"/>
          <w:u w:val="single"/>
          <w:lang w:val="en-US" w:eastAsia="zh-CN"/>
        </w:rPr>
        <w:t>15</w:t>
      </w:r>
      <w:r>
        <w:rPr>
          <w:rFonts w:ascii="宋体" w:hAnsi="宋体" w:cs="宋体"/>
          <w:color w:val="auto"/>
          <w:sz w:val="24"/>
          <w:szCs w:val="24"/>
          <w:highlight w:val="none"/>
        </w:rPr>
        <w:t>日内，支付合同总金额的</w:t>
      </w:r>
      <w:r>
        <w:rPr>
          <w:rFonts w:ascii="宋体" w:hAnsi="宋体" w:cs="宋体"/>
          <w:color w:val="auto"/>
          <w:sz w:val="24"/>
          <w:szCs w:val="24"/>
          <w:highlight w:val="none"/>
          <w:u w:val="single"/>
          <w:lang w:eastAsia="zh-CN"/>
        </w:rPr>
        <w:t xml:space="preserve"> </w:t>
      </w:r>
      <w:r>
        <w:rPr>
          <w:rFonts w:hint="eastAsia" w:ascii="宋体" w:hAnsi="宋体" w:cs="宋体"/>
          <w:color w:val="auto"/>
          <w:sz w:val="24"/>
          <w:szCs w:val="24"/>
          <w:highlight w:val="none"/>
          <w:u w:val="single"/>
          <w:lang w:val="en-US" w:eastAsia="zh-CN"/>
        </w:rPr>
        <w:t>100</w:t>
      </w:r>
      <w:r>
        <w:rPr>
          <w:rFonts w:ascii="宋体" w:hAnsi="宋体" w:cs="宋体"/>
          <w:color w:val="auto"/>
          <w:sz w:val="24"/>
          <w:szCs w:val="24"/>
          <w:highlight w:val="none"/>
          <w:u w:val="single"/>
          <w:lang w:eastAsia="zh-CN"/>
        </w:rPr>
        <w:t xml:space="preserve"> </w:t>
      </w:r>
      <w:r>
        <w:rPr>
          <w:rFonts w:ascii="宋体" w:hAnsi="宋体" w:cs="宋体"/>
          <w:color w:val="auto"/>
          <w:sz w:val="24"/>
          <w:szCs w:val="24"/>
          <w:highlight w:val="none"/>
        </w:rPr>
        <w:t>%。</w:t>
      </w:r>
    </w:p>
    <w:p w14:paraId="07375FD2">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四、交货条件</w:t>
      </w:r>
    </w:p>
    <w:p w14:paraId="13CAD1E0">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（一）交货期：</w:t>
      </w:r>
      <w:r>
        <w:rPr>
          <w:rFonts w:hint="eastAsia" w:ascii="宋体" w:hAnsi="宋体" w:cs="宋体"/>
          <w:color w:val="auto"/>
          <w:sz w:val="24"/>
          <w:highlight w:val="none"/>
          <w:lang w:val="en-US" w:eastAsia="zh-CN"/>
        </w:rPr>
        <w:t>中标后14天</w:t>
      </w:r>
      <w:r>
        <w:rPr>
          <w:rFonts w:hint="eastAsia" w:ascii="宋体" w:hAnsi="宋体" w:cs="宋体"/>
          <w:color w:val="auto"/>
          <w:sz w:val="24"/>
          <w:highlight w:val="none"/>
        </w:rPr>
        <w:t>。</w:t>
      </w:r>
      <w:r>
        <w:rPr>
          <w:rFonts w:hint="eastAsia" w:ascii="宋体" w:hAnsi="宋体" w:cs="宋体"/>
          <w:color w:val="auto"/>
          <w:kern w:val="0"/>
          <w:sz w:val="24"/>
          <w:highlight w:val="none"/>
        </w:rPr>
        <w:t xml:space="preserve">  </w:t>
      </w:r>
      <w:bookmarkStart w:id="0" w:name="_GoBack"/>
      <w:bookmarkEnd w:id="0"/>
    </w:p>
    <w:p w14:paraId="3BDC1C7F">
      <w:pPr>
        <w:pStyle w:val="3"/>
        <w:spacing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（二）交货地点：</w:t>
      </w:r>
      <w:r>
        <w:rPr>
          <w:rFonts w:hint="default" w:ascii="宋体" w:hAnsi="宋体" w:eastAsia="宋体" w:cs="宋体"/>
          <w:color w:val="auto"/>
          <w:sz w:val="24"/>
          <w:szCs w:val="24"/>
          <w:highlight w:val="none"/>
          <w:lang w:val="en-US" w:eastAsia="zh-CN"/>
        </w:rPr>
        <w:t>西安科技大学骊山校园</w:t>
      </w:r>
    </w:p>
    <w:p w14:paraId="70AD27C4">
      <w:pPr>
        <w:pStyle w:val="3"/>
        <w:spacing w:line="360" w:lineRule="auto"/>
        <w:ind w:firstLine="480" w:firstLineChars="200"/>
        <w:jc w:val="left"/>
        <w:rPr>
          <w:rFonts w:hint="eastAsia" w:hAnsi="宋体" w:cs="宋体"/>
          <w:b/>
          <w:bCs/>
          <w:color w:val="auto"/>
          <w:sz w:val="24"/>
          <w:highlight w:val="none"/>
        </w:rPr>
      </w:pPr>
      <w:r>
        <w:rPr>
          <w:rFonts w:hint="eastAsia" w:hAnsi="宋体" w:cs="宋体"/>
          <w:color w:val="auto"/>
          <w:sz w:val="24"/>
          <w:highlight w:val="none"/>
        </w:rPr>
        <w:t>（三）质保期：</w:t>
      </w:r>
      <w:r>
        <w:rPr>
          <w:rFonts w:hint="eastAsia" w:hAnsi="宋体" w:cs="宋体"/>
          <w:color w:val="auto"/>
          <w:sz w:val="24"/>
          <w:highlight w:val="none"/>
          <w:lang w:val="en-US" w:eastAsia="zh-CN"/>
        </w:rPr>
        <w:t>不少于</w:t>
      </w:r>
      <w:r>
        <w:rPr>
          <w:rFonts w:hint="eastAsia" w:ascii="宋体" w:hAnsi="宋体" w:cs="宋体"/>
          <w:bCs/>
          <w:color w:val="auto"/>
          <w:sz w:val="24"/>
          <w:highlight w:val="none"/>
          <w:lang w:val="en-US" w:eastAsia="zh-CN"/>
        </w:rPr>
        <w:t>三</w:t>
      </w:r>
      <w:r>
        <w:rPr>
          <w:rFonts w:hint="eastAsia" w:ascii="宋体" w:hAnsi="宋体" w:cs="宋体"/>
          <w:bCs/>
          <w:color w:val="auto"/>
          <w:sz w:val="24"/>
          <w:highlight w:val="none"/>
        </w:rPr>
        <w:t>年</w:t>
      </w:r>
    </w:p>
    <w:p w14:paraId="0AF7339C">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五、包装运输</w:t>
      </w:r>
    </w:p>
    <w:p w14:paraId="03D2F549">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6D275CD1">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六、质量保证</w:t>
      </w:r>
    </w:p>
    <w:p w14:paraId="604448A1">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（一）乙方提供给甲方的产品必须是设计科学、技术成熟、工艺优良，是用优质材料制造的、先进的、原厂生产的未曾使用过的、全新的合格产品。</w:t>
      </w:r>
    </w:p>
    <w:p w14:paraId="3F375DE9">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（二）设计技术专利、外形专利、应用软件专利等均应符合我国有关法律及行业标准，凡因以上问题与第三方发生的任何纠纷均与甲方无关。</w:t>
      </w:r>
    </w:p>
    <w:p w14:paraId="357D997D">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（三）安全可靠。在正常使用下不应对操作者造成任何人身伤害，如因产品质量或标示不明确而对操作者造成损失的，甲方将保留依法索赔的权利。</w:t>
      </w:r>
    </w:p>
    <w:p w14:paraId="7C6C011C">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（四）有强制性安全标准的产品，乙方应提供该产品的制造许可证证明。</w:t>
      </w:r>
    </w:p>
    <w:p w14:paraId="6F48832A">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（五）属于国家计量检测强检的产品，供货时提供本省法定计量检测机构出具的检测证书。</w:t>
      </w:r>
    </w:p>
    <w:p w14:paraId="7C7E50E3">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14:paraId="2A670969">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（七）</w:t>
      </w:r>
      <w:r>
        <w:rPr>
          <w:rFonts w:hint="eastAsia" w:ascii="宋体" w:hAnsi="宋体" w:cs="宋体"/>
          <w:bCs/>
          <w:color w:val="auto"/>
          <w:sz w:val="24"/>
          <w:highlight w:val="none"/>
        </w:rPr>
        <w:t>乙方所提供</w:t>
      </w:r>
      <w:r>
        <w:rPr>
          <w:rFonts w:hint="eastAsia" w:ascii="宋体" w:hAnsi="宋体" w:cs="宋体"/>
          <w:bCs/>
          <w:color w:val="auto"/>
          <w:sz w:val="24"/>
          <w:highlight w:val="none"/>
          <w:lang w:eastAsia="zh-CN"/>
        </w:rPr>
        <w:t>产品</w:t>
      </w:r>
      <w:r>
        <w:rPr>
          <w:rFonts w:hint="eastAsia" w:ascii="宋体" w:hAnsi="宋体" w:cs="宋体"/>
          <w:bCs/>
          <w:color w:val="auto"/>
          <w:sz w:val="24"/>
          <w:highlight w:val="none"/>
        </w:rPr>
        <w:t>质保期为_____。</w:t>
      </w:r>
      <w:r>
        <w:rPr>
          <w:rFonts w:hint="eastAsia" w:ascii="宋体" w:hAnsi="宋体" w:cs="宋体"/>
          <w:bCs/>
          <w:color w:val="auto"/>
          <w:sz w:val="24"/>
          <w:highlight w:val="none"/>
          <w:lang w:eastAsia="zh-CN"/>
        </w:rPr>
        <w:t>产品</w:t>
      </w:r>
      <w:r>
        <w:rPr>
          <w:rFonts w:hint="eastAsia" w:ascii="宋体" w:hAnsi="宋体" w:cs="宋体"/>
          <w:bCs/>
          <w:color w:val="auto"/>
          <w:sz w:val="24"/>
          <w:highlight w:val="none"/>
        </w:rPr>
        <w:t>质保期按</w:t>
      </w:r>
      <w:r>
        <w:rPr>
          <w:rFonts w:hint="eastAsia" w:ascii="宋体" w:hAnsi="宋体" w:cs="宋体"/>
          <w:bCs/>
          <w:color w:val="auto"/>
          <w:sz w:val="24"/>
          <w:highlight w:val="none"/>
          <w:lang w:eastAsia="zh-CN"/>
        </w:rPr>
        <w:t>产品</w:t>
      </w:r>
      <w:r>
        <w:rPr>
          <w:rFonts w:hint="eastAsia" w:ascii="宋体" w:hAnsi="宋体" w:cs="宋体"/>
          <w:bCs/>
          <w:color w:val="auto"/>
          <w:sz w:val="24"/>
          <w:highlight w:val="none"/>
        </w:rPr>
        <w:t>安装验收合格办理入库之日算起。</w:t>
      </w:r>
      <w:r>
        <w:rPr>
          <w:rFonts w:hint="eastAsia" w:ascii="宋体" w:hAnsi="宋体" w:cs="宋体"/>
          <w:color w:val="auto"/>
          <w:sz w:val="24"/>
          <w:highlight w:val="none"/>
        </w:rPr>
        <w:t>质保期满后如需更换零部件，只收取零部件成本费，终身免费维护保养。</w:t>
      </w:r>
    </w:p>
    <w:p w14:paraId="5BA69C92">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七、技术规格及标准。（详见附件2）</w:t>
      </w:r>
    </w:p>
    <w:p w14:paraId="74927596">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八、配置清单。（详见附件3）</w:t>
      </w:r>
    </w:p>
    <w:p w14:paraId="284A158D">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九、技术服务</w:t>
      </w:r>
    </w:p>
    <w:p w14:paraId="04FBD54E">
      <w:pPr>
        <w:spacing w:line="360" w:lineRule="auto"/>
        <w:ind w:firstLine="482" w:firstLineChars="200"/>
        <w:jc w:val="left"/>
        <w:rPr>
          <w:rFonts w:hint="eastAsia" w:ascii="宋体" w:hAnsi="宋体" w:cs="宋体"/>
          <w:b/>
          <w:color w:val="auto"/>
          <w:sz w:val="24"/>
          <w:highlight w:val="none"/>
        </w:rPr>
      </w:pPr>
      <w:r>
        <w:rPr>
          <w:rFonts w:hint="eastAsia" w:ascii="宋体" w:hAnsi="宋体" w:cs="宋体"/>
          <w:b/>
          <w:color w:val="auto"/>
          <w:sz w:val="24"/>
          <w:highlight w:val="none"/>
        </w:rPr>
        <w:t>（一）技术资料：</w:t>
      </w:r>
      <w:r>
        <w:rPr>
          <w:rFonts w:hint="eastAsia" w:ascii="宋体" w:hAnsi="宋体" w:cs="宋体"/>
          <w:color w:val="auto"/>
          <w:sz w:val="24"/>
          <w:highlight w:val="none"/>
          <w:u w:val="single"/>
        </w:rPr>
        <w:t xml:space="preserve">       </w:t>
      </w:r>
    </w:p>
    <w:p w14:paraId="149B7552">
      <w:pPr>
        <w:spacing w:line="360" w:lineRule="auto"/>
        <w:ind w:firstLine="482" w:firstLineChars="200"/>
        <w:jc w:val="left"/>
        <w:rPr>
          <w:rFonts w:hint="eastAsia" w:ascii="宋体" w:hAnsi="宋体" w:cs="宋体"/>
          <w:color w:val="auto"/>
          <w:sz w:val="24"/>
          <w:highlight w:val="none"/>
        </w:rPr>
      </w:pPr>
      <w:r>
        <w:rPr>
          <w:rFonts w:hint="eastAsia" w:ascii="宋体" w:hAnsi="宋体" w:cs="宋体"/>
          <w:b/>
          <w:color w:val="auto"/>
          <w:sz w:val="24"/>
          <w:highlight w:val="none"/>
        </w:rPr>
        <w:t>（二）人员培训：</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2A12CE65">
      <w:pPr>
        <w:spacing w:line="360" w:lineRule="auto"/>
        <w:ind w:firstLine="482" w:firstLineChars="200"/>
        <w:jc w:val="left"/>
        <w:rPr>
          <w:rFonts w:hint="eastAsia" w:ascii="宋体" w:hAnsi="宋体" w:cs="宋体"/>
          <w:b/>
          <w:color w:val="auto"/>
          <w:sz w:val="24"/>
          <w:highlight w:val="none"/>
        </w:rPr>
      </w:pPr>
      <w:r>
        <w:rPr>
          <w:rFonts w:hint="eastAsia" w:ascii="宋体" w:hAnsi="宋体" w:cs="宋体"/>
          <w:b/>
          <w:color w:val="auto"/>
          <w:sz w:val="24"/>
          <w:highlight w:val="none"/>
        </w:rPr>
        <w:t>（三）服务承诺：</w:t>
      </w:r>
      <w:r>
        <w:rPr>
          <w:rFonts w:hint="eastAsia" w:ascii="宋体" w:hAnsi="宋体" w:cs="宋体"/>
          <w:color w:val="auto"/>
          <w:sz w:val="24"/>
          <w:highlight w:val="none"/>
          <w:u w:val="single"/>
        </w:rPr>
        <w:t xml:space="preserve">       </w:t>
      </w:r>
    </w:p>
    <w:p w14:paraId="2C2A796D">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十、违约责任</w:t>
      </w:r>
    </w:p>
    <w:p w14:paraId="1F53C9B2">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（一）按《中华人民共和国民法典》中的相关条款执行。</w:t>
      </w:r>
    </w:p>
    <w:p w14:paraId="3DEC24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（二）未按合同要求的提供产品或</w:t>
      </w:r>
      <w:r>
        <w:rPr>
          <w:rFonts w:hint="eastAsia" w:ascii="宋体" w:hAnsi="宋体" w:cs="宋体"/>
          <w:color w:val="auto"/>
          <w:sz w:val="24"/>
          <w:highlight w:val="none"/>
          <w:lang w:eastAsia="zh-CN"/>
        </w:rPr>
        <w:t>产品</w:t>
      </w:r>
      <w:r>
        <w:rPr>
          <w:rFonts w:hint="eastAsia" w:ascii="宋体" w:hAnsi="宋体" w:cs="宋体"/>
          <w:color w:val="auto"/>
          <w:sz w:val="24"/>
          <w:highlight w:val="none"/>
        </w:rPr>
        <w:t>质量不能满足技术要求，采购人有权终止合同，甚至对供方违约行为进行追究。</w:t>
      </w:r>
    </w:p>
    <w:p w14:paraId="20B3950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（三）如有纠纷，双方友好协商解决，协商不成时可诉讼到甲方所在地人民法院解决。</w:t>
      </w:r>
    </w:p>
    <w:p w14:paraId="67E3EB45">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十一、验收</w:t>
      </w:r>
    </w:p>
    <w:p w14:paraId="1FEB0A70">
      <w:pPr>
        <w:spacing w:line="360" w:lineRule="auto"/>
        <w:ind w:firstLine="480" w:firstLineChars="200"/>
        <w:jc w:val="left"/>
        <w:rPr>
          <w:rFonts w:hint="eastAsia" w:ascii="宋体" w:hAnsi="宋体" w:cs="宋体"/>
          <w:b/>
          <w:color w:val="auto"/>
          <w:sz w:val="24"/>
          <w:highlight w:val="none"/>
        </w:rPr>
      </w:pPr>
      <w:r>
        <w:rPr>
          <w:rFonts w:hint="eastAsia" w:ascii="宋体" w:hAnsi="宋体" w:cs="宋体"/>
          <w:color w:val="auto"/>
          <w:sz w:val="24"/>
          <w:highlight w:val="none"/>
        </w:rPr>
        <w:t>通过检验的货物方可进行安装、调试、达到使用条件时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14:paraId="714C6854">
      <w:pPr>
        <w:spacing w:line="360" w:lineRule="auto"/>
        <w:jc w:val="left"/>
        <w:rPr>
          <w:rFonts w:hint="eastAsia" w:ascii="宋体" w:hAnsi="宋体" w:cs="宋体"/>
          <w:b/>
          <w:color w:val="auto"/>
          <w:sz w:val="24"/>
          <w:highlight w:val="none"/>
        </w:rPr>
      </w:pPr>
      <w:r>
        <w:rPr>
          <w:rFonts w:hint="eastAsia" w:ascii="宋体" w:hAnsi="宋体" w:cs="宋体"/>
          <w:b/>
          <w:color w:val="auto"/>
          <w:sz w:val="24"/>
          <w:highlight w:val="none"/>
        </w:rPr>
        <w:t>十二、其他事项</w:t>
      </w:r>
    </w:p>
    <w:p w14:paraId="7186AADB">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（一）陕西省财政厅政府采购管理处在合同的履行期间以及履行期后，可以随时检查项目的执行情况，对采购标准、采购内容进行调查核实，并对发现的问题进行处理。</w:t>
      </w:r>
    </w:p>
    <w:p w14:paraId="296C6D52">
      <w:pPr>
        <w:spacing w:line="360" w:lineRule="auto"/>
        <w:ind w:left="105" w:leftChars="50" w:firstLine="360" w:firstLineChars="150"/>
        <w:jc w:val="left"/>
        <w:rPr>
          <w:rFonts w:hint="eastAsia" w:ascii="宋体" w:hAnsi="宋体" w:cs="宋体"/>
          <w:color w:val="auto"/>
          <w:sz w:val="24"/>
          <w:highlight w:val="none"/>
        </w:rPr>
      </w:pPr>
      <w:r>
        <w:rPr>
          <w:rFonts w:hint="eastAsia" w:ascii="宋体" w:hAnsi="宋体" w:cs="宋体"/>
          <w:color w:val="auto"/>
          <w:sz w:val="24"/>
          <w:highlight w:val="none"/>
        </w:rPr>
        <w:t>（二）本合同一式六份，甲方四份，乙方一份，采购代理机构一份，甲乙双方签字盖章后生效。</w:t>
      </w:r>
    </w:p>
    <w:p w14:paraId="0BDD8824">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（三）</w:t>
      </w:r>
      <w:r>
        <w:rPr>
          <w:rFonts w:hint="eastAsia" w:ascii="宋体" w:hAnsi="宋体" w:cs="宋体"/>
          <w:bCs/>
          <w:color w:val="auto"/>
          <w:sz w:val="24"/>
          <w:highlight w:val="none"/>
        </w:rPr>
        <w:t>谈判文件、响应文件也是合同的组成部分，合同中未约定的以谈判文件、响应文件为准。</w:t>
      </w:r>
    </w:p>
    <w:p w14:paraId="0EE471FF">
      <w:pPr>
        <w:spacing w:line="360" w:lineRule="auto"/>
        <w:ind w:firstLine="600" w:firstLineChars="250"/>
        <w:jc w:val="left"/>
        <w:rPr>
          <w:rFonts w:hint="eastAsia" w:ascii="宋体" w:hAnsi="宋体" w:cs="宋体"/>
          <w:color w:val="auto"/>
          <w:sz w:val="24"/>
          <w:highlight w:val="none"/>
        </w:rPr>
      </w:pPr>
      <w:r>
        <w:rPr>
          <w:rFonts w:hint="eastAsia" w:ascii="宋体" w:hAnsi="宋体" w:cs="宋体"/>
          <w:color w:val="auto"/>
          <w:sz w:val="24"/>
          <w:highlight w:val="none"/>
        </w:rPr>
        <w:t xml:space="preserve">合同签订地点：   </w:t>
      </w:r>
    </w:p>
    <w:p w14:paraId="15BD5D5C">
      <w:pPr>
        <w:spacing w:line="360" w:lineRule="auto"/>
        <w:ind w:firstLine="600" w:firstLineChars="250"/>
        <w:jc w:val="left"/>
        <w:rPr>
          <w:rFonts w:hint="eastAsia" w:ascii="宋体" w:hAnsi="宋体" w:cs="宋体"/>
          <w:color w:val="auto"/>
          <w:sz w:val="24"/>
          <w:highlight w:val="none"/>
        </w:rPr>
      </w:pPr>
      <w:r>
        <w:rPr>
          <w:rFonts w:hint="eastAsia" w:ascii="宋体" w:hAnsi="宋体" w:cs="宋体"/>
          <w:color w:val="auto"/>
          <w:sz w:val="24"/>
          <w:highlight w:val="none"/>
        </w:rPr>
        <w:t>合同签订时间：    年   月    日</w:t>
      </w:r>
    </w:p>
    <w:p w14:paraId="7EE2D640">
      <w:pPr>
        <w:spacing w:line="360" w:lineRule="auto"/>
        <w:jc w:val="left"/>
        <w:rPr>
          <w:rFonts w:hint="eastAsia" w:ascii="宋体" w:hAnsi="宋体" w:cs="宋体"/>
          <w:color w:val="auto"/>
          <w:sz w:val="24"/>
          <w:highlight w:val="none"/>
        </w:rPr>
      </w:pPr>
    </w:p>
    <w:p w14:paraId="143753A3">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甲    方                           乙    方</w:t>
      </w:r>
    </w:p>
    <w:p w14:paraId="6C4C247A">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单位名称：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单位名称： </w:t>
      </w:r>
    </w:p>
    <w:p w14:paraId="78F8EB4D">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地   址：  </w:t>
      </w:r>
      <w:r>
        <w:rPr>
          <w:rFonts w:hint="eastAsia" w:ascii="宋体" w:hAnsi="宋体" w:cs="宋体"/>
          <w:color w:val="auto"/>
          <w:sz w:val="24"/>
          <w:highlight w:val="none"/>
        </w:rPr>
        <w:tab/>
      </w:r>
      <w:r>
        <w:rPr>
          <w:rFonts w:hint="eastAsia" w:ascii="宋体" w:hAnsi="宋体" w:cs="宋体"/>
          <w:color w:val="auto"/>
          <w:sz w:val="24"/>
          <w:highlight w:val="none"/>
        </w:rPr>
        <w:t xml:space="preserve">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地    址：</w:t>
      </w:r>
    </w:p>
    <w:p w14:paraId="5C59F8FC">
      <w:pPr>
        <w:spacing w:line="360" w:lineRule="auto"/>
        <w:jc w:val="left"/>
        <w:rPr>
          <w:rFonts w:hint="eastAsia" w:ascii="宋体" w:hAnsi="宋体" w:cs="宋体"/>
          <w:color w:val="auto"/>
          <w:sz w:val="24"/>
          <w:highlight w:val="none"/>
        </w:rPr>
      </w:pPr>
    </w:p>
    <w:p w14:paraId="7D678910">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法人代表：                         法人代表： </w:t>
      </w:r>
    </w:p>
    <w:p w14:paraId="1273543F">
      <w:pPr>
        <w:spacing w:line="360" w:lineRule="auto"/>
        <w:jc w:val="left"/>
        <w:rPr>
          <w:rFonts w:hint="eastAsia" w:ascii="宋体" w:hAnsi="宋体" w:cs="宋体"/>
          <w:color w:val="auto"/>
          <w:sz w:val="24"/>
          <w:highlight w:val="none"/>
        </w:rPr>
      </w:pPr>
    </w:p>
    <w:p w14:paraId="2BC9D469">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联系电话：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联系电话： </w:t>
      </w:r>
    </w:p>
    <w:p w14:paraId="155722EC">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开 户 行：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开 户 行： </w:t>
      </w:r>
    </w:p>
    <w:p w14:paraId="5CB2C3D3">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账    号：             </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w:t>
      </w:r>
      <w:r>
        <w:rPr>
          <w:rFonts w:hint="eastAsia" w:ascii="宋体" w:hAnsi="宋体" w:cs="宋体"/>
          <w:color w:val="auto"/>
          <w:sz w:val="24"/>
          <w:highlight w:val="none"/>
        </w:rPr>
        <w:tab/>
      </w:r>
      <w:r>
        <w:rPr>
          <w:rFonts w:hint="eastAsia" w:ascii="宋体" w:hAnsi="宋体" w:cs="宋体"/>
          <w:color w:val="auto"/>
          <w:sz w:val="24"/>
          <w:highlight w:val="none"/>
        </w:rPr>
        <w:t>账    号：</w:t>
      </w:r>
      <w:r>
        <w:rPr>
          <w:rFonts w:hint="eastAsia" w:ascii="宋体" w:hAnsi="宋体" w:cs="宋体"/>
          <w:b/>
          <w:bCs/>
          <w:color w:val="auto"/>
          <w:sz w:val="24"/>
          <w:highlight w:val="none"/>
        </w:rPr>
        <w:br w:type="page"/>
      </w:r>
      <w:r>
        <w:rPr>
          <w:rFonts w:hint="eastAsia" w:ascii="宋体" w:hAnsi="宋体" w:cs="宋体"/>
          <w:b/>
          <w:bCs/>
          <w:color w:val="auto"/>
          <w:sz w:val="24"/>
          <w:highlight w:val="none"/>
        </w:rPr>
        <w:t>附件1 采购内容</w:t>
      </w:r>
    </w:p>
    <w:tbl>
      <w:tblPr>
        <w:tblStyle w:val="5"/>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3F2E7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noWrap w:val="0"/>
            <w:vAlign w:val="center"/>
          </w:tcPr>
          <w:p w14:paraId="29608273">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序号</w:t>
            </w:r>
          </w:p>
        </w:tc>
        <w:tc>
          <w:tcPr>
            <w:tcW w:w="1227" w:type="dxa"/>
            <w:noWrap w:val="0"/>
            <w:vAlign w:val="center"/>
          </w:tcPr>
          <w:p w14:paraId="61CEB149">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产品名称</w:t>
            </w:r>
          </w:p>
        </w:tc>
        <w:tc>
          <w:tcPr>
            <w:tcW w:w="850" w:type="dxa"/>
            <w:noWrap w:val="0"/>
            <w:vAlign w:val="center"/>
          </w:tcPr>
          <w:p w14:paraId="494BC5ED">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规格</w:t>
            </w:r>
            <w:r>
              <w:rPr>
                <w:rFonts w:hint="eastAsia" w:ascii="宋体" w:hAnsi="宋体" w:cs="宋体"/>
                <w:bCs/>
                <w:color w:val="auto"/>
                <w:sz w:val="24"/>
                <w:highlight w:val="none"/>
              </w:rPr>
              <w:t>型号</w:t>
            </w:r>
          </w:p>
        </w:tc>
        <w:tc>
          <w:tcPr>
            <w:tcW w:w="849" w:type="dxa"/>
            <w:noWrap w:val="0"/>
            <w:vAlign w:val="center"/>
          </w:tcPr>
          <w:p w14:paraId="5B33588D">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产地</w:t>
            </w:r>
          </w:p>
        </w:tc>
        <w:tc>
          <w:tcPr>
            <w:tcW w:w="1133" w:type="dxa"/>
            <w:noWrap w:val="0"/>
            <w:vAlign w:val="center"/>
          </w:tcPr>
          <w:p w14:paraId="35796B0B">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生产     厂家</w:t>
            </w:r>
          </w:p>
        </w:tc>
        <w:tc>
          <w:tcPr>
            <w:tcW w:w="803" w:type="dxa"/>
            <w:noWrap w:val="0"/>
            <w:vAlign w:val="center"/>
          </w:tcPr>
          <w:p w14:paraId="38B4347F">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单位</w:t>
            </w:r>
          </w:p>
        </w:tc>
        <w:tc>
          <w:tcPr>
            <w:tcW w:w="802" w:type="dxa"/>
            <w:noWrap w:val="0"/>
            <w:vAlign w:val="center"/>
          </w:tcPr>
          <w:p w14:paraId="4508A0EB">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数量</w:t>
            </w:r>
          </w:p>
        </w:tc>
        <w:tc>
          <w:tcPr>
            <w:tcW w:w="1243" w:type="dxa"/>
            <w:noWrap w:val="0"/>
            <w:vAlign w:val="center"/>
          </w:tcPr>
          <w:p w14:paraId="210B452C">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单价</w:t>
            </w:r>
          </w:p>
          <w:p w14:paraId="5C0F2CC0">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（元）</w:t>
            </w:r>
          </w:p>
        </w:tc>
        <w:tc>
          <w:tcPr>
            <w:tcW w:w="1148" w:type="dxa"/>
            <w:noWrap w:val="0"/>
            <w:vAlign w:val="center"/>
          </w:tcPr>
          <w:p w14:paraId="35627165">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合计</w:t>
            </w:r>
          </w:p>
          <w:p w14:paraId="48E6AE7B">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（元）</w:t>
            </w:r>
          </w:p>
        </w:tc>
        <w:tc>
          <w:tcPr>
            <w:tcW w:w="819" w:type="dxa"/>
            <w:noWrap w:val="0"/>
            <w:vAlign w:val="center"/>
          </w:tcPr>
          <w:p w14:paraId="35488B44">
            <w:pPr>
              <w:tabs>
                <w:tab w:val="left" w:pos="810"/>
              </w:tabs>
              <w:spacing w:line="400" w:lineRule="exact"/>
              <w:jc w:val="center"/>
              <w:rPr>
                <w:rFonts w:hint="eastAsia" w:ascii="宋体" w:hAnsi="宋体" w:cs="宋体"/>
                <w:bCs/>
                <w:color w:val="auto"/>
                <w:sz w:val="24"/>
                <w:highlight w:val="none"/>
              </w:rPr>
            </w:pPr>
            <w:r>
              <w:rPr>
                <w:rFonts w:hint="eastAsia" w:ascii="宋体" w:hAnsi="宋体" w:cs="宋体"/>
                <w:bCs/>
                <w:color w:val="auto"/>
                <w:sz w:val="24"/>
                <w:highlight w:val="none"/>
              </w:rPr>
              <w:t>备注</w:t>
            </w:r>
          </w:p>
        </w:tc>
      </w:tr>
      <w:tr w14:paraId="2B6FC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05B7B974">
            <w:pPr>
              <w:spacing w:line="400" w:lineRule="exact"/>
              <w:jc w:val="center"/>
              <w:rPr>
                <w:rFonts w:hint="eastAsia" w:ascii="宋体" w:hAnsi="宋体" w:cs="宋体"/>
                <w:bCs/>
                <w:color w:val="auto"/>
                <w:sz w:val="24"/>
                <w:highlight w:val="none"/>
              </w:rPr>
            </w:pPr>
          </w:p>
        </w:tc>
        <w:tc>
          <w:tcPr>
            <w:tcW w:w="1227" w:type="dxa"/>
            <w:noWrap w:val="0"/>
            <w:vAlign w:val="center"/>
          </w:tcPr>
          <w:p w14:paraId="42E8B509">
            <w:pPr>
              <w:spacing w:line="400" w:lineRule="exact"/>
              <w:jc w:val="center"/>
              <w:rPr>
                <w:rFonts w:hint="eastAsia" w:ascii="宋体" w:hAnsi="宋体" w:cs="宋体"/>
                <w:bCs/>
                <w:color w:val="auto"/>
                <w:sz w:val="24"/>
                <w:highlight w:val="none"/>
              </w:rPr>
            </w:pPr>
          </w:p>
        </w:tc>
        <w:tc>
          <w:tcPr>
            <w:tcW w:w="850" w:type="dxa"/>
            <w:noWrap w:val="0"/>
            <w:vAlign w:val="center"/>
          </w:tcPr>
          <w:p w14:paraId="4744EED9">
            <w:pPr>
              <w:spacing w:line="400" w:lineRule="exact"/>
              <w:jc w:val="center"/>
              <w:rPr>
                <w:rFonts w:hint="eastAsia" w:ascii="宋体" w:hAnsi="宋体" w:cs="宋体"/>
                <w:bCs/>
                <w:color w:val="auto"/>
                <w:sz w:val="24"/>
                <w:highlight w:val="none"/>
              </w:rPr>
            </w:pPr>
          </w:p>
        </w:tc>
        <w:tc>
          <w:tcPr>
            <w:tcW w:w="849" w:type="dxa"/>
            <w:noWrap w:val="0"/>
            <w:vAlign w:val="center"/>
          </w:tcPr>
          <w:p w14:paraId="516D5F44">
            <w:pPr>
              <w:spacing w:line="400" w:lineRule="exact"/>
              <w:jc w:val="center"/>
              <w:rPr>
                <w:rFonts w:hint="eastAsia" w:ascii="宋体" w:hAnsi="宋体" w:cs="宋体"/>
                <w:bCs/>
                <w:color w:val="auto"/>
                <w:sz w:val="24"/>
                <w:highlight w:val="none"/>
              </w:rPr>
            </w:pPr>
          </w:p>
        </w:tc>
        <w:tc>
          <w:tcPr>
            <w:tcW w:w="1133" w:type="dxa"/>
            <w:noWrap w:val="0"/>
            <w:vAlign w:val="center"/>
          </w:tcPr>
          <w:p w14:paraId="381580AE">
            <w:pPr>
              <w:spacing w:line="400" w:lineRule="exact"/>
              <w:jc w:val="center"/>
              <w:rPr>
                <w:rFonts w:hint="eastAsia" w:ascii="宋体" w:hAnsi="宋体" w:cs="宋体"/>
                <w:bCs/>
                <w:color w:val="auto"/>
                <w:sz w:val="24"/>
                <w:highlight w:val="none"/>
              </w:rPr>
            </w:pPr>
          </w:p>
        </w:tc>
        <w:tc>
          <w:tcPr>
            <w:tcW w:w="803" w:type="dxa"/>
            <w:noWrap w:val="0"/>
            <w:vAlign w:val="center"/>
          </w:tcPr>
          <w:p w14:paraId="22916196">
            <w:pPr>
              <w:spacing w:line="400" w:lineRule="exact"/>
              <w:jc w:val="center"/>
              <w:rPr>
                <w:rFonts w:hint="eastAsia" w:ascii="宋体" w:hAnsi="宋体" w:cs="宋体"/>
                <w:bCs/>
                <w:color w:val="auto"/>
                <w:sz w:val="24"/>
                <w:highlight w:val="none"/>
              </w:rPr>
            </w:pPr>
          </w:p>
        </w:tc>
        <w:tc>
          <w:tcPr>
            <w:tcW w:w="802" w:type="dxa"/>
            <w:noWrap w:val="0"/>
            <w:vAlign w:val="center"/>
          </w:tcPr>
          <w:p w14:paraId="3B87D3D2">
            <w:pPr>
              <w:spacing w:line="400" w:lineRule="exact"/>
              <w:jc w:val="center"/>
              <w:rPr>
                <w:rFonts w:hint="eastAsia" w:ascii="宋体" w:hAnsi="宋体" w:cs="宋体"/>
                <w:bCs/>
                <w:color w:val="auto"/>
                <w:sz w:val="24"/>
                <w:highlight w:val="none"/>
              </w:rPr>
            </w:pPr>
          </w:p>
        </w:tc>
        <w:tc>
          <w:tcPr>
            <w:tcW w:w="1243" w:type="dxa"/>
            <w:noWrap w:val="0"/>
            <w:vAlign w:val="center"/>
          </w:tcPr>
          <w:p w14:paraId="20F283DE">
            <w:pPr>
              <w:spacing w:line="400" w:lineRule="exact"/>
              <w:jc w:val="center"/>
              <w:rPr>
                <w:rFonts w:hint="eastAsia" w:ascii="宋体" w:hAnsi="宋体" w:cs="宋体"/>
                <w:bCs/>
                <w:color w:val="auto"/>
                <w:sz w:val="24"/>
                <w:highlight w:val="none"/>
              </w:rPr>
            </w:pPr>
          </w:p>
        </w:tc>
        <w:tc>
          <w:tcPr>
            <w:tcW w:w="1148" w:type="dxa"/>
            <w:noWrap w:val="0"/>
            <w:vAlign w:val="center"/>
          </w:tcPr>
          <w:p w14:paraId="338770A9">
            <w:pPr>
              <w:spacing w:line="400" w:lineRule="exact"/>
              <w:jc w:val="center"/>
              <w:rPr>
                <w:rFonts w:hint="eastAsia" w:ascii="宋体" w:hAnsi="宋体" w:cs="宋体"/>
                <w:bCs/>
                <w:color w:val="auto"/>
                <w:sz w:val="24"/>
                <w:highlight w:val="none"/>
              </w:rPr>
            </w:pPr>
          </w:p>
        </w:tc>
        <w:tc>
          <w:tcPr>
            <w:tcW w:w="819" w:type="dxa"/>
            <w:noWrap w:val="0"/>
            <w:vAlign w:val="center"/>
          </w:tcPr>
          <w:p w14:paraId="73B8B54A">
            <w:pPr>
              <w:spacing w:line="400" w:lineRule="exact"/>
              <w:jc w:val="center"/>
              <w:rPr>
                <w:rFonts w:hint="eastAsia" w:ascii="宋体" w:hAnsi="宋体" w:cs="宋体"/>
                <w:bCs/>
                <w:color w:val="auto"/>
                <w:sz w:val="24"/>
                <w:highlight w:val="none"/>
              </w:rPr>
            </w:pPr>
          </w:p>
        </w:tc>
      </w:tr>
      <w:tr w14:paraId="012BA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496F18AD">
            <w:pPr>
              <w:spacing w:line="400" w:lineRule="exact"/>
              <w:jc w:val="center"/>
              <w:rPr>
                <w:rFonts w:hint="eastAsia" w:ascii="宋体" w:hAnsi="宋体" w:cs="宋体"/>
                <w:bCs/>
                <w:color w:val="auto"/>
                <w:sz w:val="24"/>
                <w:highlight w:val="none"/>
              </w:rPr>
            </w:pPr>
          </w:p>
        </w:tc>
        <w:tc>
          <w:tcPr>
            <w:tcW w:w="1227" w:type="dxa"/>
            <w:noWrap w:val="0"/>
            <w:vAlign w:val="center"/>
          </w:tcPr>
          <w:p w14:paraId="3412381A">
            <w:pPr>
              <w:spacing w:line="400" w:lineRule="exact"/>
              <w:jc w:val="center"/>
              <w:rPr>
                <w:rFonts w:hint="eastAsia" w:ascii="宋体" w:hAnsi="宋体" w:cs="宋体"/>
                <w:bCs/>
                <w:color w:val="auto"/>
                <w:sz w:val="24"/>
                <w:highlight w:val="none"/>
              </w:rPr>
            </w:pPr>
          </w:p>
        </w:tc>
        <w:tc>
          <w:tcPr>
            <w:tcW w:w="850" w:type="dxa"/>
            <w:noWrap w:val="0"/>
            <w:vAlign w:val="center"/>
          </w:tcPr>
          <w:p w14:paraId="4F431750">
            <w:pPr>
              <w:spacing w:line="400" w:lineRule="exact"/>
              <w:jc w:val="center"/>
              <w:rPr>
                <w:rFonts w:hint="eastAsia" w:ascii="宋体" w:hAnsi="宋体" w:cs="宋体"/>
                <w:bCs/>
                <w:color w:val="auto"/>
                <w:sz w:val="24"/>
                <w:highlight w:val="none"/>
              </w:rPr>
            </w:pPr>
          </w:p>
        </w:tc>
        <w:tc>
          <w:tcPr>
            <w:tcW w:w="849" w:type="dxa"/>
            <w:noWrap w:val="0"/>
            <w:vAlign w:val="center"/>
          </w:tcPr>
          <w:p w14:paraId="7D778BF3">
            <w:pPr>
              <w:spacing w:line="400" w:lineRule="exact"/>
              <w:jc w:val="center"/>
              <w:rPr>
                <w:rFonts w:hint="eastAsia" w:ascii="宋体" w:hAnsi="宋体" w:cs="宋体"/>
                <w:bCs/>
                <w:color w:val="auto"/>
                <w:sz w:val="24"/>
                <w:highlight w:val="none"/>
              </w:rPr>
            </w:pPr>
          </w:p>
        </w:tc>
        <w:tc>
          <w:tcPr>
            <w:tcW w:w="1133" w:type="dxa"/>
            <w:noWrap w:val="0"/>
            <w:vAlign w:val="center"/>
          </w:tcPr>
          <w:p w14:paraId="29F7E23A">
            <w:pPr>
              <w:spacing w:line="400" w:lineRule="exact"/>
              <w:jc w:val="center"/>
              <w:rPr>
                <w:rFonts w:hint="eastAsia" w:ascii="宋体" w:hAnsi="宋体" w:cs="宋体"/>
                <w:bCs/>
                <w:color w:val="auto"/>
                <w:sz w:val="24"/>
                <w:highlight w:val="none"/>
              </w:rPr>
            </w:pPr>
          </w:p>
        </w:tc>
        <w:tc>
          <w:tcPr>
            <w:tcW w:w="803" w:type="dxa"/>
            <w:noWrap w:val="0"/>
            <w:vAlign w:val="center"/>
          </w:tcPr>
          <w:p w14:paraId="546D772E">
            <w:pPr>
              <w:spacing w:line="400" w:lineRule="exact"/>
              <w:jc w:val="center"/>
              <w:rPr>
                <w:rFonts w:hint="eastAsia" w:ascii="宋体" w:hAnsi="宋体" w:cs="宋体"/>
                <w:bCs/>
                <w:color w:val="auto"/>
                <w:sz w:val="24"/>
                <w:highlight w:val="none"/>
              </w:rPr>
            </w:pPr>
          </w:p>
        </w:tc>
        <w:tc>
          <w:tcPr>
            <w:tcW w:w="802" w:type="dxa"/>
            <w:noWrap w:val="0"/>
            <w:vAlign w:val="center"/>
          </w:tcPr>
          <w:p w14:paraId="27CB2DED">
            <w:pPr>
              <w:spacing w:line="400" w:lineRule="exact"/>
              <w:jc w:val="center"/>
              <w:rPr>
                <w:rFonts w:hint="eastAsia" w:ascii="宋体" w:hAnsi="宋体" w:cs="宋体"/>
                <w:bCs/>
                <w:color w:val="auto"/>
                <w:sz w:val="24"/>
                <w:highlight w:val="none"/>
              </w:rPr>
            </w:pPr>
          </w:p>
        </w:tc>
        <w:tc>
          <w:tcPr>
            <w:tcW w:w="1243" w:type="dxa"/>
            <w:noWrap w:val="0"/>
            <w:vAlign w:val="center"/>
          </w:tcPr>
          <w:p w14:paraId="66353606">
            <w:pPr>
              <w:spacing w:line="400" w:lineRule="exact"/>
              <w:jc w:val="center"/>
              <w:rPr>
                <w:rFonts w:hint="eastAsia" w:ascii="宋体" w:hAnsi="宋体" w:cs="宋体"/>
                <w:bCs/>
                <w:color w:val="auto"/>
                <w:sz w:val="24"/>
                <w:highlight w:val="none"/>
              </w:rPr>
            </w:pPr>
          </w:p>
        </w:tc>
        <w:tc>
          <w:tcPr>
            <w:tcW w:w="1148" w:type="dxa"/>
            <w:noWrap w:val="0"/>
            <w:vAlign w:val="center"/>
          </w:tcPr>
          <w:p w14:paraId="560ED965">
            <w:pPr>
              <w:spacing w:line="400" w:lineRule="exact"/>
              <w:jc w:val="center"/>
              <w:rPr>
                <w:rFonts w:hint="eastAsia" w:ascii="宋体" w:hAnsi="宋体" w:cs="宋体"/>
                <w:bCs/>
                <w:color w:val="auto"/>
                <w:sz w:val="24"/>
                <w:highlight w:val="none"/>
              </w:rPr>
            </w:pPr>
          </w:p>
        </w:tc>
        <w:tc>
          <w:tcPr>
            <w:tcW w:w="819" w:type="dxa"/>
            <w:noWrap w:val="0"/>
            <w:vAlign w:val="center"/>
          </w:tcPr>
          <w:p w14:paraId="22F6CE96">
            <w:pPr>
              <w:spacing w:line="400" w:lineRule="exact"/>
              <w:jc w:val="center"/>
              <w:rPr>
                <w:rFonts w:hint="eastAsia" w:ascii="宋体" w:hAnsi="宋体" w:cs="宋体"/>
                <w:bCs/>
                <w:color w:val="auto"/>
                <w:sz w:val="24"/>
                <w:highlight w:val="none"/>
              </w:rPr>
            </w:pPr>
          </w:p>
        </w:tc>
      </w:tr>
      <w:tr w14:paraId="1F65F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79D23145">
            <w:pPr>
              <w:spacing w:line="400" w:lineRule="exact"/>
              <w:jc w:val="center"/>
              <w:rPr>
                <w:rFonts w:hint="eastAsia" w:ascii="宋体" w:hAnsi="宋体" w:cs="宋体"/>
                <w:bCs/>
                <w:color w:val="auto"/>
                <w:sz w:val="24"/>
                <w:highlight w:val="none"/>
              </w:rPr>
            </w:pPr>
          </w:p>
        </w:tc>
        <w:tc>
          <w:tcPr>
            <w:tcW w:w="1227" w:type="dxa"/>
            <w:noWrap w:val="0"/>
            <w:vAlign w:val="center"/>
          </w:tcPr>
          <w:p w14:paraId="4BFC9482">
            <w:pPr>
              <w:spacing w:line="400" w:lineRule="exact"/>
              <w:jc w:val="center"/>
              <w:rPr>
                <w:rFonts w:hint="eastAsia" w:ascii="宋体" w:hAnsi="宋体" w:cs="宋体"/>
                <w:bCs/>
                <w:color w:val="auto"/>
                <w:sz w:val="24"/>
                <w:highlight w:val="none"/>
              </w:rPr>
            </w:pPr>
          </w:p>
        </w:tc>
        <w:tc>
          <w:tcPr>
            <w:tcW w:w="850" w:type="dxa"/>
            <w:noWrap w:val="0"/>
            <w:vAlign w:val="center"/>
          </w:tcPr>
          <w:p w14:paraId="6D30D346">
            <w:pPr>
              <w:spacing w:line="400" w:lineRule="exact"/>
              <w:jc w:val="center"/>
              <w:rPr>
                <w:rFonts w:hint="eastAsia" w:ascii="宋体" w:hAnsi="宋体" w:cs="宋体"/>
                <w:bCs/>
                <w:color w:val="auto"/>
                <w:sz w:val="24"/>
                <w:highlight w:val="none"/>
              </w:rPr>
            </w:pPr>
          </w:p>
        </w:tc>
        <w:tc>
          <w:tcPr>
            <w:tcW w:w="849" w:type="dxa"/>
            <w:noWrap w:val="0"/>
            <w:vAlign w:val="center"/>
          </w:tcPr>
          <w:p w14:paraId="2DF12574">
            <w:pPr>
              <w:spacing w:line="400" w:lineRule="exact"/>
              <w:jc w:val="center"/>
              <w:rPr>
                <w:rFonts w:hint="eastAsia" w:ascii="宋体" w:hAnsi="宋体" w:cs="宋体"/>
                <w:bCs/>
                <w:color w:val="auto"/>
                <w:sz w:val="24"/>
                <w:highlight w:val="none"/>
              </w:rPr>
            </w:pPr>
          </w:p>
        </w:tc>
        <w:tc>
          <w:tcPr>
            <w:tcW w:w="1133" w:type="dxa"/>
            <w:noWrap w:val="0"/>
            <w:vAlign w:val="center"/>
          </w:tcPr>
          <w:p w14:paraId="4633D672">
            <w:pPr>
              <w:spacing w:line="400" w:lineRule="exact"/>
              <w:jc w:val="center"/>
              <w:rPr>
                <w:rFonts w:hint="eastAsia" w:ascii="宋体" w:hAnsi="宋体" w:cs="宋体"/>
                <w:bCs/>
                <w:color w:val="auto"/>
                <w:sz w:val="24"/>
                <w:highlight w:val="none"/>
              </w:rPr>
            </w:pPr>
          </w:p>
        </w:tc>
        <w:tc>
          <w:tcPr>
            <w:tcW w:w="803" w:type="dxa"/>
            <w:noWrap w:val="0"/>
            <w:vAlign w:val="center"/>
          </w:tcPr>
          <w:p w14:paraId="72A04D3F">
            <w:pPr>
              <w:spacing w:line="400" w:lineRule="exact"/>
              <w:jc w:val="center"/>
              <w:rPr>
                <w:rFonts w:hint="eastAsia" w:ascii="宋体" w:hAnsi="宋体" w:cs="宋体"/>
                <w:bCs/>
                <w:color w:val="auto"/>
                <w:sz w:val="24"/>
                <w:highlight w:val="none"/>
              </w:rPr>
            </w:pPr>
          </w:p>
        </w:tc>
        <w:tc>
          <w:tcPr>
            <w:tcW w:w="802" w:type="dxa"/>
            <w:noWrap w:val="0"/>
            <w:vAlign w:val="center"/>
          </w:tcPr>
          <w:p w14:paraId="643A7E67">
            <w:pPr>
              <w:spacing w:line="400" w:lineRule="exact"/>
              <w:jc w:val="center"/>
              <w:rPr>
                <w:rFonts w:hint="eastAsia" w:ascii="宋体" w:hAnsi="宋体" w:cs="宋体"/>
                <w:bCs/>
                <w:color w:val="auto"/>
                <w:sz w:val="24"/>
                <w:highlight w:val="none"/>
              </w:rPr>
            </w:pPr>
          </w:p>
        </w:tc>
        <w:tc>
          <w:tcPr>
            <w:tcW w:w="1243" w:type="dxa"/>
            <w:noWrap w:val="0"/>
            <w:vAlign w:val="center"/>
          </w:tcPr>
          <w:p w14:paraId="5A38D558">
            <w:pPr>
              <w:spacing w:line="400" w:lineRule="exact"/>
              <w:jc w:val="center"/>
              <w:rPr>
                <w:rFonts w:hint="eastAsia" w:ascii="宋体" w:hAnsi="宋体" w:cs="宋体"/>
                <w:bCs/>
                <w:color w:val="auto"/>
                <w:sz w:val="24"/>
                <w:highlight w:val="none"/>
              </w:rPr>
            </w:pPr>
          </w:p>
        </w:tc>
        <w:tc>
          <w:tcPr>
            <w:tcW w:w="1148" w:type="dxa"/>
            <w:noWrap w:val="0"/>
            <w:vAlign w:val="center"/>
          </w:tcPr>
          <w:p w14:paraId="5BCF59E9">
            <w:pPr>
              <w:spacing w:line="400" w:lineRule="exact"/>
              <w:jc w:val="center"/>
              <w:rPr>
                <w:rFonts w:hint="eastAsia" w:ascii="宋体" w:hAnsi="宋体" w:cs="宋体"/>
                <w:bCs/>
                <w:color w:val="auto"/>
                <w:sz w:val="24"/>
                <w:highlight w:val="none"/>
              </w:rPr>
            </w:pPr>
          </w:p>
        </w:tc>
        <w:tc>
          <w:tcPr>
            <w:tcW w:w="819" w:type="dxa"/>
            <w:noWrap w:val="0"/>
            <w:vAlign w:val="center"/>
          </w:tcPr>
          <w:p w14:paraId="0DD95167">
            <w:pPr>
              <w:spacing w:line="400" w:lineRule="exact"/>
              <w:jc w:val="center"/>
              <w:rPr>
                <w:rFonts w:hint="eastAsia" w:ascii="宋体" w:hAnsi="宋体" w:cs="宋体"/>
                <w:bCs/>
                <w:color w:val="auto"/>
                <w:sz w:val="24"/>
                <w:highlight w:val="none"/>
              </w:rPr>
            </w:pPr>
          </w:p>
        </w:tc>
      </w:tr>
      <w:tr w14:paraId="22B2A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25196B3A">
            <w:pPr>
              <w:spacing w:line="400" w:lineRule="exact"/>
              <w:jc w:val="center"/>
              <w:rPr>
                <w:rFonts w:hint="eastAsia" w:ascii="宋体" w:hAnsi="宋体" w:cs="宋体"/>
                <w:bCs/>
                <w:color w:val="auto"/>
                <w:sz w:val="24"/>
                <w:highlight w:val="none"/>
              </w:rPr>
            </w:pPr>
          </w:p>
        </w:tc>
        <w:tc>
          <w:tcPr>
            <w:tcW w:w="1227" w:type="dxa"/>
            <w:noWrap w:val="0"/>
            <w:vAlign w:val="center"/>
          </w:tcPr>
          <w:p w14:paraId="332A3E43">
            <w:pPr>
              <w:spacing w:line="400" w:lineRule="exact"/>
              <w:jc w:val="center"/>
              <w:rPr>
                <w:rFonts w:hint="eastAsia" w:ascii="宋体" w:hAnsi="宋体" w:cs="宋体"/>
                <w:bCs/>
                <w:color w:val="auto"/>
                <w:sz w:val="24"/>
                <w:highlight w:val="none"/>
              </w:rPr>
            </w:pPr>
          </w:p>
        </w:tc>
        <w:tc>
          <w:tcPr>
            <w:tcW w:w="850" w:type="dxa"/>
            <w:noWrap w:val="0"/>
            <w:vAlign w:val="center"/>
          </w:tcPr>
          <w:p w14:paraId="2552244E">
            <w:pPr>
              <w:spacing w:line="400" w:lineRule="exact"/>
              <w:jc w:val="center"/>
              <w:rPr>
                <w:rFonts w:hint="eastAsia" w:ascii="宋体" w:hAnsi="宋体" w:cs="宋体"/>
                <w:bCs/>
                <w:color w:val="auto"/>
                <w:sz w:val="24"/>
                <w:highlight w:val="none"/>
              </w:rPr>
            </w:pPr>
          </w:p>
        </w:tc>
        <w:tc>
          <w:tcPr>
            <w:tcW w:w="849" w:type="dxa"/>
            <w:noWrap w:val="0"/>
            <w:vAlign w:val="center"/>
          </w:tcPr>
          <w:p w14:paraId="072FC252">
            <w:pPr>
              <w:spacing w:line="400" w:lineRule="exact"/>
              <w:jc w:val="center"/>
              <w:rPr>
                <w:rFonts w:hint="eastAsia" w:ascii="宋体" w:hAnsi="宋体" w:cs="宋体"/>
                <w:bCs/>
                <w:color w:val="auto"/>
                <w:sz w:val="24"/>
                <w:highlight w:val="none"/>
              </w:rPr>
            </w:pPr>
          </w:p>
        </w:tc>
        <w:tc>
          <w:tcPr>
            <w:tcW w:w="1133" w:type="dxa"/>
            <w:noWrap w:val="0"/>
            <w:vAlign w:val="center"/>
          </w:tcPr>
          <w:p w14:paraId="3BD5ABD5">
            <w:pPr>
              <w:spacing w:line="400" w:lineRule="exact"/>
              <w:jc w:val="center"/>
              <w:rPr>
                <w:rFonts w:hint="eastAsia" w:ascii="宋体" w:hAnsi="宋体" w:cs="宋体"/>
                <w:bCs/>
                <w:color w:val="auto"/>
                <w:sz w:val="24"/>
                <w:highlight w:val="none"/>
              </w:rPr>
            </w:pPr>
          </w:p>
        </w:tc>
        <w:tc>
          <w:tcPr>
            <w:tcW w:w="803" w:type="dxa"/>
            <w:noWrap w:val="0"/>
            <w:vAlign w:val="center"/>
          </w:tcPr>
          <w:p w14:paraId="4133BB4D">
            <w:pPr>
              <w:spacing w:line="400" w:lineRule="exact"/>
              <w:jc w:val="center"/>
              <w:rPr>
                <w:rFonts w:hint="eastAsia" w:ascii="宋体" w:hAnsi="宋体" w:cs="宋体"/>
                <w:bCs/>
                <w:color w:val="auto"/>
                <w:sz w:val="24"/>
                <w:highlight w:val="none"/>
              </w:rPr>
            </w:pPr>
          </w:p>
        </w:tc>
        <w:tc>
          <w:tcPr>
            <w:tcW w:w="802" w:type="dxa"/>
            <w:noWrap w:val="0"/>
            <w:vAlign w:val="center"/>
          </w:tcPr>
          <w:p w14:paraId="2938321C">
            <w:pPr>
              <w:spacing w:line="400" w:lineRule="exact"/>
              <w:jc w:val="center"/>
              <w:rPr>
                <w:rFonts w:hint="eastAsia" w:ascii="宋体" w:hAnsi="宋体" w:cs="宋体"/>
                <w:bCs/>
                <w:color w:val="auto"/>
                <w:sz w:val="24"/>
                <w:highlight w:val="none"/>
              </w:rPr>
            </w:pPr>
          </w:p>
        </w:tc>
        <w:tc>
          <w:tcPr>
            <w:tcW w:w="1243" w:type="dxa"/>
            <w:noWrap w:val="0"/>
            <w:vAlign w:val="center"/>
          </w:tcPr>
          <w:p w14:paraId="38478884">
            <w:pPr>
              <w:spacing w:line="400" w:lineRule="exact"/>
              <w:jc w:val="center"/>
              <w:rPr>
                <w:rFonts w:hint="eastAsia" w:ascii="宋体" w:hAnsi="宋体" w:cs="宋体"/>
                <w:bCs/>
                <w:color w:val="auto"/>
                <w:sz w:val="24"/>
                <w:highlight w:val="none"/>
              </w:rPr>
            </w:pPr>
          </w:p>
        </w:tc>
        <w:tc>
          <w:tcPr>
            <w:tcW w:w="1148" w:type="dxa"/>
            <w:noWrap w:val="0"/>
            <w:vAlign w:val="center"/>
          </w:tcPr>
          <w:p w14:paraId="68F18818">
            <w:pPr>
              <w:spacing w:line="400" w:lineRule="exact"/>
              <w:jc w:val="center"/>
              <w:rPr>
                <w:rFonts w:hint="eastAsia" w:ascii="宋体" w:hAnsi="宋体" w:cs="宋体"/>
                <w:bCs/>
                <w:color w:val="auto"/>
                <w:sz w:val="24"/>
                <w:highlight w:val="none"/>
              </w:rPr>
            </w:pPr>
          </w:p>
        </w:tc>
        <w:tc>
          <w:tcPr>
            <w:tcW w:w="819" w:type="dxa"/>
            <w:noWrap w:val="0"/>
            <w:vAlign w:val="center"/>
          </w:tcPr>
          <w:p w14:paraId="78CD6DA0">
            <w:pPr>
              <w:spacing w:line="400" w:lineRule="exact"/>
              <w:jc w:val="center"/>
              <w:rPr>
                <w:rFonts w:hint="eastAsia" w:ascii="宋体" w:hAnsi="宋体" w:cs="宋体"/>
                <w:bCs/>
                <w:color w:val="auto"/>
                <w:sz w:val="24"/>
                <w:highlight w:val="none"/>
              </w:rPr>
            </w:pPr>
          </w:p>
        </w:tc>
      </w:tr>
      <w:tr w14:paraId="1633A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noWrap w:val="0"/>
            <w:vAlign w:val="center"/>
          </w:tcPr>
          <w:p w14:paraId="71695E03">
            <w:pPr>
              <w:spacing w:line="400" w:lineRule="exact"/>
              <w:jc w:val="left"/>
              <w:rPr>
                <w:rFonts w:hint="eastAsia" w:ascii="宋体" w:hAnsi="宋体" w:cs="宋体"/>
                <w:color w:val="auto"/>
                <w:sz w:val="24"/>
                <w:highlight w:val="none"/>
              </w:rPr>
            </w:pPr>
            <w:r>
              <w:rPr>
                <w:rFonts w:hint="eastAsia" w:ascii="宋体" w:hAnsi="宋体" w:cs="宋体"/>
                <w:bCs/>
                <w:color w:val="auto"/>
                <w:sz w:val="24"/>
                <w:highlight w:val="none"/>
              </w:rPr>
              <w:t>总金额：</w:t>
            </w:r>
            <w:r>
              <w:rPr>
                <w:rFonts w:hint="eastAsia" w:ascii="宋体" w:hAnsi="宋体" w:cs="宋体"/>
                <w:color w:val="auto"/>
                <w:sz w:val="24"/>
                <w:highlight w:val="none"/>
              </w:rPr>
              <w:t>人民币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tc>
      </w:tr>
    </w:tbl>
    <w:p w14:paraId="2AB4A9B7">
      <w:pPr>
        <w:spacing w:line="360" w:lineRule="auto"/>
        <w:jc w:val="left"/>
        <w:rPr>
          <w:rFonts w:hint="eastAsia" w:ascii="宋体" w:hAnsi="宋体" w:cs="宋体"/>
          <w:b/>
          <w:bCs/>
          <w:color w:val="auto"/>
          <w:sz w:val="24"/>
          <w:highlight w:val="none"/>
        </w:rPr>
      </w:pPr>
    </w:p>
    <w:p w14:paraId="5F8662A4">
      <w:pPr>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 xml:space="preserve">附件2 </w:t>
      </w:r>
      <w:r>
        <w:rPr>
          <w:rFonts w:hint="eastAsia" w:ascii="宋体" w:hAnsi="宋体" w:cs="宋体"/>
          <w:b/>
          <w:color w:val="auto"/>
          <w:sz w:val="24"/>
          <w:highlight w:val="none"/>
        </w:rPr>
        <w:t>技术规格及标准</w:t>
      </w:r>
    </w:p>
    <w:p w14:paraId="75FF32A5">
      <w:pPr>
        <w:spacing w:line="360" w:lineRule="auto"/>
        <w:rPr>
          <w:rFonts w:hint="eastAsia" w:ascii="宋体" w:hAnsi="宋体" w:cs="宋体"/>
          <w:bCs/>
          <w:color w:val="auto"/>
          <w:sz w:val="24"/>
          <w:highlight w:val="none"/>
        </w:rPr>
      </w:pPr>
    </w:p>
    <w:p w14:paraId="5B66DAD9">
      <w:pPr>
        <w:pStyle w:val="4"/>
        <w:tabs>
          <w:tab w:val="center" w:pos="4140"/>
          <w:tab w:val="right" w:pos="8300"/>
          <w:tab w:val="clear" w:pos="4153"/>
          <w:tab w:val="clear" w:pos="8306"/>
        </w:tabs>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附件3 配置清单</w:t>
      </w:r>
    </w:p>
    <w:p w14:paraId="4A77FF0E">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BA5A37"/>
    <w:rsid w:val="45BA5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0"/>
    <w:pPr>
      <w:tabs>
        <w:tab w:val="center" w:pos="4153"/>
        <w:tab w:val="right" w:pos="8306"/>
      </w:tabs>
      <w:snapToGrid w:val="0"/>
      <w:jc w:val="left"/>
    </w:pPr>
    <w:rPr>
      <w:sz w:val="18"/>
      <w:szCs w:val="18"/>
    </w:rPr>
  </w:style>
  <w:style w:type="paragraph" w:customStyle="1" w:styleId="7">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2025-10-30T02:32:00Z</dcterms:created>
  <dc:creator>Aurora</dc:creator>
  <cp:lastModifiedBy>Aurora</cp:lastModifiedBy>
  <dcterms:modified xsi:type="dcterms:W3CDTF">2025-10-30T02:33:19Z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BA928434839A4268981ADB3245113D02_11</vt:lpwstr>
  </property>
  <property fmtid="{D5CDD505-2E9C-101B-9397-08002B2CF9AE}" pid="4" name="KSOTemplateDocerSaveRecord">
    <vt:lpwstr>eyJoZGlkIjoiMjFkZWJjZjdkYjI4NGFiYWJjNTI5ZmQzMDdiZTdjOTQiLCJ1c2VySWQiOiIzMjMxNzgwNTIifQ==</vt:lpwstr>
  </property>
</Properties>
</file>