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版本号：KY2025-1-102820251030001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骊山校园教学设施提升改造采购项目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KY2025-1-1028</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骊山校园教学设施提升改造采购项目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KY2025-1-1028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骊山校园教学设施提升改造采购项目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科技大学临潼校区骊山校园9号教学楼17间教室教学设施建设投入时间较早，设施老化严重，现进行整体提升改造，包含新设施安装、调试，旧设施改造利用、并对采购人有关人员进行相关培训。具体内容详见谈判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10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4、社会保障资金缴纳证明：提供2024年10月至今已缴存的至少一个月的社会保障资金缴存单据或社保机构开具的社会保险参保缴费情况证明，依法不需要缴纳社会保障资金的单位应提供相关证明材料。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7、法定代表人授权书：法定代表人授权书及被授权人身份证明。（法定代表人直接谈判只须提供其身份证明）</w:t>
      </w:r>
    </w:p>
    <w:p>
      <w:pPr>
        <w:pStyle w:val="null3"/>
      </w:pPr>
      <w:r>
        <w:rPr>
          <w:rFonts w:ascii="仿宋_GB2312" w:hAnsi="仿宋_GB2312" w:cs="仿宋_GB2312" w:eastAsia="仿宋_GB2312"/>
        </w:rPr>
        <w:t>8、特定资质：供应商需具有电子与智能化工程专业承包二级或以上资质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汪涛、韩婷、刘金柯、卢韶华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采购包1：553,500.00元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银行账号：86113010750181502000517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金额50万元以下的项目，按照定额4687元交费；成交金额50万元以上的项目，交费金额参照国家计委颁布的《招标代理服务收费管理暂行办法》（计价格[2002]1980号）及发改办价格[2003]857号文件的规定标准的77.5%执行。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踏勘时间：2025-11-05 10:00:00</w:t>
            </w:r>
          </w:p>
          <w:p>
            <w:pPr>
              <w:pStyle w:val="null3"/>
              <w:ind w:firstLine="975"/>
            </w:pPr>
            <w:r>
              <w:rPr>
                <w:rFonts w:ascii="仿宋_GB2312" w:hAnsi="仿宋_GB2312" w:cs="仿宋_GB2312" w:eastAsia="仿宋_GB2312"/>
              </w:rPr>
              <w:t>踏勘地点：自行踏勘，西安科技大学临潼校区骊山校园9号教学楼北门口</w:t>
            </w:r>
          </w:p>
          <w:p>
            <w:pPr>
              <w:pStyle w:val="null3"/>
              <w:ind w:firstLine="975"/>
            </w:pPr>
            <w:r>
              <w:rPr>
                <w:rFonts w:ascii="仿宋_GB2312" w:hAnsi="仿宋_GB2312" w:cs="仿宋_GB2312" w:eastAsia="仿宋_GB2312"/>
              </w:rPr>
              <w:t>联系人：贺老师</w:t>
            </w:r>
          </w:p>
          <w:p>
            <w:pPr>
              <w:pStyle w:val="null3"/>
              <w:ind w:firstLine="975"/>
            </w:pPr>
            <w:r>
              <w:rPr>
                <w:rFonts w:ascii="仿宋_GB2312" w:hAnsi="仿宋_GB2312" w:cs="仿宋_GB2312" w:eastAsia="仿宋_GB2312"/>
              </w:rPr>
              <w:t>联系电话号码：83858031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陕西开源招标有限公司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联系人：汪涛、韩婷</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西安科技大学骊山校园教学设施提升改造采购项目，1批，具体内容详见技术要求。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553,500.00</w:t>
      </w:r>
    </w:p>
    <w:p>
      <w:pPr>
        <w:pStyle w:val="null3"/>
      </w:pPr>
      <w:r>
        <w:rPr>
          <w:rFonts w:ascii="仿宋_GB2312" w:hAnsi="仿宋_GB2312" w:cs="仿宋_GB2312" w:eastAsia="仿宋_GB2312"/>
        </w:rPr>
        <w:t>采购包最高限价（元）: 553,500.00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骊山校园教学设施提升改造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553,500.00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标的名称：骊山校园教学设施提升改造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一、项目概述</w:t>
            </w:r>
          </w:p>
          <w:p>
            <w:pPr>
              <w:pStyle w:val="null3"/>
              <w:ind w:firstLine="480"/>
            </w:pPr>
            <w:r>
              <w:rPr>
                <w:rFonts w:ascii="仿宋_GB2312" w:hAnsi="仿宋_GB2312" w:cs="仿宋_GB2312" w:eastAsia="仿宋_GB2312"/>
                <w:sz w:val="21"/>
              </w:rPr>
              <w:t>西安科技大学临潼校区骊山校园</w:t>
            </w:r>
            <w:r>
              <w:rPr>
                <w:rFonts w:ascii="仿宋_GB2312" w:hAnsi="仿宋_GB2312" w:cs="仿宋_GB2312" w:eastAsia="仿宋_GB2312"/>
                <w:sz w:val="21"/>
              </w:rPr>
              <w:t>9号教学楼17间教室教学设施建设投入时间较早，设施老化严重，现进行整体提升改造，包含新设施安装、调试，旧设施改造利用、并对采购人有关人员进行相关培训。具体采购需求见“三、项目技术规格参数及要求”。</w:t>
            </w:r>
          </w:p>
          <w:p>
            <w:pPr>
              <w:pStyle w:val="null3"/>
            </w:pPr>
            <w:r>
              <w:rPr>
                <w:rFonts w:ascii="仿宋_GB2312" w:hAnsi="仿宋_GB2312" w:cs="仿宋_GB2312" w:eastAsia="仿宋_GB2312"/>
                <w:sz w:val="21"/>
                <w:b/>
              </w:rPr>
              <w:t>二、项目说明</w:t>
            </w:r>
          </w:p>
          <w:p>
            <w:pPr>
              <w:pStyle w:val="null3"/>
              <w:ind w:firstLine="480"/>
            </w:pPr>
            <w:r>
              <w:rPr>
                <w:rFonts w:ascii="仿宋_GB2312" w:hAnsi="仿宋_GB2312" w:cs="仿宋_GB2312" w:eastAsia="仿宋_GB2312"/>
                <w:sz w:val="21"/>
              </w:rPr>
              <w:t>（一）</w:t>
            </w:r>
            <w:r>
              <w:rPr>
                <w:rFonts w:ascii="仿宋_GB2312" w:hAnsi="仿宋_GB2312" w:cs="仿宋_GB2312" w:eastAsia="仿宋_GB2312"/>
                <w:sz w:val="21"/>
              </w:rPr>
              <w:t>下述《</w:t>
            </w:r>
            <w:r>
              <w:rPr>
                <w:rFonts w:ascii="仿宋_GB2312" w:hAnsi="仿宋_GB2312" w:cs="仿宋_GB2312" w:eastAsia="仿宋_GB2312"/>
                <w:sz w:val="21"/>
              </w:rPr>
              <w:t>项目技术规格参数及要求</w:t>
            </w:r>
            <w:r>
              <w:rPr>
                <w:rFonts w:ascii="仿宋_GB2312" w:hAnsi="仿宋_GB2312" w:cs="仿宋_GB2312" w:eastAsia="仿宋_GB2312"/>
                <w:sz w:val="21"/>
              </w:rPr>
              <w:t>》</w:t>
            </w:r>
            <w:r>
              <w:rPr>
                <w:rFonts w:ascii="仿宋_GB2312" w:hAnsi="仿宋_GB2312" w:cs="仿宋_GB2312" w:eastAsia="仿宋_GB2312"/>
                <w:sz w:val="21"/>
              </w:rPr>
              <w:t>一览表中的技术参数要求中所有技术参数条款均为基本要求</w:t>
            </w:r>
            <w:r>
              <w:rPr>
                <w:rFonts w:ascii="仿宋_GB2312" w:hAnsi="仿宋_GB2312" w:cs="仿宋_GB2312" w:eastAsia="仿宋_GB2312"/>
                <w:sz w:val="21"/>
              </w:rPr>
              <w:t>，供应商</w:t>
            </w:r>
            <w:r>
              <w:rPr>
                <w:rFonts w:ascii="仿宋_GB2312" w:hAnsi="仿宋_GB2312" w:cs="仿宋_GB2312" w:eastAsia="仿宋_GB2312"/>
                <w:sz w:val="21"/>
              </w:rPr>
              <w:t>投标的产品要实质上满足或优于参考型号及其技术参数性能（配置）要求。</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必须为其响应产品侵犯其他</w:t>
            </w:r>
            <w:r>
              <w:rPr>
                <w:rFonts w:ascii="仿宋_GB2312" w:hAnsi="仿宋_GB2312" w:cs="仿宋_GB2312" w:eastAsia="仿宋_GB2312"/>
                <w:sz w:val="21"/>
              </w:rPr>
              <w:t>供应商</w:t>
            </w:r>
            <w:r>
              <w:rPr>
                <w:rFonts w:ascii="仿宋_GB2312" w:hAnsi="仿宋_GB2312" w:cs="仿宋_GB2312" w:eastAsia="仿宋_GB2312"/>
                <w:sz w:val="21"/>
              </w:rPr>
              <w:t>或专利人的专利成果承担相应法律责任；同时，具有产品专利的</w:t>
            </w:r>
            <w:r>
              <w:rPr>
                <w:rFonts w:ascii="仿宋_GB2312" w:hAnsi="仿宋_GB2312" w:cs="仿宋_GB2312" w:eastAsia="仿宋_GB2312"/>
                <w:sz w:val="21"/>
              </w:rPr>
              <w:t>供应商</w:t>
            </w:r>
            <w:r>
              <w:rPr>
                <w:rFonts w:ascii="仿宋_GB2312" w:hAnsi="仿宋_GB2312" w:cs="仿宋_GB2312" w:eastAsia="仿宋_GB2312"/>
                <w:sz w:val="21"/>
              </w:rPr>
              <w:t>应在其投标文件中提供与其自有产品专利相关的有效证明材料，否则，不能就其产品的专利在本项目响应过程中被侵权问题提出异议。</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）本</w:t>
            </w:r>
            <w:r>
              <w:rPr>
                <w:rFonts w:ascii="仿宋_GB2312" w:hAnsi="仿宋_GB2312" w:cs="仿宋_GB2312" w:eastAsia="仿宋_GB2312"/>
                <w:sz w:val="21"/>
              </w:rPr>
              <w:t>项目</w:t>
            </w:r>
            <w:r>
              <w:rPr>
                <w:rFonts w:ascii="仿宋_GB2312" w:hAnsi="仿宋_GB2312" w:cs="仿宋_GB2312" w:eastAsia="仿宋_GB2312"/>
                <w:sz w:val="21"/>
              </w:rPr>
              <w:t>需求一览表的技术参数要求中未特别列明的技术要求参照国家相关技术标准执行，如有最新标准，按最新标准执行。</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应承诺中标后能提供本地化的技术、售后服务</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w:t>
            </w:r>
            <w:r>
              <w:rPr>
                <w:rFonts w:ascii="仿宋_GB2312" w:hAnsi="仿宋_GB2312" w:cs="仿宋_GB2312" w:eastAsia="仿宋_GB2312"/>
                <w:sz w:val="21"/>
              </w:rPr>
              <w:t>所有设备开箱检验时必须完好、无破损，配置与装箱单相符。数量、质量及性能不低于</w:t>
            </w:r>
            <w:r>
              <w:rPr>
                <w:rFonts w:ascii="仿宋_GB2312" w:hAnsi="仿宋_GB2312" w:cs="仿宋_GB2312" w:eastAsia="仿宋_GB2312"/>
                <w:sz w:val="21"/>
              </w:rPr>
              <w:t>谈判文件</w:t>
            </w:r>
            <w:r>
              <w:rPr>
                <w:rFonts w:ascii="仿宋_GB2312" w:hAnsi="仿宋_GB2312" w:cs="仿宋_GB2312" w:eastAsia="仿宋_GB2312"/>
                <w:sz w:val="21"/>
              </w:rPr>
              <w:t>《项目技术规格参数及要求》中的要求</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）所有设备的设计、制造、安装、检查、试验及特性都应满足建设要求所涉及内容。</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所提供的货物必须是全新的原装正品、正规渠道的产品（不接受</w:t>
            </w:r>
            <w:r>
              <w:rPr>
                <w:rFonts w:ascii="仿宋_GB2312" w:hAnsi="仿宋_GB2312" w:cs="仿宋_GB2312" w:eastAsia="仿宋_GB2312"/>
                <w:sz w:val="21"/>
              </w:rPr>
              <w:t>OEM 产品）不得</w:t>
            </w:r>
            <w:r>
              <w:rPr>
                <w:rFonts w:ascii="仿宋_GB2312" w:hAnsi="仿宋_GB2312" w:cs="仿宋_GB2312" w:eastAsia="仿宋_GB2312"/>
                <w:sz w:val="21"/>
              </w:rPr>
              <w:t>以</w:t>
            </w:r>
            <w:r>
              <w:rPr>
                <w:rFonts w:ascii="仿宋_GB2312" w:hAnsi="仿宋_GB2312" w:cs="仿宋_GB2312" w:eastAsia="仿宋_GB2312"/>
                <w:sz w:val="21"/>
              </w:rPr>
              <w:t>冒充及伪劣产品替代。</w:t>
            </w:r>
          </w:p>
          <w:p>
            <w:pPr>
              <w:pStyle w:val="null3"/>
            </w:pPr>
            <w:r>
              <w:rPr>
                <w:rFonts w:ascii="仿宋_GB2312" w:hAnsi="仿宋_GB2312" w:cs="仿宋_GB2312" w:eastAsia="仿宋_GB2312"/>
                <w:sz w:val="21"/>
                <w:b/>
              </w:rPr>
              <w:t>三、项目技术规格参数及要求</w:t>
            </w:r>
          </w:p>
          <w:tbl>
            <w:tblPr>
              <w:tblInd w:type="dxa" w:w="120"/>
              <w:tblBorders>
                <w:top w:val="none" w:color="000000" w:sz="4"/>
                <w:left w:val="none" w:color="000000" w:sz="4"/>
                <w:bottom w:val="none" w:color="000000" w:sz="4"/>
                <w:right w:val="none" w:color="000000" w:sz="4"/>
                <w:insideH w:val="none"/>
                <w:insideV w:val="none"/>
              </w:tblBorders>
            </w:tblPr>
            <w:tblGrid>
              <w:gridCol w:w="161"/>
              <w:gridCol w:w="299"/>
              <w:gridCol w:w="334"/>
              <w:gridCol w:w="1362"/>
              <w:gridCol w:w="201"/>
              <w:gridCol w:w="190"/>
            </w:tblGrid>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物品</w:t>
                  </w:r>
                </w:p>
                <w:p>
                  <w:pPr>
                    <w:pStyle w:val="null3"/>
                    <w:jc w:val="center"/>
                  </w:pPr>
                  <w:r>
                    <w:rPr>
                      <w:rFonts w:ascii="仿宋_GB2312" w:hAnsi="仿宋_GB2312" w:cs="仿宋_GB2312" w:eastAsia="仿宋_GB2312"/>
                      <w:sz w:val="21"/>
                    </w:rPr>
                    <w:t>名目</w:t>
                  </w:r>
                </w:p>
              </w:tc>
              <w:tc>
                <w:tcPr>
                  <w:tcW w:type="dxa" w:w="169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高清激光投影机</w:t>
                  </w:r>
                </w:p>
              </w:tc>
              <w:tc>
                <w:tcPr>
                  <w:tcW w:type="dxa" w:w="16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1、纯激光光源；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DLP投影技术，</w:t>
                  </w:r>
                  <w:r>
                    <w:rPr>
                      <w:rFonts w:ascii="仿宋_GB2312" w:hAnsi="仿宋_GB2312" w:cs="仿宋_GB2312" w:eastAsia="仿宋_GB2312"/>
                      <w:sz w:val="21"/>
                    </w:rPr>
                    <w:t>单机原始分辨率</w:t>
                  </w:r>
                  <w:r>
                    <w:rPr>
                      <w:rFonts w:ascii="仿宋_GB2312" w:hAnsi="仿宋_GB2312" w:cs="仿宋_GB2312" w:eastAsia="仿宋_GB2312"/>
                      <w:sz w:val="21"/>
                    </w:rPr>
                    <w:t>1920*1080；长宽比16:9;</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3、支持镜头变焦，变焦比例≥1.6倍;</w:t>
                  </w:r>
                </w:p>
                <w:p>
                  <w:pPr>
                    <w:pStyle w:val="null3"/>
                    <w:jc w:val="left"/>
                  </w:pPr>
                  <w:r>
                    <w:rPr>
                      <w:rFonts w:ascii="仿宋_GB2312" w:hAnsi="仿宋_GB2312" w:cs="仿宋_GB2312" w:eastAsia="仿宋_GB2312"/>
                      <w:sz w:val="21"/>
                    </w:rPr>
                    <w:t>4、支持垂直水平方向镜头位移，垂直方向≥100%，水平方向≥40%</w:t>
                  </w:r>
                </w:p>
                <w:p>
                  <w:pPr>
                    <w:pStyle w:val="null3"/>
                    <w:jc w:val="left"/>
                  </w:pPr>
                  <w:r>
                    <w:rPr>
                      <w:rFonts w:ascii="仿宋_GB2312" w:hAnsi="仿宋_GB2312" w:cs="仿宋_GB2312" w:eastAsia="仿宋_GB2312"/>
                      <w:sz w:val="21"/>
                    </w:rPr>
                    <w:t>5、对比度≥5000000:1；</w:t>
                  </w:r>
                </w:p>
                <w:p>
                  <w:pPr>
                    <w:pStyle w:val="null3"/>
                    <w:jc w:val="left"/>
                  </w:pPr>
                  <w:r>
                    <w:rPr>
                      <w:rFonts w:ascii="仿宋_GB2312" w:hAnsi="仿宋_GB2312" w:cs="仿宋_GB2312" w:eastAsia="仿宋_GB2312"/>
                      <w:sz w:val="21"/>
                    </w:rPr>
                    <w:t>6、色域：色域覆盖面积大于REC.709标准；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 亮度≥5600流明；</w:t>
                  </w:r>
                </w:p>
                <w:p>
                  <w:pPr>
                    <w:pStyle w:val="null3"/>
                    <w:jc w:val="left"/>
                  </w:pPr>
                  <w:r>
                    <w:rPr>
                      <w:rFonts w:ascii="仿宋_GB2312" w:hAnsi="仿宋_GB2312" w:cs="仿宋_GB2312" w:eastAsia="仿宋_GB2312"/>
                      <w:sz w:val="21"/>
                    </w:rPr>
                    <w:t>8、整机IP5X级增压防尘设计，光源系统IP6X级密闭设计，整机无滤网；</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、光源寿命</w:t>
                  </w:r>
                  <w:r>
                    <w:rPr>
                      <w:rFonts w:ascii="仿宋_GB2312" w:hAnsi="仿宋_GB2312" w:cs="仿宋_GB2312" w:eastAsia="仿宋_GB2312"/>
                      <w:sz w:val="21"/>
                    </w:rPr>
                    <w:t>≥25000小时（正常模式）；</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、照度均匀性</w:t>
                  </w:r>
                  <w:r>
                    <w:rPr>
                      <w:rFonts w:ascii="仿宋_GB2312" w:hAnsi="仿宋_GB2312" w:cs="仿宋_GB2312" w:eastAsia="仿宋_GB2312"/>
                      <w:sz w:val="21"/>
                    </w:rPr>
                    <w:t>≥90%；</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、正常模式下整机噪音</w:t>
                  </w:r>
                  <w:r>
                    <w:rPr>
                      <w:rFonts w:ascii="仿宋_GB2312" w:hAnsi="仿宋_GB2312" w:cs="仿宋_GB2312" w:eastAsia="仿宋_GB2312"/>
                      <w:sz w:val="21"/>
                    </w:rPr>
                    <w:t>≤36db；</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、支持垂直水平梯形校正及四点校正；</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、接口丰富</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输入：</w:t>
                  </w:r>
                  <w:r>
                    <w:rPr>
                      <w:rFonts w:ascii="仿宋_GB2312" w:hAnsi="仿宋_GB2312" w:cs="仿宋_GB2312" w:eastAsia="仿宋_GB2312"/>
                      <w:sz w:val="21"/>
                    </w:rPr>
                    <w:t>HDBaseT*1; HDMI*2; VGA*2; Audio in（mini jack,3.5mm）*1;</w:t>
                  </w:r>
                </w:p>
                <w:p>
                  <w:pPr>
                    <w:pStyle w:val="null3"/>
                    <w:jc w:val="left"/>
                  </w:pPr>
                  <w:r>
                    <w:rPr>
                      <w:rFonts w:ascii="仿宋_GB2312" w:hAnsi="仿宋_GB2312" w:cs="仿宋_GB2312" w:eastAsia="仿宋_GB2312"/>
                      <w:sz w:val="21"/>
                    </w:rPr>
                    <w:t>输出：</w:t>
                  </w:r>
                  <w:r>
                    <w:rPr>
                      <w:rFonts w:ascii="仿宋_GB2312" w:hAnsi="仿宋_GB2312" w:cs="仿宋_GB2312" w:eastAsia="仿宋_GB2312"/>
                      <w:sz w:val="21"/>
                    </w:rPr>
                    <w:t>VGA*1; Audio out*1; 控制：USB-B*1；RS232*1；RJ45*1;；</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、激光投影机具备集中控制软件，后台可实现投影机状态实时监控，故障记录实时上报等功能；</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吊装，根据现场情况提供线材。</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提供来源渠道合法证明文件（不限于销售协议或代理协议或原厂授权等）。</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电动拉线幕</w:t>
                  </w:r>
                </w:p>
              </w:tc>
              <w:tc>
                <w:tcPr>
                  <w:tcW w:type="dxa" w:w="16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1.拉线</w:t>
                  </w:r>
                  <w:r>
                    <w:rPr>
                      <w:rFonts w:ascii="仿宋_GB2312" w:hAnsi="仿宋_GB2312" w:cs="仿宋_GB2312" w:eastAsia="仿宋_GB2312"/>
                      <w:sz w:val="21"/>
                    </w:rPr>
                    <w:t>幕面</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幕布投影显示比例</w:t>
                  </w:r>
                  <w:r>
                    <w:rPr>
                      <w:rFonts w:ascii="仿宋_GB2312" w:hAnsi="仿宋_GB2312" w:cs="仿宋_GB2312" w:eastAsia="仿宋_GB2312"/>
                      <w:sz w:val="21"/>
                    </w:rPr>
                    <w:t>16:9，投影尺寸：150吋，电动升降幕；</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外壳</w:t>
                  </w:r>
                  <w:r>
                    <w:rPr>
                      <w:rFonts w:ascii="仿宋_GB2312" w:hAnsi="仿宋_GB2312" w:cs="仿宋_GB2312" w:eastAsia="仿宋_GB2312"/>
                      <w:sz w:val="21"/>
                    </w:rPr>
                    <w:t>:外壳采用铁质金属材料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具有高反射、高亮度、成像清晰、放射色彩鲜明等特点。</w:t>
                  </w:r>
                </w:p>
                <w:p>
                  <w:pPr>
                    <w:pStyle w:val="null3"/>
                    <w:jc w:val="left"/>
                  </w:pPr>
                  <w:r>
                    <w:rPr>
                      <w:rFonts w:ascii="仿宋_GB2312" w:hAnsi="仿宋_GB2312" w:cs="仿宋_GB2312" w:eastAsia="仿宋_GB2312"/>
                      <w:sz w:val="21"/>
                    </w:rPr>
                    <w:t>5、吊装，根据现场情况提供线材。</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数字化触摸屏中控</w:t>
                  </w:r>
                </w:p>
              </w:tc>
              <w:tc>
                <w:tcPr>
                  <w:tcW w:type="dxa" w:w="16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一体机化设计控制面板采用</w:t>
                  </w:r>
                  <w:r>
                    <w:rPr>
                      <w:rFonts w:ascii="仿宋_GB2312" w:hAnsi="仿宋_GB2312" w:cs="仿宋_GB2312" w:eastAsia="仿宋_GB2312"/>
                      <w:sz w:val="21"/>
                    </w:rPr>
                    <w:t>≥</w:t>
                  </w:r>
                  <w:r>
                    <w:rPr>
                      <w:rFonts w:ascii="仿宋_GB2312" w:hAnsi="仿宋_GB2312" w:cs="仿宋_GB2312" w:eastAsia="仿宋_GB2312"/>
                      <w:sz w:val="21"/>
                    </w:rPr>
                    <w:t>9英寸数字化触摸屏面板，单点触摸可超过1千万次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控制面板具备系统开关、电脑开关、信号切换、主音量及话筒管理</w:t>
                  </w:r>
                  <w:r>
                    <w:rPr>
                      <w:rFonts w:ascii="仿宋_GB2312" w:hAnsi="仿宋_GB2312" w:cs="仿宋_GB2312" w:eastAsia="仿宋_GB2312"/>
                      <w:sz w:val="21"/>
                    </w:rPr>
                    <w:t>的</w:t>
                  </w:r>
                  <w:r>
                    <w:rPr>
                      <w:rFonts w:ascii="仿宋_GB2312" w:hAnsi="仿宋_GB2312" w:cs="仿宋_GB2312" w:eastAsia="仿宋_GB2312"/>
                      <w:sz w:val="21"/>
                    </w:rPr>
                    <w:t>状态显示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控制面板具有</w:t>
                  </w:r>
                  <w:r>
                    <w:rPr>
                      <w:rFonts w:ascii="仿宋_GB2312" w:hAnsi="仿宋_GB2312" w:cs="仿宋_GB2312" w:eastAsia="仿宋_GB2312"/>
                      <w:sz w:val="21"/>
                    </w:rPr>
                    <w:t>HDMI、NET、USB、VGA、MIC、立体声音频接口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系统集成</w:t>
                  </w:r>
                  <w:r>
                    <w:rPr>
                      <w:rFonts w:ascii="仿宋_GB2312" w:hAnsi="仿宋_GB2312" w:cs="仿宋_GB2312" w:eastAsia="仿宋_GB2312"/>
                      <w:sz w:val="21"/>
                    </w:rPr>
                    <w:t>4X3 HDMI矩阵切换，支持HDMI 4K*2K 60Hz分辨率，支持HDMI2.0标准及HDCP2.2功能，支持2D、3D蓝光视频，具有数字音频提取功能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支持混合输入功能，可将输入模拟信号</w:t>
                  </w:r>
                  <w:r>
                    <w:rPr>
                      <w:rFonts w:ascii="仿宋_GB2312" w:hAnsi="仿宋_GB2312" w:cs="仿宋_GB2312" w:eastAsia="仿宋_GB2312"/>
                      <w:sz w:val="21"/>
                    </w:rPr>
                    <w:t>VGA、YUV、VIDEO通过FPGA数字硬件采集转换为高清HDMI信号输出、具备2路VGA输入，1路YUV输入，1路VIDEO输入处理功能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5路音频输入，1路话筒输入并可独立调节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主音量与话筒音量有</w:t>
                  </w:r>
                  <w:r>
                    <w:rPr>
                      <w:rFonts w:ascii="仿宋_GB2312" w:hAnsi="仿宋_GB2312" w:cs="仿宋_GB2312" w:eastAsia="仿宋_GB2312"/>
                      <w:sz w:val="21"/>
                    </w:rPr>
                    <w:t>“加、减、静音”控制功能，音量具有64级音量调节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3路网络数据交换功能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2路IO接口编程，可方便连接IC卡或外部开关量检测、外部安防报警等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2路独立红外控制接口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2路可编程232端口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1路双向RS232编程控制端口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1路可独立控制投影机电源功能</w:t>
                  </w:r>
                  <w:r>
                    <w:rPr>
                      <w:rFonts w:ascii="仿宋_GB2312" w:hAnsi="仿宋_GB2312" w:cs="仿宋_GB2312" w:eastAsia="仿宋_GB2312"/>
                      <w:sz w:val="21"/>
                    </w:rPr>
                    <w:t>，</w:t>
                  </w:r>
                  <w:r>
                    <w:rPr>
                      <w:rFonts w:ascii="仿宋_GB2312" w:hAnsi="仿宋_GB2312" w:cs="仿宋_GB2312" w:eastAsia="仿宋_GB2312"/>
                      <w:sz w:val="21"/>
                    </w:rPr>
                    <w:t>内置数字电流传感器可以实时显示投影机开关机状态，防止突然关机切断投影电源，以延长投影机供电时间，更好散热</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1路独立的电动幕控制接口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2路独立的系统电源管理功能，可连接台式电脑、笔记本设备等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4路内置VGA/HDMI防盗报警探测IO，支持拔线报警</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开孔尺寸：</w:t>
                  </w:r>
                  <w:r>
                    <w:rPr>
                      <w:rFonts w:ascii="仿宋_GB2312" w:hAnsi="仿宋_GB2312" w:cs="仿宋_GB2312" w:eastAsia="仿宋_GB2312"/>
                      <w:sz w:val="21"/>
                    </w:rPr>
                    <w:t>约</w:t>
                  </w:r>
                  <w:r>
                    <w:rPr>
                      <w:rFonts w:ascii="仿宋_GB2312" w:hAnsi="仿宋_GB2312" w:cs="仿宋_GB2312" w:eastAsia="仿宋_GB2312"/>
                      <w:sz w:val="21"/>
                    </w:rPr>
                    <w:t>185*112mm。</w:t>
                  </w:r>
                </w:p>
                <w:p>
                  <w:pPr>
                    <w:pStyle w:val="null3"/>
                    <w:numPr>
                      <w:ilvl w:val="0"/>
                      <w:numId w:val="1"/>
                    </w:numPr>
                    <w:jc w:val="left"/>
                  </w:pPr>
                  <w:r>
                    <w:rPr>
                      <w:rFonts w:ascii="仿宋_GB2312" w:hAnsi="仿宋_GB2312" w:cs="仿宋_GB2312" w:eastAsia="仿宋_GB2312"/>
                      <w:sz w:val="21"/>
                    </w:rPr>
                    <w:t>桌面安装，根据现场情况提供线材。</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控制主机（含配件）</w:t>
                  </w:r>
                </w:p>
              </w:tc>
              <w:tc>
                <w:tcPr>
                  <w:tcW w:type="dxa" w:w="16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1.处理器：采用国产处理器，6核心12线程架构；</w:t>
                  </w:r>
                </w:p>
                <w:p>
                  <w:pPr>
                    <w:pStyle w:val="null3"/>
                    <w:jc w:val="left"/>
                  </w:pPr>
                  <w:r>
                    <w:rPr>
                      <w:rFonts w:ascii="仿宋_GB2312" w:hAnsi="仿宋_GB2312" w:cs="仿宋_GB2312" w:eastAsia="仿宋_GB2312"/>
                      <w:sz w:val="21"/>
                    </w:rPr>
                    <w:t>2.散热系统：配备高效风冷散热器，优化风道设计；</w:t>
                  </w:r>
                </w:p>
                <w:p>
                  <w:pPr>
                    <w:pStyle w:val="null3"/>
                    <w:jc w:val="left"/>
                  </w:pPr>
                  <w:r>
                    <w:rPr>
                      <w:rFonts w:ascii="仿宋_GB2312" w:hAnsi="仿宋_GB2312" w:cs="仿宋_GB2312" w:eastAsia="仿宋_GB2312"/>
                      <w:sz w:val="21"/>
                    </w:rPr>
                    <w:t>3.内存：16GB DDR4 3200MHz 高频内存；</w:t>
                  </w:r>
                </w:p>
                <w:p>
                  <w:pPr>
                    <w:pStyle w:val="null3"/>
                    <w:jc w:val="left"/>
                  </w:pPr>
                  <w:r>
                    <w:rPr>
                      <w:rFonts w:ascii="仿宋_GB2312" w:hAnsi="仿宋_GB2312" w:cs="仿宋_GB2312" w:eastAsia="仿宋_GB2312"/>
                      <w:sz w:val="21"/>
                    </w:rPr>
                    <w:t>4.存储方案：</w:t>
                  </w:r>
                </w:p>
                <w:p>
                  <w:pPr>
                    <w:pStyle w:val="null3"/>
                    <w:jc w:val="left"/>
                  </w:pPr>
                  <w:r>
                    <w:rPr>
                      <w:rFonts w:ascii="仿宋_GB2312" w:hAnsi="仿宋_GB2312" w:cs="仿宋_GB2312" w:eastAsia="仿宋_GB2312"/>
                      <w:sz w:val="21"/>
                    </w:rPr>
                    <w:t>- 512GB M.2 SSD；</w:t>
                  </w:r>
                </w:p>
                <w:p>
                  <w:pPr>
                    <w:pStyle w:val="null3"/>
                    <w:jc w:val="left"/>
                  </w:pPr>
                  <w:r>
                    <w:rPr>
                      <w:rFonts w:ascii="仿宋_GB2312" w:hAnsi="仿宋_GB2312" w:cs="仿宋_GB2312" w:eastAsia="仿宋_GB2312"/>
                      <w:sz w:val="21"/>
                    </w:rPr>
                    <w:t xml:space="preserve">5.主板：基于 H610M 系列主板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6.显示核心：集成核芯显卡，支持4K视频解码；</w:t>
                  </w:r>
                </w:p>
                <w:p>
                  <w:pPr>
                    <w:pStyle w:val="null3"/>
                    <w:jc w:val="left"/>
                  </w:pPr>
                  <w:r>
                    <w:rPr>
                      <w:rFonts w:ascii="仿宋_GB2312" w:hAnsi="仿宋_GB2312" w:cs="仿宋_GB2312" w:eastAsia="仿宋_GB2312"/>
                      <w:sz w:val="21"/>
                    </w:rPr>
                    <w:t>7.机箱：黑色机箱，采用简约商务设计，体积紧凑；</w:t>
                  </w:r>
                </w:p>
                <w:p>
                  <w:pPr>
                    <w:pStyle w:val="null3"/>
                    <w:jc w:val="left"/>
                  </w:pPr>
                  <w:r>
                    <w:rPr>
                      <w:rFonts w:ascii="仿宋_GB2312" w:hAnsi="仿宋_GB2312" w:cs="仿宋_GB2312" w:eastAsia="仿宋_GB2312"/>
                      <w:sz w:val="21"/>
                    </w:rPr>
                    <w:t>8.网络模块：支持 WiFi5 双频600M 无线网络（高速稳定联网）及 蓝牙4.2 功能（便捷连接耳机、鼠标等外设）。</w:t>
                  </w:r>
                </w:p>
                <w:p>
                  <w:pPr>
                    <w:pStyle w:val="null3"/>
                    <w:jc w:val="left"/>
                  </w:pPr>
                  <w:r>
                    <w:rPr>
                      <w:rFonts w:ascii="仿宋_GB2312" w:hAnsi="仿宋_GB2312" w:cs="仿宋_GB2312" w:eastAsia="仿宋_GB2312"/>
                      <w:sz w:val="21"/>
                    </w:rPr>
                    <w:t>9.操作系统：国产自研操作系统。</w:t>
                  </w:r>
                </w:p>
                <w:p>
                  <w:pPr>
                    <w:pStyle w:val="null3"/>
                    <w:jc w:val="left"/>
                  </w:pPr>
                  <w:r>
                    <w:rPr>
                      <w:rFonts w:ascii="仿宋_GB2312" w:hAnsi="仿宋_GB2312" w:cs="仿宋_GB2312" w:eastAsia="仿宋_GB2312"/>
                      <w:sz w:val="21"/>
                    </w:rPr>
                    <w:t>10.显示系统：</w:t>
                  </w:r>
                  <w:r>
                    <w:rPr>
                      <w:rFonts w:ascii="仿宋_GB2312" w:hAnsi="仿宋_GB2312" w:cs="仿宋_GB2312" w:eastAsia="仿宋_GB2312"/>
                      <w:sz w:val="21"/>
                    </w:rPr>
                    <w:t>配备相同数量的配套</w:t>
                  </w:r>
                  <w:r>
                    <w:rPr>
                      <w:rFonts w:ascii="仿宋_GB2312" w:hAnsi="仿宋_GB2312" w:cs="仿宋_GB2312" w:eastAsia="仿宋_GB2312"/>
                      <w:sz w:val="21"/>
                    </w:rPr>
                    <w:t>led显示屏</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9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音响系统</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设备改造</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将教室原有音响系统与库存无线话筒利旧升级改造，满足日常多媒体教室使用。</w:t>
                  </w:r>
                </w:p>
                <w:p>
                  <w:pPr>
                    <w:pStyle w:val="null3"/>
                    <w:jc w:val="left"/>
                  </w:pPr>
                  <w:r>
                    <w:rPr>
                      <w:rFonts w:ascii="仿宋_GB2312" w:hAnsi="仿宋_GB2312" w:cs="仿宋_GB2312" w:eastAsia="仿宋_GB2312"/>
                      <w:sz w:val="21"/>
                    </w:rPr>
                    <w:t>原有音响系统和无线话筒为部分教室可正常使用，部分教室需供应商自行检测维修。</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61"/>
                  <w:vMerge/>
                  <w:tcBorders>
                    <w:top w:val="none" w:color="000000" w:sz="4"/>
                    <w:left w:val="single" w:color="000000" w:sz="4"/>
                    <w:bottom w:val="none" w:color="000000" w:sz="4"/>
                    <w:right w:val="single" w:color="000000" w:sz="4"/>
                  </w:tcBorders>
                </w:tcPr>
                <w:p/>
              </w:tc>
              <w:tc>
                <w:tcPr>
                  <w:tcW w:type="dxa" w:w="299"/>
                  <w:vMerge/>
                  <w:tcBorders>
                    <w:top w:val="none" w:color="000000" w:sz="4"/>
                    <w:left w:val="none" w:color="000000" w:sz="4"/>
                    <w:bottom w:val="none" w:color="000000" w:sz="4"/>
                    <w:right w:val="single" w:color="000000" w:sz="4"/>
                  </w:tcBorders>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教室改造</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对教室加装吸音吊顶</w:t>
                  </w:r>
                </w:p>
                <w:p>
                  <w:pPr>
                    <w:pStyle w:val="null3"/>
                    <w:jc w:val="left"/>
                  </w:pPr>
                  <w:r>
                    <w:rPr>
                      <w:rFonts w:ascii="仿宋_GB2312" w:hAnsi="仿宋_GB2312" w:cs="仿宋_GB2312" w:eastAsia="仿宋_GB2312"/>
                      <w:sz w:val="21"/>
                    </w:rPr>
                    <w:t>2大15小共计17间教室加装吸音吊顶</w:t>
                  </w:r>
                </w:p>
                <w:p>
                  <w:pPr>
                    <w:pStyle w:val="null3"/>
                    <w:jc w:val="left"/>
                  </w:pPr>
                  <w:r>
                    <w:rPr>
                      <w:rFonts w:ascii="仿宋_GB2312" w:hAnsi="仿宋_GB2312" w:cs="仿宋_GB2312" w:eastAsia="仿宋_GB2312"/>
                      <w:sz w:val="21"/>
                    </w:rPr>
                    <w:t>大教室面积约为</w:t>
                  </w:r>
                  <w:r>
                    <w:rPr>
                      <w:rFonts w:ascii="仿宋_GB2312" w:hAnsi="仿宋_GB2312" w:cs="仿宋_GB2312" w:eastAsia="仿宋_GB2312"/>
                      <w:sz w:val="21"/>
                    </w:rPr>
                    <w:t>305m²，小教室面积约为175m²</w:t>
                  </w:r>
                </w:p>
                <w:p>
                  <w:pPr>
                    <w:pStyle w:val="null3"/>
                    <w:jc w:val="left"/>
                  </w:pPr>
                  <w:r>
                    <w:rPr>
                      <w:rFonts w:ascii="仿宋_GB2312" w:hAnsi="仿宋_GB2312" w:cs="仿宋_GB2312" w:eastAsia="仿宋_GB2312"/>
                      <w:sz w:val="21"/>
                    </w:rPr>
                    <w:t>吊顶结构：</w:t>
                  </w:r>
                  <w:r>
                    <w:rPr>
                      <w:rFonts w:ascii="仿宋_GB2312" w:hAnsi="仿宋_GB2312" w:cs="仿宋_GB2312" w:eastAsia="仿宋_GB2312"/>
                      <w:sz w:val="21"/>
                    </w:rPr>
                    <w:t>“轻钢龙骨框架+吸音层+装饰面层” 的复合结构，吸音层需预留一定空腔增强效果</w:t>
                  </w:r>
                </w:p>
                <w:p>
                  <w:pPr>
                    <w:pStyle w:val="null3"/>
                    <w:jc w:val="left"/>
                  </w:pPr>
                  <w:r>
                    <w:rPr>
                      <w:rFonts w:ascii="仿宋_GB2312" w:hAnsi="仿宋_GB2312" w:cs="仿宋_GB2312" w:eastAsia="仿宋_GB2312"/>
                      <w:sz w:val="21"/>
                    </w:rPr>
                    <w:t>吸音板：</w:t>
                  </w:r>
                  <w:r>
                    <w:rPr>
                      <w:rFonts w:ascii="仿宋_GB2312" w:hAnsi="仿宋_GB2312" w:cs="仿宋_GB2312" w:eastAsia="仿宋_GB2312"/>
                      <w:sz w:val="21"/>
                    </w:rPr>
                    <w:t>20mm矿棉吸音板，吸音系数为≥0.8，防火等级达A级，防潮性中等，适合湿度≤70% 的环境</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间</w:t>
                  </w:r>
                </w:p>
              </w:tc>
            </w:tr>
            <w:tr>
              <w:tc>
                <w:tcPr>
                  <w:tcW w:type="dxa" w:w="16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9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技术服务</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系统辅材</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高清视频线、音频线</w:t>
                  </w:r>
                  <w:r>
                    <w:rPr>
                      <w:rFonts w:ascii="仿宋_GB2312" w:hAnsi="仿宋_GB2312" w:cs="仿宋_GB2312" w:eastAsia="仿宋_GB2312"/>
                      <w:sz w:val="21"/>
                    </w:rPr>
                    <w:t>、</w:t>
                  </w:r>
                  <w:r>
                    <w:rPr>
                      <w:rFonts w:ascii="仿宋_GB2312" w:hAnsi="仿宋_GB2312" w:cs="仿宋_GB2312" w:eastAsia="仿宋_GB2312"/>
                      <w:sz w:val="21"/>
                    </w:rPr>
                    <w:t>网线、</w:t>
                  </w:r>
                  <w:r>
                    <w:rPr>
                      <w:rFonts w:ascii="仿宋_GB2312" w:hAnsi="仿宋_GB2312" w:cs="仿宋_GB2312" w:eastAsia="仿宋_GB2312"/>
                      <w:sz w:val="21"/>
                    </w:rPr>
                    <w:t>钢管、线槽、</w:t>
                  </w:r>
                  <w:r>
                    <w:rPr>
                      <w:rFonts w:ascii="仿宋_GB2312" w:hAnsi="仿宋_GB2312" w:cs="仿宋_GB2312" w:eastAsia="仿宋_GB2312"/>
                      <w:sz w:val="21"/>
                    </w:rPr>
                    <w:t>PVC管、软管、线卡、水晶头、插排、网络跳线、水泥、沙子等。</w:t>
                  </w:r>
                </w:p>
                <w:p>
                  <w:pPr>
                    <w:pStyle w:val="null3"/>
                    <w:jc w:val="left"/>
                  </w:pPr>
                  <w:r>
                    <w:rPr>
                      <w:rFonts w:ascii="仿宋_GB2312" w:hAnsi="仿宋_GB2312" w:cs="仿宋_GB2312" w:eastAsia="仿宋_GB2312"/>
                      <w:sz w:val="21"/>
                    </w:rPr>
                    <w:t>辅材需为正品国标产品，切满足设备产品安装说明书要求。</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161"/>
                  <w:vMerge/>
                  <w:tcBorders>
                    <w:top w:val="none" w:color="000000" w:sz="4"/>
                    <w:left w:val="single" w:color="000000" w:sz="4"/>
                    <w:bottom w:val="none" w:color="000000" w:sz="4"/>
                    <w:right w:val="single" w:color="000000" w:sz="4"/>
                  </w:tcBorders>
                </w:tcPr>
                <w:p/>
              </w:tc>
              <w:tc>
                <w:tcPr>
                  <w:tcW w:type="dxa" w:w="299"/>
                  <w:vMerge/>
                  <w:tcBorders>
                    <w:top w:val="none" w:color="000000" w:sz="4"/>
                    <w:left w:val="none" w:color="000000" w:sz="4"/>
                    <w:bottom w:val="none" w:color="000000" w:sz="4"/>
                    <w:right w:val="single" w:color="000000" w:sz="4"/>
                  </w:tcBorders>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对项目中所采购设备的壁装、吊装服务及设备调式服务，并</w:t>
                  </w:r>
                  <w:r>
                    <w:rPr>
                      <w:rFonts w:ascii="仿宋_GB2312" w:hAnsi="仿宋_GB2312" w:cs="仿宋_GB2312" w:eastAsia="仿宋_GB2312"/>
                      <w:sz w:val="21"/>
                    </w:rPr>
                    <w:t>保证教室网络与学校教学网络互连互通</w:t>
                  </w:r>
                  <w:r>
                    <w:rPr>
                      <w:rFonts w:ascii="仿宋_GB2312" w:hAnsi="仿宋_GB2312" w:cs="仿宋_GB2312" w:eastAsia="仿宋_GB2312"/>
                      <w:sz w:val="21"/>
                    </w:rPr>
                    <w:t>，</w:t>
                  </w:r>
                  <w:r>
                    <w:rPr>
                      <w:rFonts w:ascii="仿宋_GB2312" w:hAnsi="仿宋_GB2312" w:cs="仿宋_GB2312" w:eastAsia="仿宋_GB2312"/>
                      <w:sz w:val="21"/>
                    </w:rPr>
                    <w:t>与原教学网络对接。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161"/>
                  <w:vMerge/>
                  <w:tcBorders>
                    <w:top w:val="none" w:color="000000" w:sz="4"/>
                    <w:left w:val="single" w:color="000000" w:sz="4"/>
                    <w:bottom w:val="none" w:color="000000" w:sz="4"/>
                    <w:right w:val="single" w:color="000000" w:sz="4"/>
                  </w:tcBorders>
                </w:tcPr>
                <w:p/>
              </w:tc>
              <w:tc>
                <w:tcPr>
                  <w:tcW w:type="dxa" w:w="299"/>
                  <w:vMerge/>
                  <w:tcBorders>
                    <w:top w:val="none" w:color="000000" w:sz="4"/>
                    <w:left w:val="none" w:color="000000" w:sz="4"/>
                    <w:bottom w:val="none" w:color="000000" w:sz="4"/>
                    <w:right w:val="single" w:color="000000" w:sz="4"/>
                  </w:tcBorders>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技术培训</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完成项目后对采购人多媒体教室维护人员进行技术培训，并提供突发问题</w:t>
                  </w:r>
                  <w:r>
                    <w:rPr>
                      <w:rFonts w:ascii="仿宋_GB2312" w:hAnsi="仿宋_GB2312" w:cs="仿宋_GB2312" w:eastAsia="仿宋_GB2312"/>
                      <w:sz w:val="21"/>
                    </w:rPr>
                    <w:t>7*24小时远程技术指导服务。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161"/>
                  <w:vMerge/>
                  <w:tcBorders>
                    <w:top w:val="none" w:color="000000" w:sz="4"/>
                    <w:left w:val="single" w:color="000000" w:sz="4"/>
                    <w:bottom w:val="none" w:color="000000" w:sz="4"/>
                    <w:right w:val="single" w:color="000000" w:sz="4"/>
                  </w:tcBorders>
                </w:tcPr>
                <w:p/>
              </w:tc>
              <w:tc>
                <w:tcPr>
                  <w:tcW w:type="dxa" w:w="299"/>
                  <w:vMerge/>
                  <w:tcBorders>
                    <w:top w:val="none" w:color="000000" w:sz="4"/>
                    <w:left w:val="none" w:color="000000" w:sz="4"/>
                    <w:bottom w:val="none" w:color="000000" w:sz="4"/>
                    <w:right w:val="single" w:color="000000" w:sz="4"/>
                  </w:tcBorders>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拆除装修</w:t>
                  </w: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对项目中所有涉及的教室原有设备进行拆除清运，并对拆旧部分进行粉刷装修，恢复教室墙面原貌，保证教室的整体美观。</w:t>
                  </w:r>
                </w:p>
                <w:p>
                  <w:pPr>
                    <w:pStyle w:val="null3"/>
                    <w:jc w:val="left"/>
                  </w:pPr>
                  <w:r>
                    <w:rPr>
                      <w:rFonts w:ascii="仿宋_GB2312" w:hAnsi="仿宋_GB2312" w:cs="仿宋_GB2312" w:eastAsia="仿宋_GB2312"/>
                      <w:sz w:val="21"/>
                    </w:rPr>
                    <w:t>拆除及转运费用包含在本项目报价范围内，不另行计费。</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20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采</w:t>
                  </w:r>
                  <w:r>
                    <w:rPr>
                      <w:rFonts w:ascii="仿宋_GB2312" w:hAnsi="仿宋_GB2312" w:cs="仿宋_GB2312" w:eastAsia="仿宋_GB2312"/>
                      <w:sz w:val="21"/>
                      <w:b/>
                    </w:rPr>
                    <w:t>购需求中标注</w:t>
                  </w: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”的</w:t>
                  </w:r>
                  <w:r>
                    <w:rPr>
                      <w:rFonts w:ascii="仿宋_GB2312" w:hAnsi="仿宋_GB2312" w:cs="仿宋_GB2312" w:eastAsia="仿宋_GB2312"/>
                      <w:sz w:val="21"/>
                      <w:b/>
                    </w:rPr>
                    <w:t>为重要</w:t>
                  </w:r>
                  <w:r>
                    <w:rPr>
                      <w:rFonts w:ascii="仿宋_GB2312" w:hAnsi="仿宋_GB2312" w:cs="仿宋_GB2312" w:eastAsia="仿宋_GB2312"/>
                      <w:sz w:val="21"/>
                      <w:b/>
                    </w:rPr>
                    <w:t>要求，供应商必须提供佐证材料证明其满足，佐证材料包括：检测报告</w:t>
                  </w:r>
                  <w:r>
                    <w:rPr>
                      <w:rFonts w:ascii="仿宋_GB2312" w:hAnsi="仿宋_GB2312" w:cs="仿宋_GB2312" w:eastAsia="仿宋_GB2312"/>
                      <w:sz w:val="21"/>
                      <w:b/>
                    </w:rPr>
                    <w:t>扫描</w:t>
                  </w:r>
                  <w:r>
                    <w:rPr>
                      <w:rFonts w:ascii="仿宋_GB2312" w:hAnsi="仿宋_GB2312" w:cs="仿宋_GB2312" w:eastAsia="仿宋_GB2312"/>
                      <w:sz w:val="21"/>
                      <w:b/>
                    </w:rPr>
                    <w:t>件或</w:t>
                  </w:r>
                  <w:r>
                    <w:rPr>
                      <w:rFonts w:ascii="仿宋_GB2312" w:hAnsi="仿宋_GB2312" w:cs="仿宋_GB2312" w:eastAsia="仿宋_GB2312"/>
                      <w:sz w:val="21"/>
                      <w:b/>
                    </w:rPr>
                    <w:t>产品</w:t>
                  </w:r>
                  <w:r>
                    <w:rPr>
                      <w:rFonts w:ascii="仿宋_GB2312" w:hAnsi="仿宋_GB2312" w:cs="仿宋_GB2312" w:eastAsia="仿宋_GB2312"/>
                      <w:sz w:val="21"/>
                      <w:b/>
                    </w:rPr>
                    <w:t>彩页或功能截图</w:t>
                  </w:r>
                  <w:r>
                    <w:rPr>
                      <w:rFonts w:ascii="仿宋_GB2312" w:hAnsi="仿宋_GB2312" w:cs="仿宋_GB2312" w:eastAsia="仿宋_GB2312"/>
                      <w:sz w:val="21"/>
                      <w:b/>
                    </w:rPr>
                    <w:t>等；未</w:t>
                  </w:r>
                  <w:r>
                    <w:rPr>
                      <w:rFonts w:ascii="仿宋_GB2312" w:hAnsi="仿宋_GB2312" w:cs="仿宋_GB2312" w:eastAsia="仿宋_GB2312"/>
                      <w:sz w:val="21"/>
                      <w:b/>
                    </w:rPr>
                    <w:t>标注</w:t>
                  </w: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”的</w:t>
                  </w:r>
                  <w:r>
                    <w:rPr>
                      <w:rFonts w:ascii="仿宋_GB2312" w:hAnsi="仿宋_GB2312" w:cs="仿宋_GB2312" w:eastAsia="仿宋_GB2312"/>
                      <w:sz w:val="21"/>
                      <w:b/>
                    </w:rPr>
                    <w:t>技术要求各供应商必须满足，否则视为无效响应。</w:t>
                  </w:r>
                </w:p>
              </w:tc>
            </w:tr>
          </w:tbl>
          <w:p>
            <w:pPr>
              <w:pStyle w:val="null3"/>
            </w:pPr>
            <w:r>
              <w:rPr>
                <w:rFonts w:ascii="仿宋_GB2312" w:hAnsi="仿宋_GB2312" w:cs="仿宋_GB2312" w:eastAsia="仿宋_GB2312"/>
                <w:sz w:val="21"/>
                <w:b/>
              </w:rPr>
              <w:t>四、多媒体教室分布表</w:t>
            </w:r>
          </w:p>
          <w:tbl>
            <w:tblPr>
              <w:tblBorders>
                <w:top w:val="none" w:color="000000" w:sz="4"/>
                <w:left w:val="none" w:color="000000" w:sz="4"/>
                <w:bottom w:val="none" w:color="000000" w:sz="4"/>
                <w:right w:val="none" w:color="000000" w:sz="4"/>
                <w:insideH w:val="none"/>
                <w:insideV w:val="none"/>
              </w:tblBorders>
            </w:tblPr>
            <w:tblGrid>
              <w:gridCol w:w="296"/>
              <w:gridCol w:w="433"/>
              <w:gridCol w:w="571"/>
              <w:gridCol w:w="496"/>
              <w:gridCol w:w="756"/>
            </w:tblGrid>
            <w:tr>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所在校园</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教学楼</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教室号</w:t>
                  </w:r>
                </w:p>
              </w:tc>
              <w:tc>
                <w:tcPr>
                  <w:tcW w:type="dxa" w:w="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投影机</w:t>
                  </w:r>
                  <w:r>
                    <w:rPr>
                      <w:rFonts w:ascii="仿宋_GB2312" w:hAnsi="仿宋_GB2312" w:cs="仿宋_GB2312" w:eastAsia="仿宋_GB2312"/>
                      <w:sz w:val="21"/>
                    </w:rPr>
                    <w:t>*2幕布*2</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投影机</w:t>
                  </w:r>
                  <w:r>
                    <w:rPr>
                      <w:rFonts w:ascii="仿宋_GB2312" w:hAnsi="仿宋_GB2312" w:cs="仿宋_GB2312" w:eastAsia="仿宋_GB2312"/>
                      <w:sz w:val="21"/>
                    </w:rPr>
                    <w:t>*2幕布*2</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203</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205</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207</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301</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303</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305</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306</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骊山校园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9号教学楼</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307</w:t>
                  </w: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1"/>
                <w:b/>
              </w:rPr>
              <w:t>五、质保期及售后服务要求</w:t>
            </w:r>
          </w:p>
          <w:p>
            <w:pPr>
              <w:pStyle w:val="null3"/>
            </w:pPr>
            <w:r>
              <w:rPr>
                <w:rFonts w:ascii="仿宋_GB2312" w:hAnsi="仿宋_GB2312" w:cs="仿宋_GB2312" w:eastAsia="仿宋_GB2312"/>
                <w:sz w:val="21"/>
                <w:b/>
              </w:rPr>
              <w:t>（一）质保期要求</w:t>
            </w:r>
          </w:p>
          <w:p>
            <w:pPr>
              <w:pStyle w:val="null3"/>
              <w:ind w:firstLine="420"/>
              <w:jc w:val="left"/>
            </w:pPr>
            <w:r>
              <w:rPr>
                <w:rFonts w:ascii="仿宋_GB2312" w:hAnsi="仿宋_GB2312" w:cs="仿宋_GB2312" w:eastAsia="仿宋_GB2312"/>
                <w:sz w:val="21"/>
              </w:rPr>
              <w:t>1.质保期从交货、安装调试完毕，产品验收合格之日起计算，</w:t>
            </w:r>
            <w:r>
              <w:rPr>
                <w:rFonts w:ascii="仿宋_GB2312" w:hAnsi="仿宋_GB2312" w:cs="仿宋_GB2312" w:eastAsia="仿宋_GB2312"/>
                <w:sz w:val="21"/>
              </w:rPr>
              <w:t>其中设备内置软件提供</w:t>
            </w:r>
            <w:r>
              <w:rPr>
                <w:rFonts w:ascii="仿宋_GB2312" w:hAnsi="仿宋_GB2312" w:cs="仿宋_GB2312" w:eastAsia="仿宋_GB2312"/>
                <w:sz w:val="21"/>
              </w:rPr>
              <w:t>免费质保和免费升级</w:t>
            </w:r>
            <w:r>
              <w:rPr>
                <w:rFonts w:ascii="仿宋_GB2312" w:hAnsi="仿宋_GB2312" w:cs="仿宋_GB2312" w:eastAsia="仿宋_GB2312"/>
                <w:sz w:val="21"/>
              </w:rPr>
              <w:t>不少于</w:t>
            </w:r>
            <w:r>
              <w:rPr>
                <w:rFonts w:ascii="仿宋_GB2312" w:hAnsi="仿宋_GB2312" w:cs="仿宋_GB2312" w:eastAsia="仿宋_GB2312"/>
                <w:sz w:val="21"/>
              </w:rPr>
              <w:t>3年（若厂家质保期超过3年的，按厂家规定</w:t>
            </w:r>
            <w:r>
              <w:rPr>
                <w:rFonts w:ascii="仿宋_GB2312" w:hAnsi="仿宋_GB2312" w:cs="仿宋_GB2312" w:eastAsia="仿宋_GB2312"/>
                <w:sz w:val="21"/>
              </w:rPr>
              <w:t>免费</w:t>
            </w:r>
            <w:r>
              <w:rPr>
                <w:rFonts w:ascii="仿宋_GB2312" w:hAnsi="仿宋_GB2312" w:cs="仿宋_GB2312" w:eastAsia="仿宋_GB2312"/>
                <w:sz w:val="21"/>
              </w:rPr>
              <w:t>维护升级），硬件设备质保不少于</w:t>
            </w:r>
            <w:r>
              <w:rPr>
                <w:rFonts w:ascii="仿宋_GB2312" w:hAnsi="仿宋_GB2312" w:cs="仿宋_GB2312" w:eastAsia="仿宋_GB2312"/>
                <w:sz w:val="21"/>
              </w:rPr>
              <w:t>3年（若厂家质保期超过3年，按厂家规定</w:t>
            </w:r>
            <w:r>
              <w:rPr>
                <w:rFonts w:ascii="仿宋_GB2312" w:hAnsi="仿宋_GB2312" w:cs="仿宋_GB2312" w:eastAsia="仿宋_GB2312"/>
                <w:sz w:val="21"/>
              </w:rPr>
              <w:t>免费</w:t>
            </w:r>
            <w:r>
              <w:rPr>
                <w:rFonts w:ascii="仿宋_GB2312" w:hAnsi="仿宋_GB2312" w:cs="仿宋_GB2312" w:eastAsia="仿宋_GB2312"/>
                <w:sz w:val="21"/>
              </w:rPr>
              <w:t>包修）。</w:t>
            </w:r>
          </w:p>
          <w:p>
            <w:pPr>
              <w:pStyle w:val="null3"/>
              <w:ind w:firstLine="420"/>
              <w:jc w:val="left"/>
            </w:pPr>
            <w:r>
              <w:rPr>
                <w:rFonts w:ascii="仿宋_GB2312" w:hAnsi="仿宋_GB2312" w:cs="仿宋_GB2312" w:eastAsia="仿宋_GB2312"/>
                <w:sz w:val="21"/>
              </w:rPr>
              <w:t>2.终身维护。</w:t>
            </w:r>
          </w:p>
          <w:p>
            <w:pPr>
              <w:pStyle w:val="null3"/>
              <w:ind w:firstLine="420"/>
              <w:jc w:val="left"/>
            </w:pPr>
            <w:r>
              <w:rPr>
                <w:rFonts w:ascii="仿宋_GB2312" w:hAnsi="仿宋_GB2312" w:cs="仿宋_GB2312" w:eastAsia="仿宋_GB2312"/>
                <w:sz w:val="21"/>
              </w:rPr>
              <w:t>3.质保期期内提供</w:t>
            </w:r>
            <w:r>
              <w:rPr>
                <w:rFonts w:ascii="仿宋_GB2312" w:hAnsi="仿宋_GB2312" w:cs="仿宋_GB2312" w:eastAsia="仿宋_GB2312"/>
                <w:sz w:val="21"/>
              </w:rPr>
              <w:t>免费</w:t>
            </w:r>
            <w:r>
              <w:rPr>
                <w:rFonts w:ascii="仿宋_GB2312" w:hAnsi="仿宋_GB2312" w:cs="仿宋_GB2312" w:eastAsia="仿宋_GB2312"/>
                <w:sz w:val="21"/>
              </w:rPr>
              <w:t>上</w:t>
            </w:r>
            <w:r>
              <w:rPr>
                <w:rFonts w:ascii="仿宋_GB2312" w:hAnsi="仿宋_GB2312" w:cs="仿宋_GB2312" w:eastAsia="仿宋_GB2312"/>
                <w:sz w:val="21"/>
              </w:rPr>
              <w:t>门维修服务。</w:t>
            </w:r>
          </w:p>
          <w:p>
            <w:pPr>
              <w:pStyle w:val="null3"/>
              <w:ind w:firstLine="420"/>
              <w:jc w:val="left"/>
            </w:pPr>
            <w:r>
              <w:rPr>
                <w:rFonts w:ascii="仿宋_GB2312" w:hAnsi="仿宋_GB2312" w:cs="仿宋_GB2312" w:eastAsia="仿宋_GB2312"/>
                <w:sz w:val="21"/>
              </w:rPr>
              <w:t>4.在质保期内因质量问题由成交供应商无条件更换，费用由成交供应商负责。超过质保期的另行协商，其余按成交供应商的售后服务承诺执行。</w:t>
            </w:r>
          </w:p>
          <w:p>
            <w:pPr>
              <w:pStyle w:val="null3"/>
            </w:pPr>
            <w:r>
              <w:rPr>
                <w:rFonts w:ascii="仿宋_GB2312" w:hAnsi="仿宋_GB2312" w:cs="仿宋_GB2312" w:eastAsia="仿宋_GB2312"/>
                <w:sz w:val="21"/>
                <w:b/>
              </w:rPr>
              <w:t>（二）售后服务要求</w:t>
            </w:r>
          </w:p>
          <w:p>
            <w:pPr>
              <w:pStyle w:val="null3"/>
              <w:ind w:firstLine="420"/>
              <w:jc w:val="left"/>
            </w:pPr>
            <w:r>
              <w:rPr>
                <w:rFonts w:ascii="仿宋_GB2312" w:hAnsi="仿宋_GB2312" w:cs="仿宋_GB2312" w:eastAsia="仿宋_GB2312"/>
                <w:sz w:val="21"/>
              </w:rPr>
              <w:t>1.投标产品必须是按厂家标准配置的整套全新产品，按国家规定实行“三包”，免费送货上门、免费安装调试（附安装说明书）及人员培训，培训后确保采购人可熟悉基本操作；</w:t>
            </w:r>
          </w:p>
          <w:p>
            <w:pPr>
              <w:pStyle w:val="null3"/>
              <w:ind w:firstLine="420"/>
              <w:jc w:val="left"/>
            </w:pPr>
            <w:r>
              <w:rPr>
                <w:rFonts w:ascii="仿宋_GB2312" w:hAnsi="仿宋_GB2312" w:cs="仿宋_GB2312" w:eastAsia="仿宋_GB2312"/>
                <w:sz w:val="21"/>
              </w:rPr>
              <w:t>2.故障处理：提供7*24小时维修服务，并提供售后服务电话，出现故障应在接到故障通知起1小时内响应，一般问题2小时内通过远程方式解决；遇到大的问题，在接到报修通知后4小时内派技术人员到达现场维修，故障修复时限不超过24小时,如超过时限无法排除故障，免费提供同等质量的产品作为备用品供采购人使用，直到修复完成；</w:t>
            </w:r>
          </w:p>
          <w:p>
            <w:pPr>
              <w:pStyle w:val="null3"/>
              <w:ind w:firstLine="420"/>
              <w:jc w:val="left"/>
            </w:pPr>
            <w:r>
              <w:rPr>
                <w:rFonts w:ascii="仿宋_GB2312" w:hAnsi="仿宋_GB2312" w:cs="仿宋_GB2312" w:eastAsia="仿宋_GB2312"/>
                <w:sz w:val="21"/>
              </w:rPr>
              <w:t>3.质量保证期内免费提供维修服务（含人工费、配件费、差旅费等各项费用），所更换的所有零配件全部使用原厂配件；保修期以外一律按投标文件承诺的优惠价收费，提供终身上门维修服务；</w:t>
            </w:r>
          </w:p>
          <w:p>
            <w:pPr>
              <w:pStyle w:val="null3"/>
              <w:ind w:firstLine="420"/>
              <w:jc w:val="left"/>
            </w:pPr>
            <w:r>
              <w:rPr>
                <w:rFonts w:ascii="仿宋_GB2312" w:hAnsi="仿宋_GB2312" w:cs="仿宋_GB2312" w:eastAsia="仿宋_GB2312"/>
                <w:sz w:val="21"/>
              </w:rPr>
              <w:t>4.质保期内设备内置软件均免费升级，中标人负责所有因软件系统质量问题而产生的费用；</w:t>
            </w:r>
          </w:p>
          <w:p>
            <w:pPr>
              <w:pStyle w:val="null3"/>
              <w:ind w:firstLine="420"/>
              <w:jc w:val="both"/>
            </w:pPr>
            <w:r>
              <w:rPr>
                <w:rFonts w:ascii="仿宋_GB2312" w:hAnsi="仿宋_GB2312" w:cs="仿宋_GB2312" w:eastAsia="仿宋_GB2312"/>
                <w:sz w:val="21"/>
              </w:rPr>
              <w:t>5.必须提供</w:t>
            </w:r>
            <w:r>
              <w:rPr>
                <w:rFonts w:ascii="仿宋_GB2312" w:hAnsi="仿宋_GB2312" w:cs="仿宋_GB2312" w:eastAsia="仿宋_GB2312"/>
                <w:sz w:val="21"/>
              </w:rPr>
              <w:t>售后服务方案</w:t>
            </w:r>
            <w:r>
              <w:rPr>
                <w:rFonts w:ascii="仿宋_GB2312" w:hAnsi="仿宋_GB2312" w:cs="仿宋_GB2312" w:eastAsia="仿宋_GB2312"/>
                <w:sz w:val="21"/>
              </w:rPr>
              <w:t>，</w:t>
            </w:r>
            <w:r>
              <w:rPr>
                <w:rFonts w:ascii="仿宋_GB2312" w:hAnsi="仿宋_GB2312" w:cs="仿宋_GB2312" w:eastAsia="仿宋_GB2312"/>
                <w:sz w:val="21"/>
              </w:rPr>
              <w:t>售后服务方案包括</w:t>
            </w:r>
            <w:r>
              <w:rPr>
                <w:rFonts w:ascii="仿宋_GB2312" w:hAnsi="仿宋_GB2312" w:cs="仿宋_GB2312" w:eastAsia="仿宋_GB2312"/>
                <w:sz w:val="21"/>
              </w:rPr>
              <w:t>但不限于</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1）定期回访维护方案；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2）售后服务技术支持（包括售后服务机构、技术人员等）；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3）维修应急预案；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4）零配件储备供应；</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5）保修期外维修方案；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6）技术培训等售后服务。</w:t>
            </w:r>
          </w:p>
          <w:p>
            <w:pPr>
              <w:pStyle w:val="null3"/>
              <w:numPr>
                <w:ilvl w:val="0"/>
                <w:numId w:val="2"/>
              </w:numPr>
            </w:pPr>
            <w:r>
              <w:rPr>
                <w:rFonts w:ascii="仿宋_GB2312" w:hAnsi="仿宋_GB2312" w:cs="仿宋_GB2312" w:eastAsia="仿宋_GB2312"/>
                <w:sz w:val="21"/>
                <w:b/>
              </w:rPr>
              <w:t>样品</w:t>
            </w:r>
          </w:p>
          <w:p>
            <w:pPr>
              <w:pStyle w:val="null3"/>
            </w:pPr>
            <w:r>
              <w:rPr>
                <w:rFonts w:ascii="仿宋_GB2312" w:hAnsi="仿宋_GB2312" w:cs="仿宋_GB2312" w:eastAsia="仿宋_GB2312"/>
                <w:sz w:val="21"/>
                <w:b/>
              </w:rPr>
              <w:t>（一）样品清单</w:t>
            </w:r>
          </w:p>
          <w:tbl>
            <w:tblPr>
              <w:tblInd w:type="dxa" w:w="120"/>
              <w:tblBorders>
                <w:top w:val="none" w:color="000000" w:sz="4"/>
                <w:left w:val="none" w:color="000000" w:sz="4"/>
                <w:bottom w:val="none" w:color="000000" w:sz="4"/>
                <w:right w:val="none" w:color="000000" w:sz="4"/>
                <w:insideH w:val="none"/>
                <w:insideV w:val="none"/>
              </w:tblBorders>
            </w:tblPr>
            <w:tblGrid>
              <w:gridCol w:w="215"/>
              <w:gridCol w:w="1128"/>
              <w:gridCol w:w="771"/>
              <w:gridCol w:w="436"/>
            </w:tblGrid>
            <w:tr>
              <w:tc>
                <w:tcPr>
                  <w:tcW w:type="dxa" w:w="2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112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内容</w:t>
                  </w:r>
                </w:p>
              </w:tc>
              <w:tc>
                <w:tcPr>
                  <w:tcW w:type="dxa" w:w="77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技术要求</w:t>
                  </w:r>
                </w:p>
              </w:tc>
              <w:tc>
                <w:tcPr>
                  <w:tcW w:type="dxa" w:w="43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r>
            <w:tr>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高清激光投影机</w:t>
                  </w:r>
                </w:p>
              </w:tc>
              <w:tc>
                <w:tcPr>
                  <w:tcW w:type="dxa" w:w="7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符合谈判文件要求</w:t>
                  </w:r>
                </w:p>
              </w:tc>
              <w:tc>
                <w:tcPr>
                  <w:tcW w:type="dxa" w:w="4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1台</w:t>
                  </w:r>
                </w:p>
              </w:tc>
            </w:tr>
          </w:tbl>
          <w:p>
            <w:pPr>
              <w:pStyle w:val="null3"/>
            </w:pPr>
            <w:r>
              <w:rPr>
                <w:rFonts w:ascii="仿宋_GB2312" w:hAnsi="仿宋_GB2312" w:cs="仿宋_GB2312" w:eastAsia="仿宋_GB2312"/>
                <w:sz w:val="21"/>
                <w:b/>
              </w:rPr>
              <w:t>（二）样品递交说明</w:t>
            </w:r>
          </w:p>
          <w:p>
            <w:pPr>
              <w:pStyle w:val="null3"/>
              <w:jc w:val="both"/>
            </w:pPr>
            <w:r>
              <w:rPr>
                <w:rFonts w:ascii="仿宋_GB2312" w:hAnsi="仿宋_GB2312" w:cs="仿宋_GB2312" w:eastAsia="仿宋_GB2312"/>
                <w:sz w:val="21"/>
              </w:rPr>
              <w:t>1、样品递交截止时间：同投标截止时间，现场递交，逾期不予受理。</w:t>
            </w:r>
          </w:p>
          <w:p>
            <w:pPr>
              <w:pStyle w:val="null3"/>
              <w:jc w:val="both"/>
            </w:pPr>
            <w:r>
              <w:rPr>
                <w:rFonts w:ascii="仿宋_GB2312" w:hAnsi="仿宋_GB2312" w:cs="仿宋_GB2312" w:eastAsia="仿宋_GB2312"/>
                <w:sz w:val="21"/>
              </w:rPr>
              <w:t>2、样品递交地点：西安市雁展路1111号莱安中心T6-15层。</w:t>
            </w:r>
            <w:r>
              <w:br/>
            </w:r>
            <w:r>
              <w:rPr>
                <w:rFonts w:ascii="仿宋_GB2312" w:hAnsi="仿宋_GB2312" w:cs="仿宋_GB2312" w:eastAsia="仿宋_GB2312"/>
                <w:sz w:val="21"/>
              </w:rPr>
              <w:t>3、样品须密封递交，递交时需要提供样品清单，清单加盖公章。</w:t>
            </w:r>
            <w:r>
              <w:br/>
            </w:r>
            <w:r>
              <w:rPr>
                <w:rFonts w:ascii="仿宋_GB2312" w:hAnsi="仿宋_GB2312" w:cs="仿宋_GB2312" w:eastAsia="仿宋_GB2312"/>
                <w:sz w:val="21"/>
              </w:rPr>
              <w:t>4、样品退还：中标公告发布后，接代理机构通知 5个工作日内领取样品，未在规定时间内领取样品，则由采购代理机构代为处理，后期不得有任何异议。中标人样品由采购人封存，在项目验收合格后由采购人退还。</w:t>
            </w:r>
            <w:r>
              <w:br/>
            </w:r>
            <w:r>
              <w:rPr>
                <w:rFonts w:ascii="仿宋_GB2312" w:hAnsi="仿宋_GB2312" w:cs="仿宋_GB2312" w:eastAsia="仿宋_GB2312"/>
                <w:sz w:val="21"/>
              </w:rPr>
              <w:t>5、各</w:t>
            </w:r>
            <w:r>
              <w:rPr>
                <w:rFonts w:ascii="仿宋_GB2312" w:hAnsi="仿宋_GB2312" w:cs="仿宋_GB2312" w:eastAsia="仿宋_GB2312"/>
                <w:sz w:val="21"/>
              </w:rPr>
              <w:t>供应商</w:t>
            </w:r>
            <w:r>
              <w:rPr>
                <w:rFonts w:ascii="仿宋_GB2312" w:hAnsi="仿宋_GB2312" w:cs="仿宋_GB2312" w:eastAsia="仿宋_GB2312"/>
                <w:sz w:val="21"/>
              </w:rPr>
              <w:t>自行承担样品制作及提交过程中发生的所有费用和损失。</w:t>
            </w:r>
          </w:p>
          <w:p>
            <w:pPr>
              <w:pStyle w:val="null3"/>
              <w:jc w:val="both"/>
            </w:pPr>
            <w:r>
              <w:rPr>
                <w:rFonts w:ascii="仿宋_GB2312" w:hAnsi="仿宋_GB2312" w:cs="仿宋_GB2312" w:eastAsia="仿宋_GB2312"/>
                <w:sz w:val="21"/>
              </w:rPr>
              <w:t>6、供应商提供样品不符合谈判文件要求，视为无效响应。</w:t>
            </w:r>
          </w:p>
          <w:p>
            <w:pPr>
              <w:pStyle w:val="null3"/>
              <w:ind w:firstLine="241"/>
              <w:jc w:val="left"/>
            </w:pPr>
            <w:r>
              <w:rPr>
                <w:rFonts w:ascii="仿宋_GB2312" w:hAnsi="仿宋_GB2312" w:cs="仿宋_GB2312" w:eastAsia="仿宋_GB2312"/>
                <w:sz w:val="21"/>
                <w:b/>
              </w:rPr>
              <w:t>附件：</w:t>
            </w:r>
          </w:p>
          <w:p>
            <w:pPr>
              <w:pStyle w:val="null3"/>
              <w:jc w:val="center"/>
            </w:pPr>
            <w:r>
              <w:rPr>
                <w:rFonts w:ascii="仿宋_GB2312" w:hAnsi="仿宋_GB2312" w:cs="仿宋_GB2312" w:eastAsia="仿宋_GB2312"/>
                <w:sz w:val="21"/>
                <w:b/>
              </w:rPr>
              <w:t>西安科技大学骊山校园教学设施提升改造项目样品清单</w:t>
            </w:r>
          </w:p>
          <w:p>
            <w:pPr>
              <w:pStyle w:val="null3"/>
              <w:ind w:firstLine="241"/>
              <w:jc w:val="left"/>
            </w:pPr>
            <w:r>
              <w:rPr>
                <w:rFonts w:ascii="仿宋_GB2312" w:hAnsi="仿宋_GB2312" w:cs="仿宋_GB2312" w:eastAsia="仿宋_GB2312"/>
                <w:b/>
              </w:rPr>
              <w:t xml:space="preserve">                                    </w:t>
            </w:r>
          </w:p>
          <w:tbl>
            <w:tblPr>
              <w:tblBorders>
                <w:top w:val="none" w:color="000000" w:sz="4"/>
                <w:left w:val="none" w:color="000000" w:sz="4"/>
                <w:bottom w:val="none" w:color="000000" w:sz="4"/>
                <w:right w:val="none" w:color="000000" w:sz="4"/>
                <w:insideH w:val="none"/>
                <w:insideV w:val="none"/>
              </w:tblBorders>
            </w:tblPr>
            <w:tblGrid>
              <w:gridCol w:w="338"/>
              <w:gridCol w:w="1420"/>
              <w:gridCol w:w="397"/>
              <w:gridCol w:w="397"/>
            </w:tblGrid>
            <w:tr>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4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1"/>
              </w:rPr>
              <w:t>供应商</w:t>
            </w:r>
            <w:r>
              <w:rPr>
                <w:rFonts w:ascii="仿宋_GB2312" w:hAnsi="仿宋_GB2312" w:cs="仿宋_GB2312" w:eastAsia="仿宋_GB2312"/>
                <w:sz w:val="21"/>
              </w:rPr>
              <w:t>名称（公章）：</w:t>
            </w:r>
            <w:r>
              <w:rPr>
                <w:rFonts w:ascii="仿宋_GB2312" w:hAnsi="仿宋_GB2312" w:cs="仿宋_GB2312" w:eastAsia="仿宋_GB2312"/>
                <w:sz w:val="21"/>
              </w:rPr>
              <w:t xml:space="preserve">                         </w:t>
            </w:r>
          </w:p>
          <w:p>
            <w:pPr>
              <w:pStyle w:val="null3"/>
              <w:ind w:firstLine="2757"/>
              <w:jc w:val="left"/>
            </w:pPr>
            <w:r>
              <w:rPr>
                <w:rFonts w:ascii="仿宋_GB2312" w:hAnsi="仿宋_GB2312" w:cs="仿宋_GB2312" w:eastAsia="仿宋_GB2312"/>
                <w:sz w:val="21"/>
              </w:rPr>
              <w:t>法定代表人或被授权人（签字）：</w:t>
            </w:r>
          </w:p>
          <w:p>
            <w:pPr>
              <w:pStyle w:val="null3"/>
              <w:jc w:val="both"/>
            </w:pPr>
            <w:r>
              <w:rPr>
                <w:rFonts w:ascii="仿宋_GB2312" w:hAnsi="仿宋_GB2312" w:cs="仿宋_GB2312" w:eastAsia="仿宋_GB2312"/>
                <w:sz w:val="21"/>
              </w:rPr>
              <w:t>联系人电话（手机）：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交货期：中标后14天。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西安科技大学骊山校园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自签订合同之日起30日内成交供应商完成新设施安装、调试，旧设施改造利用。经采购人验收合格交付使用后，采购人在收到成交供应商开具的合同总价款增值税专用发票之日起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1、采购文件、响应文件、澄清表（函）；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质保期：不少于三年。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2、纸质响应文件正本、副本、电子版，标明供应商名称分开密封递交（投标文件采用双面打印）。 3、线下纸质文件递交截止时间：同在线递交电子响应文件截止时间一致；线下纸质文件递交地点：西安市雁展路1111号莱安中心T6-15层。如需邮寄响应文件，仅接受顺丰速运（联系人：汪涛、联系电话：029-81206622-821）。 4、踏勘注意事项： （1）请各供应商在踏勘时间前，将踏勘人员姓名及手机号码发送至代理机构邮箱（1073273918@qq.com）。 （2）供应商因自身原因未按时进行现场踏勘，而导致的任何风险，由供应商自行承担。 （3）凡因对施工现场、施工环境、市场行情等了解不清而造成的后果和风险，由供应商自行承担。 （4）踏勘相关费用及安全由供应商自行承担。 5、保证金的退还：自中标通知书发出之日起5个工作日内退还未中标人的投标保证金,自采购合同签订之日起5个工作日内退还中标人的投标保证金。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供应商需具有电子与智能化工程专业承包二级或以上资质</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中小企业声明函 保证金交纳凭证保函.docx 供应商承诺书.docx 商务条款响应说明.docx 技术指标偏差表.docx 响应文件封面 响应报价表、分项报价表.docx 残疾人福利性单位声明函 标的清单 谈判响应方案说明.docx 响应函 监狱企业的证明文件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响应文件按谈判文件要求签字盖章</w:t>
            </w:r>
          </w:p>
        </w:tc>
        <w:tc>
          <w:tcPr>
            <w:tcW w:type="dxa" w:w="1661"/>
          </w:tcPr>
          <w:p>
            <w:pPr>
              <w:pStyle w:val="null3"/>
            </w:pPr>
            <w:r>
              <w:rPr>
                <w:rFonts w:ascii="仿宋_GB2312" w:hAnsi="仿宋_GB2312" w:cs="仿宋_GB2312" w:eastAsia="仿宋_GB2312"/>
              </w:rPr>
              <w:t>中小企业声明函 保证金交纳凭证保函.docx 供应商承诺书.docx 商务条款响应说明.docx 技术指标偏差表.docx 响应文件封面 响应报价表、分项报价表.docx 残疾人福利性单位声明函 标的清单 谈判响应方案说明.docx 响应函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谈判保证金交纳符合谈判文件要求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有效期达到谈判文件要求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符合法律、法规和谈判文件中规定的其他实质性要求</w:t>
            </w:r>
          </w:p>
        </w:tc>
        <w:tc>
          <w:tcPr>
            <w:tcW w:type="dxa" w:w="1661"/>
          </w:tcPr>
          <w:p>
            <w:pPr>
              <w:pStyle w:val="null3"/>
            </w:pPr>
            <w:r>
              <w:rPr>
                <w:rFonts w:ascii="仿宋_GB2312" w:hAnsi="仿宋_GB2312" w:cs="仿宋_GB2312" w:eastAsia="仿宋_GB2312"/>
              </w:rPr>
              <w:t>中小企业声明函 保证金交纳凭证保函.docx 供应商承诺书.docx 商务条款响应说明.docx 技术指标偏差表.docx 响应文件封面 响应报价表、分项报价表.docx 残疾人福利性单位声明函 标的清单 谈判响应方案说明.docx 响应函 监狱企业的证明文件 供应商资格条件证明文件.docx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响应报价表、分项报价表.docx 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