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版本号：【KRDL】K4-250817820251031001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陶瓷文物小型微观结构分析系统采购项目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【KRDL】K4-2508178</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陶瓷文物小型微观结构分析系统采购项目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【KRDL】K4-2508178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陶瓷文物小型微观结构分析系统采购项目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本项目拟采购1台陶瓷文物小型微观结构分析系统，具体采购内容及要求详见招标文件。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1、主体资格：投标人为向招标人提供相关货物的法人或其他组织；</w:t>
      </w:r>
    </w:p>
    <w:p>
      <w:pPr>
        <w:pStyle w:val="null3"/>
      </w:pPr>
      <w:r>
        <w:rPr>
          <w:rFonts w:ascii="仿宋_GB2312" w:hAnsi="仿宋_GB2312" w:cs="仿宋_GB2312" w:eastAsia="仿宋_GB2312"/>
        </w:rPr>
        <w:t>2、信誉要求：截止至投标文件递交截止时间之前，投标人未被“信用中国”网站列入失信被执行人、重大税收违法失信主体名单，未被“中国政府采购网”网站列入政府采购严重违法失信行为记录名单；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3、投标授权代表：投标人应授权合法的人员参加本项目招标活动全过程；</w:t>
      </w:r>
    </w:p>
    <w:p>
      <w:pPr>
        <w:pStyle w:val="null3"/>
      </w:pPr>
      <w:r>
        <w:rPr>
          <w:rFonts w:ascii="仿宋_GB2312" w:hAnsi="仿宋_GB2312" w:cs="仿宋_GB2312" w:eastAsia="仿宋_GB2312"/>
        </w:rPr>
        <w:t>4、是否接受进口产品：本项目已做进口论证，接受进口产品的投标；投标人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5、是否面向中小企业采购：本项目不专门面向中小企业采购。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代光艳、姚瑶、刘如拉、贾亚妮、王昭、刘昆、张晨、王森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说明：中标人在签订合同前须向采购人交纳中标金额的5%做为履约保证金，待验收合格后，无异议，供货商提交申请，使用部门签字确认后一次性无息退还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 857号）的有关规定标准下浮35%向采购代理机构一次付清代理服务费。备注：在对招标代理服务费或者投标保证金转账时需备注项目名称及采购包名称+招标代理服务费或投标保证金。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联系人：刘如拉、代光艳</w:t>
      </w:r>
    </w:p>
    <w:p>
      <w:pPr>
        <w:pStyle w:val="null3"/>
      </w:pPr>
      <w:r>
        <w:rPr>
          <w:rFonts w:ascii="仿宋_GB2312" w:hAnsi="仿宋_GB2312" w:cs="仿宋_GB2312" w:eastAsia="仿宋_GB2312"/>
        </w:rPr>
        <w:t>联系电话：029-89581311、15229797656、17302920968</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本项目拟采购1台陶瓷文物小型微观结构分析系统。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陶瓷文物小型微观结构分析系统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标的名称：陶瓷文物小型微观结构分析系统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30"/>
              <w:tblBorders>
                <w:top w:val="none" w:color="000000" w:sz="4"/>
                <w:left w:val="none" w:color="000000" w:sz="4"/>
                <w:bottom w:val="none" w:color="000000" w:sz="4"/>
                <w:right w:val="none" w:color="000000" w:sz="4"/>
                <w:insideH w:val="none"/>
                <w:insideV w:val="none"/>
              </w:tblBorders>
            </w:tblPr>
            <w:tblGrid>
              <w:gridCol w:w="231"/>
              <w:gridCol w:w="294"/>
              <w:gridCol w:w="1833"/>
              <w:gridCol w:w="195"/>
            </w:tblGrid>
            <w:tr>
              <w:tc>
                <w:tcPr>
                  <w:tcW w:type="dxa" w:w="231"/>
                  <w:tcBorders>
                    <w:top w:val="single" w:color="000000" w:sz="4"/>
                    <w:left w:val="singl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序号</w:t>
                  </w:r>
                </w:p>
              </w:tc>
              <w:tc>
                <w:tcPr>
                  <w:tcW w:type="dxa" w:w="294"/>
                  <w:tcBorders>
                    <w:top w:val="singl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4"/>
                      <w:b/>
                      <w:color w:val="000000"/>
                    </w:rPr>
                    <w:t>名称</w:t>
                  </w:r>
                </w:p>
              </w:tc>
              <w:tc>
                <w:tcPr>
                  <w:tcW w:type="dxa" w:w="1833"/>
                  <w:tcBorders>
                    <w:top w:val="singl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4"/>
                      <w:b/>
                      <w:color w:val="000000"/>
                    </w:rPr>
                    <w:t>技术参数</w:t>
                  </w:r>
                </w:p>
              </w:tc>
              <w:tc>
                <w:tcPr>
                  <w:tcW w:type="dxa" w:w="195"/>
                  <w:tcBorders>
                    <w:top w:val="singl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4"/>
                      <w:b/>
                      <w:color w:val="000000"/>
                    </w:rPr>
                    <w:t>数量</w:t>
                  </w:r>
                </w:p>
              </w:tc>
            </w:tr>
            <w:tr>
              <w:tc>
                <w:tcPr>
                  <w:tcW w:type="dxa" w:w="231"/>
                  <w:tcBorders>
                    <w:top w:val="none" w:color="000000" w:sz="4"/>
                    <w:left w:val="singl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4"/>
                      <w:color w:val="000000"/>
                    </w:rPr>
                    <w:t>1</w:t>
                  </w:r>
                </w:p>
              </w:tc>
              <w:tc>
                <w:tcPr>
                  <w:tcW w:type="dxa" w:w="294"/>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4"/>
                      <w:color w:val="000000"/>
                    </w:rPr>
                    <w:t>陶瓷文物小型微观结构分析系统</w:t>
                  </w:r>
                </w:p>
              </w:tc>
              <w:tc>
                <w:tcPr>
                  <w:tcW w:type="dxa" w:w="1833"/>
                  <w:tcBorders>
                    <w:top w:val="none" w:color="000000" w:sz="4"/>
                    <w:left w:val="none" w:color="000000" w:sz="4"/>
                    <w:bottom w:val="single" w:color="000000" w:sz="4"/>
                    <w:right w:val="single" w:color="000000" w:sz="4"/>
                  </w:tcBorders>
                  <w:shd w:fill="FFFFFF"/>
                  <w:tcMar>
                    <w:top w:type="dxa" w:w="0"/>
                    <w:left w:type="dxa" w:w="75"/>
                    <w:bottom w:type="dxa" w:w="0"/>
                    <w:right w:type="dxa" w:w="0"/>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.电源电压</w:t>
                  </w:r>
                  <w:r>
                    <w:rPr>
                      <w:rFonts w:ascii="仿宋_GB2312" w:hAnsi="仿宋_GB2312" w:cs="仿宋_GB2312" w:eastAsia="仿宋_GB2312"/>
                      <w:sz w:val="24"/>
                      <w:color w:val="000000"/>
                    </w:rPr>
                    <w:t>：</w:t>
                  </w:r>
                  <w:r>
                    <w:rPr>
                      <w:rFonts w:ascii="仿宋_GB2312" w:hAnsi="仿宋_GB2312" w:cs="仿宋_GB2312" w:eastAsia="仿宋_GB2312"/>
                      <w:sz w:val="24"/>
                      <w:color w:val="000000"/>
                    </w:rPr>
                    <w:t>AC</w:t>
                  </w:r>
                  <w:r>
                    <w:rPr>
                      <w:rFonts w:ascii="仿宋_GB2312" w:hAnsi="仿宋_GB2312" w:cs="仿宋_GB2312" w:eastAsia="仿宋_GB2312"/>
                      <w:sz w:val="24"/>
                      <w:color w:val="000000"/>
                    </w:rPr>
                    <w:t>220V；</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.二次电子分辨率≤6.0nm</w:t>
                  </w:r>
                  <w:r>
                    <w:rPr>
                      <w:rFonts w:ascii="仿宋_GB2312" w:hAnsi="仿宋_GB2312" w:cs="仿宋_GB2312" w:eastAsia="仿宋_GB2312"/>
                      <w:sz w:val="24"/>
                      <w:color w:val="000000"/>
                    </w:rPr>
                    <w:t>@15kv</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4nm@20kv；</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背散射电子分辨率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nm</w:t>
                  </w:r>
                  <w:r>
                    <w:rPr>
                      <w:rFonts w:ascii="仿宋_GB2312" w:hAnsi="仿宋_GB2312" w:cs="仿宋_GB2312" w:eastAsia="仿宋_GB2312"/>
                      <w:sz w:val="24"/>
                      <w:color w:val="000000"/>
                    </w:rPr>
                    <w:t>@20kv</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加速</w:t>
                  </w:r>
                  <w:r>
                    <w:rPr>
                      <w:rFonts w:ascii="仿宋_GB2312" w:hAnsi="仿宋_GB2312" w:cs="仿宋_GB2312" w:eastAsia="仿宋_GB2312"/>
                      <w:sz w:val="24"/>
                      <w:color w:val="000000"/>
                    </w:rPr>
                    <w:t>电压模式</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20kv连续可调</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5.放大倍率：≥</w:t>
                  </w:r>
                  <w:r>
                    <w:rPr>
                      <w:rFonts w:ascii="仿宋_GB2312" w:hAnsi="仿宋_GB2312" w:cs="仿宋_GB2312" w:eastAsia="仿宋_GB2312"/>
                      <w:sz w:val="24"/>
                      <w:color w:val="000000"/>
                    </w:rPr>
                    <w:t>2</w:t>
                  </w:r>
                  <w:r>
                    <w:rPr>
                      <w:rFonts w:ascii="仿宋_GB2312" w:hAnsi="仿宋_GB2312" w:cs="仿宋_GB2312" w:eastAsia="仿宋_GB2312"/>
                      <w:sz w:val="24"/>
                      <w:color w:val="000000"/>
                    </w:rPr>
                    <w:t>00000倍；</w:t>
                  </w:r>
                </w:p>
                <w:p>
                  <w:pPr>
                    <w:pStyle w:val="null3"/>
                    <w:jc w:val="both"/>
                  </w:pPr>
                  <w:r>
                    <w:rPr>
                      <w:rFonts w:ascii="仿宋_GB2312" w:hAnsi="仿宋_GB2312" w:cs="仿宋_GB2312" w:eastAsia="仿宋_GB2312"/>
                      <w:sz w:val="24"/>
                      <w:color w:val="000000"/>
                    </w:rPr>
                    <w:t>6.具备二次电子和背散射电子成像系统：自动调节亮度、对比度、对焦及消像散；</w:t>
                  </w:r>
                </w:p>
                <w:p>
                  <w:pPr>
                    <w:pStyle w:val="null3"/>
                    <w:jc w:val="both"/>
                  </w:pPr>
                  <w:r>
                    <w:rPr>
                      <w:rFonts w:ascii="仿宋_GB2312" w:hAnsi="仿宋_GB2312" w:cs="仿宋_GB2312" w:eastAsia="仿宋_GB2312"/>
                      <w:sz w:val="24"/>
                      <w:color w:val="000000"/>
                    </w:rPr>
                    <w:t>7.配置能谱仪，采集模式：区域分析，点分析, 线扫描，元素面扫描，并且能谱仪分析可以在相同条件下进行重复实验或表征；</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高</w:t>
                  </w:r>
                  <w:r>
                    <w:rPr>
                      <w:rFonts w:ascii="仿宋_GB2312" w:hAnsi="仿宋_GB2312" w:cs="仿宋_GB2312" w:eastAsia="仿宋_GB2312"/>
                      <w:sz w:val="24"/>
                      <w:color w:val="000000"/>
                    </w:rPr>
                    <w:t>真空系统</w:t>
                  </w:r>
                  <w:r>
                    <w:rPr>
                      <w:rFonts w:ascii="仿宋_GB2312" w:hAnsi="仿宋_GB2312" w:cs="仿宋_GB2312" w:eastAsia="仿宋_GB2312"/>
                      <w:sz w:val="24"/>
                      <w:color w:val="000000"/>
                    </w:rPr>
                    <w:t>≤ 0.1mPa；</w:t>
                  </w:r>
                  <w:r>
                    <w:rPr>
                      <w:rFonts w:ascii="仿宋_GB2312" w:hAnsi="仿宋_GB2312" w:cs="仿宋_GB2312" w:eastAsia="仿宋_GB2312"/>
                      <w:sz w:val="24"/>
                      <w:color w:val="000000"/>
                    </w:rPr>
                    <w:t>低真空系统</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100</w:t>
                  </w:r>
                  <w:r>
                    <w:rPr>
                      <w:rFonts w:ascii="仿宋_GB2312" w:hAnsi="仿宋_GB2312" w:cs="仿宋_GB2312" w:eastAsia="仿宋_GB2312"/>
                      <w:sz w:val="24"/>
                      <w:color w:val="000000"/>
                    </w:rPr>
                    <w:t>Pa；</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样品台移动范围不少于三轴马达驱动，各轴工作有效行程要求：</w:t>
                  </w:r>
                  <w:r>
                    <w:rPr>
                      <w:rFonts w:ascii="仿宋_GB2312" w:hAnsi="仿宋_GB2312" w:cs="仿宋_GB2312" w:eastAsia="仿宋_GB2312"/>
                      <w:sz w:val="24"/>
                      <w:color w:val="000000"/>
                    </w:rPr>
                    <w:t>X≥40mm，Y≥</w:t>
                  </w:r>
                  <w:r>
                    <w:rPr>
                      <w:rFonts w:ascii="仿宋_GB2312" w:hAnsi="仿宋_GB2312" w:cs="仿宋_GB2312" w:eastAsia="仿宋_GB2312"/>
                      <w:sz w:val="24"/>
                      <w:color w:val="000000"/>
                    </w:rPr>
                    <w:t>50</w:t>
                  </w:r>
                  <w:r>
                    <w:rPr>
                      <w:rFonts w:ascii="仿宋_GB2312" w:hAnsi="仿宋_GB2312" w:cs="仿宋_GB2312" w:eastAsia="仿宋_GB2312"/>
                      <w:sz w:val="24"/>
                      <w:color w:val="000000"/>
                    </w:rPr>
                    <w:t>mm，Z≥2</w:t>
                  </w:r>
                  <w:r>
                    <w:rPr>
                      <w:rFonts w:ascii="仿宋_GB2312" w:hAnsi="仿宋_GB2312" w:cs="仿宋_GB2312" w:eastAsia="仿宋_GB2312"/>
                      <w:sz w:val="24"/>
                      <w:color w:val="000000"/>
                    </w:rPr>
                    <w:t>5</w:t>
                  </w:r>
                  <w:r>
                    <w:rPr>
                      <w:rFonts w:ascii="仿宋_GB2312" w:hAnsi="仿宋_GB2312" w:cs="仿宋_GB2312" w:eastAsia="仿宋_GB2312"/>
                      <w:sz w:val="24"/>
                      <w:color w:val="000000"/>
                    </w:rPr>
                    <w:t>mm，R：0~360°连续可调；</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10.样品尺寸：</w:t>
                  </w:r>
                  <w:r>
                    <w:rPr>
                      <w:rFonts w:ascii="仿宋_GB2312" w:hAnsi="仿宋_GB2312" w:cs="仿宋_GB2312" w:eastAsia="仿宋_GB2312"/>
                      <w:sz w:val="24"/>
                      <w:color w:val="000000"/>
                    </w:rPr>
                    <w:t>X≥</w:t>
                  </w:r>
                  <w:r>
                    <w:rPr>
                      <w:rFonts w:ascii="仿宋_GB2312" w:hAnsi="仿宋_GB2312" w:cs="仿宋_GB2312" w:eastAsia="仿宋_GB2312"/>
                      <w:sz w:val="24"/>
                      <w:color w:val="000000"/>
                    </w:rPr>
                    <w:t>90</w:t>
                  </w:r>
                  <w:r>
                    <w:rPr>
                      <w:rFonts w:ascii="仿宋_GB2312" w:hAnsi="仿宋_GB2312" w:cs="仿宋_GB2312" w:eastAsia="仿宋_GB2312"/>
                      <w:sz w:val="24"/>
                      <w:color w:val="000000"/>
                    </w:rPr>
                    <w:t>mm，Y≥</w:t>
                  </w:r>
                  <w:r>
                    <w:rPr>
                      <w:rFonts w:ascii="仿宋_GB2312" w:hAnsi="仿宋_GB2312" w:cs="仿宋_GB2312" w:eastAsia="仿宋_GB2312"/>
                      <w:sz w:val="24"/>
                      <w:color w:val="000000"/>
                    </w:rPr>
                    <w:t>90</w:t>
                  </w:r>
                  <w:r>
                    <w:rPr>
                      <w:rFonts w:ascii="仿宋_GB2312" w:hAnsi="仿宋_GB2312" w:cs="仿宋_GB2312" w:eastAsia="仿宋_GB2312"/>
                      <w:sz w:val="24"/>
                      <w:color w:val="000000"/>
                    </w:rPr>
                    <w:t>mm，Z≥</w:t>
                  </w:r>
                  <w:r>
                    <w:rPr>
                      <w:rFonts w:ascii="仿宋_GB2312" w:hAnsi="仿宋_GB2312" w:cs="仿宋_GB2312" w:eastAsia="仿宋_GB2312"/>
                      <w:sz w:val="24"/>
                      <w:color w:val="000000"/>
                    </w:rPr>
                    <w:t>35</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p>
              </w:tc>
              <w:tc>
                <w:tcPr>
                  <w:tcW w:type="dxa" w:w="195"/>
                  <w:tcBorders>
                    <w:top w:val="none" w:color="000000" w:sz="4"/>
                    <w:left w:val="none" w:color="000000" w:sz="4"/>
                    <w:bottom w:val="single" w:color="000000" w:sz="4"/>
                    <w:right w:val="single" w:color="000000" w:sz="4"/>
                  </w:tcBorders>
                  <w:shd w:fill="FFFFFF"/>
                  <w:tcMar>
                    <w:top w:type="dxa" w:w="0"/>
                    <w:left w:type="dxa" w:w="75"/>
                    <w:bottom w:type="dxa" w:w="0"/>
                    <w:right w:type="dxa" w:w="75"/>
                  </w:tcMar>
                  <w:vAlign w:val="top"/>
                </w:tcPr>
                <w:p>
                  <w:pPr>
                    <w:pStyle w:val="null3"/>
                    <w:jc w:val="center"/>
                  </w:pPr>
                  <w:r>
                    <w:rPr>
                      <w:rFonts w:ascii="仿宋_GB2312" w:hAnsi="仿宋_GB2312" w:cs="仿宋_GB2312" w:eastAsia="仿宋_GB2312"/>
                      <w:sz w:val="24"/>
                      <w:color w:val="000000"/>
                    </w:rPr>
                    <w:t>1台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自合同签订之日起120个日历日内到货、安装调试并交付使用。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“一次性付清”为系统固定推述内容，具体付款方式以3.5其他要求列明的付款内容为准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招标人与中标人双方共同开箱验收。在检查设备原产地、规格、型号、配置等符合合同要求后，由中标人负责安装调试，招标人负责技术验收（中标人协助），验收标准以国内或同文本仪器设备详细配置清单中描述的有关技术要求为准。 2.由仪器制造厂技术人员到现场安装仪器并在用户实验室人员在场的情况下完成仪器设备性能的校准，并提供校准证书。 3.中标人安装调试完毕、正常运行后及时向招标人提出书面验收申请，招标人将组织人员对采购物品进行核查验收，核查验收时需出具经招标人确认的开箱验收报告，核查验收工作完成后签字确认。验收不合格的，限期整改；整改仍达不到要求的，作退货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（1）质量保证期：验收合格通过之日起1年。 （2）售后服务响应时间（质保期内）：售后服务响应不得超出24小时，制定解决方案，2个工作日内派人到现场维修。超过2个工作日未排除故障，保修期顺延；如无法修复，则提供部件冗余服务或采取应急措施，提供相同产品或不低于故障产品规格档次的备用产品供招标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1.付款方式：“一次性付清”为系统固定推述内容，具体付款方式以下列内容为准： （一）进口设备付款方式： 方式一（仅限2025年12月15日前无法验收合格的进口产品项目）： （1）设备进口减免税手续由采购人指定的进出口外贸公司办理（外贸代理服务费由中标人承担），采购人可协助提供相关资料。 （2）合同签订后，采购人将100%合同金额款项转入由进出口外贸公司、采购人及相关银行的三方监管账户，项目验收合格后解付监管账户相关资金。 （3）中标人在签订合同前须向采购人交纳中标金额的5%做为履约保证金，待验收合格后，无异议，供货商提交申请，使用部门签字确认后一次性无息退还。 方式二（仅限2025年12月15日前验收合格的进口产品项目）： （1）设备进口减免税手续由采购人指定的进出口外贸公司办理（外贸代理服务费由中标人承担），采购人可协助提供相关资料。 （2）发票在货到验收合格后由中标人委托的外贸代理机构开具给采购人。 （3）采购人收到中标人委托的外贸代理机构开具的全额发票后及时向中标人委托的外贸代理机构支付合同总价款的100%。 （4）中标人在签订合同前须向采购人交纳中标金额的5%做为履约保证金，待验收合格后，无异议，供货商提交申请，使用部门签字确认后一次性无息退还 （二）国产设备付款方式： 方式一（仅限2025年12月15日前验收合格的国产产品项目）： （1）发票在货到验收合格后由中标人开具给采购人。 （2）采购人收到中标人开具的全额增值税专用发票（电子、纸质发票均可，纸质发票须包含发票联、抵扣联）后及时向中标人支付合同总价款的100%。 （3）中标人在签订合同前须向采购人交纳中标金额的5%做为履约保证金，待验收合格后，无异议，供货商提交申请，使用部门签字确认后一次性无息退还。 方式二（仅限2025年12月15日前无法验收合格的国产产品项目）： （1）合同生效后，乙方开具合同金额等额银行保函，甲方收到银行保函正本后预付合同货款。 （2）发票在货到验收合格后由中标人开具给采购人。 （3）采购人收到中标人开具的全额增值税专用发票（电子、纸质发票均可，纸质发票须包含发票联、抵扣联）后，甲方退还银行保函正本。 （4）中标人在签订合同前须向采购人交纳中标金额的5%做为履约保证金，待验收合格后，无异议，供货商提交申请，使用部门签字确认后一次性无息退还。 2.所有设备安装、调试开始前，中标人负责按照招标人要求进行相关技术培训，每次培训不低于8小时，培训内容包含：设备的工作原理、设备结构、操作步骤、主要部件用途、消耗品更换、日常保养、硬件维护、故障排查等，并提供应用、技术支持及软/硬件升级。 3.培训目标：保证客户能够独立操作、熟练使用、维护和管理有关设备； 4.随机文件设备操作手册；中文/英文版，一套、专用分析软件（应用模块）光盘，一套；仪器硬件操作、维护手册，中文／英文版，一套。 5.投标人需要在线提交所有通过电子化交易平台实施的政府采购项目的投标文件，同时，线下提交纸质投标文件正本壹份、副本壹份，纸质投标文件正副本分别胶装，标明投标人名称密封递交，递交截止时间同在线递交电子投标文件截止时间一致，线下递交文件地点：开瑞项目管理有限公司（陕西省西安市莲湖区高新二路1号招商银行大厦19层，联系人：刘如拉、代光艳，联系电话：15229797656、17302920968）,若电子投标文件与纸质投标文件不一致的，以电子投标文件为准。 6.投标保证金注意事项 （1）投标保证金须从投标人户名支付，如从个人户名或非投标人户名支付，将被拒绝，视为自动放弃投标权利（该个人是投标人的情形除外）；投标人保证金缴纳时间：开标时间之前；以保函形式交纳投标保证金的，投标人应在投标截止时间前将保函上传至政府采购电子化交易平台，同时将保函扫描成清晰的PDF文件，发送至邮箱2973608682@qq.com（邮件命名：项目名称+项目编号）；投标人应在投标文件中附保函复印件。保函必须由具有开具投标保函资格的单位开具；若投标人违约，开具保函单位承担连带责任； （2）投标保证金的提交金额、时间不满足招标文件要求的，投标无效。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提供会计师事务所出具的有效的2024年度的审计报告（成立时间至提交投标文件截止时间不足一年的可提供成立后任意时段的资产负债表），或投标文件提交截止时间前6个月内银行出具的资信证明，或信用担保机构出具的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是否接受进口产品</w:t>
            </w:r>
          </w:p>
        </w:tc>
        <w:tc>
          <w:tcPr>
            <w:tcW w:type="dxa" w:w="3322"/>
          </w:tcPr>
          <w:p>
            <w:pPr>
              <w:pStyle w:val="null3"/>
            </w:pPr>
            <w:r>
              <w:rPr>
                <w:rFonts w:ascii="仿宋_GB2312" w:hAnsi="仿宋_GB2312" w:cs="仿宋_GB2312" w:eastAsia="仿宋_GB2312"/>
              </w:rPr>
              <w:t>本项目已做进口论证，接受进口产品的投标；投标人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国家市场监督管理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备品备件清单及承诺函.docx 技术条款响应偏离表.docx 进度保证措施.docx 业绩表.docx 投标函 残疾人福利性单位声明函 应急事故响应及处理方案.docx 组织保证措施.docx 标的清单 投标文件封面 实施方案.docx 资格证明材料.docx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备品备件清单及承诺函.docx 技术条款响应偏离表.docx 进度保证措施.docx 业绩表.docx 投标函 残疾人福利性单位声明函 应急事故响应及处理方案.docx 组织保证措施.docx 标的清单 投标文件封面 实施方案.docx 资格证明材料.docx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备品备件清单及承诺函.docx 技术条款响应偏离表.docx 进度保证措施.docx 业绩表.docx 投标函 残疾人福利性单位声明函 应急事故响应及处理方案.docx 组织保证措施.docx 标的清单 投标文件封面 实施方案.docx 资格证明材料.docx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商务应答表 技术条款响应偏离表.docx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 （1）完全满足技术指标的，得32分； （2）标记“▲”技术指标每负偏离一项扣5分，共计4项； （3）未标记“▲”的技术指标每负偏离一项扣2分，扣完为止。 备注：1.技术条款响应偏离表所有产品完全复制招标文件技术指标要求的，给予10分扣分。2.标记“▲”的技术指标至少须提供下列证明材料之一予以佐证：①产品说明书；②产品检测报告；③产品彩页；④产品截图；⑤官方网页截图，投标人应在投标文件中给出明确的证明材料索引，未提供有效证明材料或证明材料中内容与所填报指标不一致的或缺项、漏项的，将视为此条不满足，视同负偏离处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根据投标人提供的组织保证措施（①组织机构方案；②专业服务团队情况；③有关管理制度 ）进行评审，包括但不限于： 1.组织机构：组织机构完备，框架结构完整，运行机制有效的得0-1分； 2.服务团队：服务团队人员充实、结构合理、均具备相应经验，能有效保障项目实施的得0-1分； 3.管理制度：管理制度完善，与项目实施具有很强的切合程度，具有针对性、可行性得0-1分；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1.根据投标人提供的运输阶段的质量保证措施（包括①对产品打包、装卸的保护措施；②运输工具配置情况；③运输人员配置；④运输过程中对产品的保护措施。）进行评审： ①对产品打包、装卸的保护措施： 产品打包、装卸保护措施方案完整详细，具备合理性及可行性的得0-1分； ②运输工具配置情况： 运输工具配置合理得当并附有相应证明材料（包括但不限于运输工具购买凭证、租用凭证或具有固定的合作物流点的相关证明材料）得0-1分； ③运输人员配置： 有专职运输人员，配置合理并附有人员配置表及详细信息，能完全保障运输过程中的质量安全的得0-1分； ④运输过程中对产品的保护措施： 运输过程中对产品的保护措施全面合理可行，具有针对性、可行性的得0-1分。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2.根据投标人提供的安装调试阶段的质量保证措施（包括①安装调试标准；②安装调试工具及安装调试人员配置情况；③安装调试过程中对产品的保护措施）进行评审： ①安装调试标准： 提供安装调试方案，严格按照生产厂家出具的使用说明进行安装调试并提供相应标准的得01.1-2分； 提供安装调试方案，安装调试及提供相应标准内容稍有欠缺的得0-1分； ②安装调试工具配置情况： 配备的安装调试工具先进适配，安装调试人员具有专业性，且在安装调试方面具备充足的经验的，完全满足安装调试要求的得1.1-2分； 配备的安装调试工具及安装调试人员具有专业性，在安装调试方面经验稍有欠缺的得0-1分； ③安装调试过程中对产品的保护措施： 在安装调试过程中的保护措施详细合理可行，保证对产品不会造成损坏的得1.1-2分； 在安装调试过程中的保护措施简单粗略，无法保证对产品不会造成损坏的得0-1分；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3.根据投标人针对本项目具有可行的技术培训方案，培训采购人指定的操作和维修人员，制定培训课程计划表，列出培训的地点和时间，培训内容应包括所提供设备的原理和技术性能、操作维护方法、安装调试、排除故障等各个方面，培训的具体日期及人数由使用单位确定。确保培训后的人员应能熟练操作设备，了解设备结构、工作原理，并能排除一般故障进行评审： ①培训课程计划 提供培训课程计划，列出培训的地点和时间，根据培训课程计划内容得0-1分。 ②培训大纲 提供培训大纲，根据培训大纲内容得0-1分。 ③设备使用培训方案 提供培训设备使用方案，根据设备使用培训方案内容得0-1分。 ④设备的原理和技术性能培训方案 提供培训设备的原理和技术性能培训方案，根据培训方案内容得0-1分。 ⑤操作维护方法 提供操作维护方法，根据培训内容得0-1分。 ⑥排除故障方法 投标排除故障方法，根据培训内容得0-1分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4.根据投标人提供的售后阶段的质量保证措施（包括①售后服务机构及人员配置方案；②提供保修期外至全寿命周期内零配件及备品备件供应方案；③提供所投产品制造商的售后服务承诺函）进行评审： ①售后服务机构及人员配置方案： 有投标人自己的维修服务机构，提供专职售后服务人员（提供专职人员身份证复印件及劳动合同）完全满足本项目需求，且配备的人员具有相关技能证书（提供相关技能证书）的得0-1分； ②提供保修期外至全寿命周期内零配件及备品备件供应方案： 提供的零配件及备品备件供应方案包括但不限于供应时间、安装更换方式、定价方式（不高于当年市场平均价格，提供不高于市场平均价格的承诺书），方案及承诺详细完善，完全切合本项目实际需求的得0-1分； ③提供所投产品制造商的售后服务承诺函： 投标人提供售后服务承诺函的内容得0-1分。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根据投标人提供的进度保证措施（包括①生产进度保证措施；②运输进度保证措施；③安装调试进度保证措施）进行评审： ①生产进度保证措施： 生产进度保证措施合详细可行，有针对性，完全满足项目要求的得0-1分； ②运输进度保证措施： 运输进度安排合理、详细，能完全保障运输的时效性的得0-1分； ③安装调试进度保证措施： 安装、调试方案科学可行，完全满足项目要求的得0-1分；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根据投标人提供的应急事故响应及处理方案（包括①可能发生的应急事故情况分析；②应急响应时间；③紧急安全保障措施）进行评审： ①可能发生的应急事故情况分析 应急事故情况预估考虑充分，分析解决方案全面合理完整的得0-1分； ②应急响应时间 应急响应时间合理可行，能完全保障设备故障后的运行的得0-1分； ③紧急安全保障措施 紧急安全保障措施合理可行，完全适用于本项目采购人得0-1分；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应急事故响应及处理方案.docx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投标人应在投标文件中提供该投标人自2022年8月1日起至今的同类业绩证明材料，每提供一份业绩合同的得1分，满分为5分，不得重复累计。 注：以合同签订时间为准，投标人应在投标文件中提供业绩合同复印件或扫描件且加盖单位公章。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详见附件：应急事故响应及处理方案.docx</w:t>
      </w:r>
    </w:p>
    <w:p>
      <w:pPr>
        <w:pStyle w:val="null3"/>
        <w:ind w:firstLine="960"/>
      </w:pPr>
      <w:r>
        <w:rPr>
          <w:rFonts w:ascii="仿宋_GB2312" w:hAnsi="仿宋_GB2312" w:cs="仿宋_GB2312" w:eastAsia="仿宋_GB2312"/>
        </w:rPr>
        <w:t>详见附件：组织保证措施.docx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详见附件：备品备件清单及承诺函.docx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