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版本号：ZJZBSX-250623-1089320251031001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长安校区硕博公寓楼建设项目工程咨询项目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ZJZBSX-250623-10893</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长安校区硕博公寓楼建设项目工程咨询项目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ZJZBSX-250623-10893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长安校区硕博公寓楼建设项目工程咨询项目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本项目工程咨询服务工作需完成项目建议书、可行性研究报告、初步设计等工作，取得项目在省教育厅、发改委的全部批复手续。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见附件格式）</w:t>
      </w:r>
    </w:p>
    <w:p>
      <w:pPr>
        <w:pStyle w:val="null3"/>
      </w:pPr>
      <w:r>
        <w:rPr>
          <w:rFonts w:ascii="仿宋_GB2312" w:hAnsi="仿宋_GB2312" w:cs="仿宋_GB2312" w:eastAsia="仿宋_GB2312"/>
        </w:rPr>
        <w:t>3、财务状况报告：供应商提供2024年度经审计的完整财务审计报告（审计报告应当包含报告正文、资产负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书面声明（信用记录）：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7、承诺函：提供具有履行合同所必需的设备和专业技术能力的承诺；供应商需在项目电子化交易系统中按要求上传相应证明文件并进行电子签章。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8、特殊资质1：供应商具备建设行政主管部门核发的有效的建筑行业(建筑工程)设计甲级或建筑行业工程设计甲级或工程设计综合甲级资质，提供证书复印件；供应商需在项目电子化交易系统中按要求上传相应证明文件并进行电子签章。</w:t>
      </w:r>
    </w:p>
    <w:p>
      <w:pPr>
        <w:pStyle w:val="null3"/>
      </w:pPr>
      <w:r>
        <w:rPr>
          <w:rFonts w:ascii="仿宋_GB2312" w:hAnsi="仿宋_GB2312" w:cs="仿宋_GB2312" w:eastAsia="仿宋_GB2312"/>
        </w:rPr>
        <w:t>9、特殊资质2：供应商拟派咨询负责人须具备注册咨询工程师(投资)资格证书并具有高级工程师及以上职称，供应商拟派设计负责人具备国家一级注册建筑师资格证书，并在本单位登记注册；提供证书复印件；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王佼、祝清江、赵薇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采购包1：4,016,200.00元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代理服务费收费标准：招标代理服务费（即中标服务费）由中标人支付，按计价格[2002]1980号文件及发改办【2003】857号文件规定标准（中标金额50万元以下按标准的100%、50万元（含）以上按标准的80%）支付。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西安邮电大学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（1）合同及附件文本所约定的验收标准； （2）招标文件，投标文件，澄清资料；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联系电话：029-87888601-8013</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本项目工程咨询服务工作需完成项目建议书、可行性研究报告、初步设计等工作，取得项目在省教育厅、发改委的全部批复手续。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4,016,200.00</w:t>
      </w:r>
    </w:p>
    <w:p>
      <w:pPr>
        <w:pStyle w:val="null3"/>
      </w:pPr>
      <w:r>
        <w:rPr>
          <w:rFonts w:ascii="仿宋_GB2312" w:hAnsi="仿宋_GB2312" w:cs="仿宋_GB2312" w:eastAsia="仿宋_GB2312"/>
        </w:rPr>
        <w:t>采购包最高限价（元）: 4,016,200.00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工程咨询服务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4,016,200.00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rPr>
              <w:t>采购需求（项目分为</w:t>
            </w:r>
            <w:r>
              <w:rPr>
                <w:rFonts w:ascii="仿宋_GB2312" w:hAnsi="仿宋_GB2312" w:cs="仿宋_GB2312" w:eastAsia="仿宋_GB2312"/>
              </w:rPr>
              <w:t>4栋单体公寓楼，所述报价均为4栋建筑服务总报价，单栋建筑的服务费用按照下列分项总价/4计算）</w:t>
            </w:r>
          </w:p>
          <w:p>
            <w:pPr>
              <w:pStyle w:val="null3"/>
            </w:pPr>
            <w:r>
              <w:rPr>
                <w:rFonts w:ascii="仿宋_GB2312" w:hAnsi="仿宋_GB2312" w:cs="仿宋_GB2312" w:eastAsia="仿宋_GB2312"/>
              </w:rPr>
              <w:t>1、项目建议书编制   工期：10天  最高限价：32.08万元</w:t>
            </w:r>
          </w:p>
          <w:p>
            <w:pPr>
              <w:pStyle w:val="null3"/>
            </w:pPr>
            <w:r>
              <w:rPr>
                <w:rFonts w:ascii="仿宋_GB2312" w:hAnsi="仿宋_GB2312" w:cs="仿宋_GB2312" w:eastAsia="仿宋_GB2312"/>
              </w:rPr>
              <w:t>2、项目可行性研究报告编制  工期：20天   最高限价：64.82万元</w:t>
            </w:r>
          </w:p>
          <w:p>
            <w:pPr>
              <w:pStyle w:val="null3"/>
            </w:pPr>
            <w:r>
              <w:rPr>
                <w:rFonts w:ascii="仿宋_GB2312" w:hAnsi="仿宋_GB2312" w:cs="仿宋_GB2312" w:eastAsia="仿宋_GB2312"/>
              </w:rPr>
              <w:t>3、项目方案与初步设计（配合可研编制） 工期：30天 最高限价：304.72万元。此项暂时按照项目建安概算46880万元对应，最终费用按照陕西省发改委关于本项目审批通过的初步设计所确定的建安概算折算结果为准（最终费用=(中标价/46880万元)*项目审批通过的初步设计建安概算）。最终结算价格不得超过中标价。</w:t>
            </w:r>
          </w:p>
          <w:p>
            <w:pPr>
              <w:pStyle w:val="null3"/>
            </w:pPr>
            <w:r>
              <w:rPr>
                <w:rFonts w:ascii="仿宋_GB2312" w:hAnsi="仿宋_GB2312" w:cs="仿宋_GB2312" w:eastAsia="仿宋_GB2312"/>
              </w:rPr>
              <w:t>4、质量要求：供应商提供的前述服务必须满足陕西省发改委关于省级单位项目申请立项的各项要求，各阶段工作成果以取得陕西省发改委正式批复为准。供应商除完成各阶段文本、资料编制工作外，需完成省发改委及项目评审中心各项审批工作要求，因客观原因导致前述某一阶段无法获批，则不再开展后续各阶段工作，后续费用不再支付。</w:t>
            </w:r>
          </w:p>
          <w:p>
            <w:pPr>
              <w:pStyle w:val="null3"/>
            </w:pPr>
            <w:r>
              <w:rPr>
                <w:rFonts w:ascii="仿宋_GB2312" w:hAnsi="仿宋_GB2312" w:cs="仿宋_GB2312" w:eastAsia="仿宋_GB2312"/>
              </w:rPr>
              <w:t>本项目实施过程中所产生以下费用（包括但不限于）均包括在供应商的报价内，采购人不再承担任何费用：</w:t>
            </w:r>
          </w:p>
          <w:p>
            <w:pPr>
              <w:pStyle w:val="null3"/>
            </w:pPr>
            <w:r>
              <w:rPr>
                <w:rFonts w:ascii="仿宋_GB2312" w:hAnsi="仿宋_GB2312" w:cs="仿宋_GB2312" w:eastAsia="仿宋_GB2312"/>
              </w:rPr>
              <w:t>资料、图纸及按照评审要求修改后的资料、图纸等；</w:t>
            </w:r>
          </w:p>
          <w:p>
            <w:pPr>
              <w:pStyle w:val="null3"/>
            </w:pPr>
            <w:r>
              <w:rPr>
                <w:rFonts w:ascii="仿宋_GB2312" w:hAnsi="仿宋_GB2312" w:cs="仿宋_GB2312" w:eastAsia="仿宋_GB2312"/>
              </w:rPr>
              <w:t>完成本项目各阶段工作往来交通、差旅等；</w:t>
            </w:r>
          </w:p>
          <w:p>
            <w:pPr>
              <w:pStyle w:val="null3"/>
            </w:pPr>
            <w:r>
              <w:rPr>
                <w:rFonts w:ascii="仿宋_GB2312" w:hAnsi="仿宋_GB2312" w:cs="仿宋_GB2312" w:eastAsia="仿宋_GB2312"/>
              </w:rPr>
              <w:t>后期配合施工图设计的各项工作。</w:t>
            </w:r>
          </w:p>
          <w:p>
            <w:pPr>
              <w:pStyle w:val="null3"/>
            </w:pPr>
            <w:r>
              <w:rPr>
                <w:rFonts w:ascii="仿宋_GB2312" w:hAnsi="仿宋_GB2312" w:cs="仿宋_GB2312" w:eastAsia="仿宋_GB2312"/>
              </w:rPr>
              <w:t xml:space="preserve">   </w:t>
            </w:r>
            <w:r>
              <w:rPr>
                <w:rFonts w:ascii="仿宋_GB2312" w:hAnsi="仿宋_GB2312" w:cs="仿宋_GB2312" w:eastAsia="仿宋_GB2312"/>
              </w:rPr>
              <w:t>注：供应商完成的各阶段工作成果均需按照采购人的要求提供纸质版、电子版（非加密）；同时按采购人要求，紧密配合后期施工图设计阶段的各项工作</w:t>
            </w:r>
            <w:r>
              <w:rPr>
                <w:rFonts w:ascii="仿宋_GB2312" w:hAnsi="仿宋_GB2312" w:cs="仿宋_GB2312" w:eastAsia="仿宋_GB2312"/>
              </w:rPr>
              <w:t>。</w:t>
            </w:r>
          </w:p>
          <w:p>
            <w:pPr>
              <w:pStyle w:val="null3"/>
            </w:pPr>
            <w:r>
              <w:rPr>
                <w:rFonts w:ascii="仿宋_GB2312" w:hAnsi="仿宋_GB2312" w:cs="仿宋_GB2312" w:eastAsia="仿宋_GB2312"/>
              </w:rPr>
              <w:t xml:space="preserve">   </w:t>
            </w:r>
            <w:r>
              <w:rPr>
                <w:rFonts w:ascii="仿宋_GB2312" w:hAnsi="仿宋_GB2312" w:cs="仿宋_GB2312" w:eastAsia="仿宋_GB2312"/>
              </w:rPr>
              <w:t>二、商务需求（项目分为</w:t>
            </w:r>
            <w:r>
              <w:rPr>
                <w:rFonts w:ascii="仿宋_GB2312" w:hAnsi="仿宋_GB2312" w:cs="仿宋_GB2312" w:eastAsia="仿宋_GB2312"/>
              </w:rPr>
              <w:t>4栋单体公寓楼，下述付款方式根据相关政策、学校启动建设意愿及政府相关审批部门意见等，按照启动服务的单体建筑数量进行支付，例如若只启动1栋单体公寓楼，则仅针对1栋建筑的服务费用按照下述付款方式予以支付）</w:t>
            </w:r>
            <w:r>
              <w:rPr>
                <w:rFonts w:ascii="仿宋_GB2312" w:hAnsi="仿宋_GB2312" w:cs="仿宋_GB2312" w:eastAsia="仿宋_GB2312"/>
              </w:rPr>
              <w:t>：</w:t>
            </w:r>
          </w:p>
          <w:p>
            <w:pPr>
              <w:pStyle w:val="null3"/>
            </w:pPr>
            <w:r>
              <w:rPr>
                <w:rFonts w:ascii="仿宋_GB2312" w:hAnsi="仿宋_GB2312" w:cs="仿宋_GB2312" w:eastAsia="仿宋_GB2312"/>
              </w:rPr>
              <w:t>1、付款方式：（1）取得省发改委可行性研究报告批复后10日内支付项目建议书、可行性研究报告编制费用；（2）取得省发改委初步设计批复后10日内支付至项目方案及初步设计总费用的90%；（3）剩余款项（项目方案与初步设计总费用的10%）待后期施工图设计单位正式出图后10日内支付。</w:t>
            </w:r>
          </w:p>
          <w:p>
            <w:pPr>
              <w:pStyle w:val="null3"/>
            </w:pPr>
            <w:r>
              <w:rPr>
                <w:rFonts w:ascii="仿宋_GB2312" w:hAnsi="仿宋_GB2312" w:cs="仿宋_GB2312" w:eastAsia="仿宋_GB2312"/>
              </w:rPr>
              <w:t>2、工期：</w:t>
            </w:r>
          </w:p>
          <w:p>
            <w:pPr>
              <w:pStyle w:val="null3"/>
            </w:pPr>
            <w:r>
              <w:rPr>
                <w:rFonts w:ascii="仿宋_GB2312" w:hAnsi="仿宋_GB2312" w:cs="仿宋_GB2312" w:eastAsia="仿宋_GB2312"/>
              </w:rPr>
              <w:t>项目建议书编制</w:t>
            </w:r>
            <w:r>
              <w:rPr>
                <w:rFonts w:ascii="仿宋_GB2312" w:hAnsi="仿宋_GB2312" w:cs="仿宋_GB2312" w:eastAsia="仿宋_GB2312"/>
              </w:rPr>
              <w:t xml:space="preserve">   </w:t>
            </w:r>
            <w:r>
              <w:rPr>
                <w:rFonts w:ascii="仿宋_GB2312" w:hAnsi="仿宋_GB2312" w:cs="仿宋_GB2312" w:eastAsia="仿宋_GB2312"/>
              </w:rPr>
              <w:t>工期：</w:t>
            </w:r>
            <w:r>
              <w:rPr>
                <w:rFonts w:ascii="仿宋_GB2312" w:hAnsi="仿宋_GB2312" w:cs="仿宋_GB2312" w:eastAsia="仿宋_GB2312"/>
              </w:rPr>
              <w:t>10天；项目可行性研究报告编制  工期：20天；项目方案与初步设计（配合可研编制） 工期：30天。</w:t>
            </w:r>
          </w:p>
          <w:p>
            <w:pPr>
              <w:pStyle w:val="null3"/>
            </w:pPr>
            <w:r>
              <w:rPr>
                <w:rFonts w:ascii="仿宋_GB2312" w:hAnsi="仿宋_GB2312" w:cs="仿宋_GB2312" w:eastAsia="仿宋_GB2312"/>
              </w:rPr>
              <w:t>3、投标人成立专门的执行团队配置架构合理，职责明确。有专门的项目负责人，工作人员专业且具备实施经验，且成员间分工明确、职责清晰、任务具体。</w:t>
            </w:r>
          </w:p>
          <w:p>
            <w:pPr>
              <w:pStyle w:val="null3"/>
              <w:jc w:val="both"/>
            </w:pPr>
            <w:r>
              <w:rPr>
                <w:rFonts w:ascii="仿宋_GB2312" w:hAnsi="仿宋_GB2312" w:cs="仿宋_GB2312" w:eastAsia="仿宋_GB2312"/>
                <w:sz w:val="21"/>
              </w:rPr>
              <w:t>3.其他：因供应商自身原因导致采购人前述某项工作无法按时完成，则采购人有权解除合同，并不承担任何费用。因供应商自身服务质量原因导致采购人前述工作未完成或滞后，采购人有权要求供应商承担违约责任。</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项目建议书编制：10天；项目可行性研究报告编制：20天；项目方案与初步设计（配合可研编制）：30天。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以合同、招标文件及投标文件、澄清、及国家相应的标准、规范等为依据。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由于格式限制，以技术参数与性能指标中的商务需求为准，取得省发改委可行性研究报告批复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24.00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取得省发改委初步设计批复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待后期施工图设计单位正式出图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7.60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以合同、招标文件及投标文件、澄清、及国家相应的标准、规范等为依据。</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线下提交纸质版投标文件壹份、电子版（U盘1个）壹份。纸质投标文件建议A4纸双面打印装订成册，密封并加盖公章。邮寄或现场提交均可。若电子投标文件与纸质投标文件不一致的，以电子投标文件为准。 2.供应商若提供电子保函的，开标前请将电子保函扫描件发送至邮箱877581739@qq.com。 3.供应商与采购人签订合同后请及时将合同扫描件发送至邮箱877581739@qq.com，以便及时办理保证金退还事宜。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见附件格式）</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特殊资质1</w:t>
            </w:r>
          </w:p>
        </w:tc>
        <w:tc>
          <w:tcPr>
            <w:tcW w:type="dxa" w:w="3322"/>
          </w:tcPr>
          <w:p>
            <w:pPr>
              <w:pStyle w:val="null3"/>
            </w:pPr>
            <w:r>
              <w:rPr>
                <w:rFonts w:ascii="仿宋_GB2312" w:hAnsi="仿宋_GB2312" w:cs="仿宋_GB2312" w:eastAsia="仿宋_GB2312"/>
              </w:rPr>
              <w:t>供应商具备建设行政主管部门核发的有效的建筑行业(建筑工程)设计甲级或建筑行业工程设计甲级或工程设计综合甲级资质，提供证书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特殊资质2</w:t>
            </w:r>
          </w:p>
        </w:tc>
        <w:tc>
          <w:tcPr>
            <w:tcW w:type="dxa" w:w="3322"/>
          </w:tcPr>
          <w:p>
            <w:pPr>
              <w:pStyle w:val="null3"/>
            </w:pPr>
            <w:r>
              <w:rPr>
                <w:rFonts w:ascii="仿宋_GB2312" w:hAnsi="仿宋_GB2312" w:cs="仿宋_GB2312" w:eastAsia="仿宋_GB2312"/>
              </w:rPr>
              <w:t>供应商拟派咨询负责人须具备注册咨询工程师(投资)资格证书并具有高级工程师及以上职称，供应商拟派设计负责人具备国家一级注册建筑师资格证书，并在本单位登记注册；提供证书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企业名称</w:t>
            </w:r>
          </w:p>
        </w:tc>
        <w:tc>
          <w:tcPr>
            <w:tcW w:type="dxa" w:w="3322"/>
          </w:tcPr>
          <w:p>
            <w:pPr>
              <w:pStyle w:val="null3"/>
            </w:pPr>
            <w:r>
              <w:rPr>
                <w:rFonts w:ascii="仿宋_GB2312" w:hAnsi="仿宋_GB2312" w:cs="仿宋_GB2312" w:eastAsia="仿宋_GB2312"/>
              </w:rPr>
              <w:t xml:space="preserve"> 供应商名称与营业执照名称是否一致</w:t>
            </w:r>
          </w:p>
        </w:tc>
        <w:tc>
          <w:tcPr>
            <w:tcW w:type="dxa" w:w="1661"/>
          </w:tcPr>
          <w:p>
            <w:pPr>
              <w:pStyle w:val="null3"/>
            </w:pPr>
            <w:r>
              <w:rPr>
                <w:rFonts w:ascii="仿宋_GB2312" w:hAnsi="仿宋_GB2312" w:cs="仿宋_GB2312" w:eastAsia="仿宋_GB2312"/>
              </w:rPr>
              <w:t>服务内容及服务邀请应答表 中小企业声明函 商务应答表 1供应商基本信息.docx 投标人应提交的相关资格证明材料 投标函 残疾人福利性单位声明函 2资格审查文件附件.docx 3分项报价表.docx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 xml:space="preserve"> 投标文件的签字盖章是否按招标文件要求</w:t>
            </w:r>
          </w:p>
        </w:tc>
        <w:tc>
          <w:tcPr>
            <w:tcW w:type="dxa" w:w="1661"/>
          </w:tcPr>
          <w:p>
            <w:pPr>
              <w:pStyle w:val="null3"/>
            </w:pPr>
            <w:r>
              <w:rPr>
                <w:rFonts w:ascii="仿宋_GB2312" w:hAnsi="仿宋_GB2312" w:cs="仿宋_GB2312" w:eastAsia="仿宋_GB2312"/>
              </w:rPr>
              <w:t>服务内容及服务邀请应答表 中小企业声明函 商务应答表 1供应商基本信息.docx 投标人应提交的相关资格证明材料 投标函 残疾人福利性单位声明函 2资格审查文件附件.docx 3分项报价表.docx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报价唯一性</w:t>
            </w:r>
          </w:p>
        </w:tc>
        <w:tc>
          <w:tcPr>
            <w:tcW w:type="dxa" w:w="3322"/>
          </w:tcPr>
          <w:p>
            <w:pPr>
              <w:pStyle w:val="null3"/>
            </w:pPr>
            <w:r>
              <w:rPr>
                <w:rFonts w:ascii="仿宋_GB2312" w:hAnsi="仿宋_GB2312" w:cs="仿宋_GB2312" w:eastAsia="仿宋_GB2312"/>
              </w:rPr>
              <w:t>报价唯一性且是否超过采购预算</w:t>
            </w:r>
          </w:p>
        </w:tc>
        <w:tc>
          <w:tcPr>
            <w:tcW w:type="dxa" w:w="1661"/>
          </w:tcPr>
          <w:p>
            <w:pPr>
              <w:pStyle w:val="null3"/>
            </w:pPr>
            <w:r>
              <w:rPr>
                <w:rFonts w:ascii="仿宋_GB2312" w:hAnsi="仿宋_GB2312" w:cs="仿宋_GB2312" w:eastAsia="仿宋_GB2312"/>
              </w:rPr>
              <w:t>3分项报价表.docx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 xml:space="preserve"> 技术及商务要求均满足招标文件实质性要求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其他审查项</w:t>
            </w:r>
          </w:p>
        </w:tc>
        <w:tc>
          <w:tcPr>
            <w:tcW w:type="dxa" w:w="3322"/>
          </w:tcPr>
          <w:p>
            <w:pPr>
              <w:pStyle w:val="null3"/>
            </w:pPr>
            <w:r>
              <w:rPr>
                <w:rFonts w:ascii="仿宋_GB2312" w:hAnsi="仿宋_GB2312" w:cs="仿宋_GB2312" w:eastAsia="仿宋_GB2312"/>
              </w:rPr>
              <w:t xml:space="preserve"> 其他不符合法律、规章、规范性文件和规定的</w:t>
            </w:r>
          </w:p>
        </w:tc>
        <w:tc>
          <w:tcPr>
            <w:tcW w:type="dxa" w:w="1661"/>
          </w:tcPr>
          <w:p>
            <w:pPr>
              <w:pStyle w:val="null3"/>
            </w:pPr>
            <w:r>
              <w:rPr>
                <w:rFonts w:ascii="仿宋_GB2312" w:hAnsi="仿宋_GB2312" w:cs="仿宋_GB2312" w:eastAsia="仿宋_GB2312"/>
              </w:rPr>
              <w:t>服务内容及服务邀请应答表 中小企业声明函 商务应答表 1供应商基本信息.docx 投标人应提交的相关资格证明材料 投标函 残疾人福利性单位声明函 2资格审查文件附件.docx 3分项报价表.docx 服务方案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提出针对本项目的审查技术方案，评审内容点如下：①项目需求的理解与分析；②项目任务目标阐述；③标准制定；④审查流程设计；⑤审查技术方法；⑥各专业针对性服务方案及措施；⑦实施重点难点分析及解决方案；⑧审查成果及提交方案。 应急措施 二、评审标准 1、完整性：方案须全面，对评审内容中的各项要求有详细描述； 2、可实施性：切合本项目实际情况，实施步骤清晰、合理； 3、针对性：方案能够紧扣项目实际情况，内容科学合理。 三、赋分标准（满分25分） ①项目需求的理解与分析：基本满足三项评审标准计1.5分；较满足三项评审标准且方案合理计2.5分；完全满足三项评审标准、方案合理且具备科学性计4分。 ②项目任务目标阐述：基本满足三项评审标准计1分；较满足三项评审标准且方案合理计2分；完全满足三项评审标准、方案合理且具备科学性计3分。 ③标准制定：基本满足三项评审标准计1分；较满足三项评审标准且方案合理计2分；完全满足三项评审标准、方案合理且具备科学性计3分。 ④审查流程设计：基本满足三项评审标准计1分；较满足三项评审标准且方案合理计2分；完全满足三项评审标准、方案合理且具备科学性计3分。 ⑤审查技术方法：基本满足三项评审标准计1分；较满足三项评审标准且方案合理计2分；完全满足三项评审标准、方案合理且具备科学性计3分。 ⑥各专业针对性服务方案及措施：基本满足三项评审标准计1分；较满足三项评审标准且方案合理计2分；完全满足三项评审标准、方案合理且具备科学性计3分。 ⑦实施重点难点分析及解决方案：基本满足三项评审标准计1分；较满足三项评审标准且方案合理计2分；完全满足三项评审标准、方案合理且具备科学性计3分。 ⑧审查成果及提交方案：基本满足三项评审标准计1分；较满足三项评审标准且方案合理计2分；完全满足三项评审标准、方案合理且具备科学性计3分。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 针对本项目使用功能要求，在满足项目功能的前提下，体现①空间布局②外观风格③安全性④节能及绿色建筑⑤智能建筑⑥无障碍设计⑦经济合理及限额设计等方面，真正实现节能、智能、绿色、低碳等生态文明的新型建筑设计理念。 二、评审标准 1、完整性：设计方案的内容须完整全面，对评审内容中的各项要求有详细论述及说明； 2、可实施性：设计方案切合本项目实际情况，具有创意新颖、经济合理、符合建设工程相关规范及标准，具有很强的可实施性； 3、针对性：设计方案能够紧扣项目实际情况及使用功能，充分考虑生活需求。 三、赋分标准（满分25分） ①空间布局：基本满足三项评审标准计1.5分；较满足三项评审标准且方案合理计2.5分；完全满足三项评审标准、方案合理且具备科学性计4分。 ②外观风格：基本满足三项评审标准计1.5分；较满足三项评审标准且方案合理计2.5分；完全满足三项评审标准、方案合理且具备科学性计4分。 ③安全性：基本满足三项评审标准计1.5分；较满足三项评审标准且方案合理计2.5分；完全满足三项评审标准、方案合理且具备科学性计4分。 ④节能及绿色建筑：基本满足三项评审标准计1分；较满足三项评审标准且方案合理计2分；完全满足三项评审标准、方案合理且具备科学性计3分。 ⑤智能建筑：基本满足三项评审标准计1分；较满足三项评审标准且方案合理计2分；完全满足三项评审标准、方案合理且具备科学性计3分。 ⑥无障碍设计：基本满足三项评审标准计1分；较满足三项评审标准且方案合理计2分；完全满足三项评审标准、方案合理且具备科学性计3分。 ⑦经济合理及限额设计等方面：基本满足三项评审标准计1.5分；较满足三项评审标准且方案合理计2.5分；完全满足三项评审标准、方案合理且具备科学性计4分。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一、评审内容 进度保证措施评审内容点如下：①明确各项工作任务完成期限、时间节点；②任务进度跟踪与管控；③任务进度偏差调整预案④质量保证措施。 二、评审标准 1、完整性：措施须全面，对评审内容中的各项要求有详细描述； 2、可实施性：切合本项目实际情况，实施步骤清晰、合理； 3、针对性：措施能够紧扣项目实际情况，内容科学合理。 三、赋分标准（满分12分） ①明确各项工作任务完成期限、时间节点：每完全满足一项评审标准计1分，满分3分。 ②任务进度跟踪与管控：每完全满足一项评审标准计1分，满分3分。 ③任务进度偏差调整预案：每完全满足一项评审标准计1分，满分3分。 ④质量保证措施：每完全满足一项评审标准计1分，满分3分。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投标人应提交的相关资格证明材料</w:t>
            </w:r>
          </w:p>
        </w:tc>
      </w:tr>
      <w:tr>
        <w:tc>
          <w:tcPr>
            <w:tcW w:type="dxa" w:w="831"/>
            <w:vMerge/>
          </w:tcPr>
          <w:p/>
        </w:tc>
        <w:tc>
          <w:tcPr>
            <w:tcW w:type="dxa" w:w="1661"/>
          </w:tcPr>
          <w:p>
            <w:pPr>
              <w:pStyle w:val="null3"/>
            </w:pPr>
            <w:r>
              <w:rPr>
                <w:rFonts w:ascii="仿宋_GB2312" w:hAnsi="仿宋_GB2312" w:cs="仿宋_GB2312" w:eastAsia="仿宋_GB2312"/>
              </w:rPr>
              <w:t>拟派项目设计负责人</w:t>
            </w:r>
          </w:p>
        </w:tc>
        <w:tc>
          <w:tcPr>
            <w:tcW w:type="dxa" w:w="2492"/>
          </w:tcPr>
          <w:p>
            <w:pPr>
              <w:pStyle w:val="null3"/>
            </w:pPr>
            <w:r>
              <w:rPr>
                <w:rFonts w:ascii="仿宋_GB2312" w:hAnsi="仿宋_GB2312" w:cs="仿宋_GB2312" w:eastAsia="仿宋_GB2312"/>
              </w:rPr>
              <w:t>拟派项目设计负责人具备副高级及以上职称资格得2分。 评审依据：提供拟派人员的身份证、职称证书，评审时以加盖投标人公章的证书复印件为准，未提供以上资料的相应人员不予认定和赋分。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投标人应提交的相关资格证明材料</w:t>
            </w:r>
          </w:p>
        </w:tc>
      </w:tr>
      <w:tr>
        <w:tc>
          <w:tcPr>
            <w:tcW w:type="dxa" w:w="831"/>
            <w:vMerge/>
          </w:tcPr>
          <w:p/>
        </w:tc>
        <w:tc>
          <w:tcPr>
            <w:tcW w:type="dxa" w:w="1661"/>
          </w:tcPr>
          <w:p>
            <w:pPr>
              <w:pStyle w:val="null3"/>
            </w:pPr>
            <w:r>
              <w:rPr>
                <w:rFonts w:ascii="仿宋_GB2312" w:hAnsi="仿宋_GB2312" w:cs="仿宋_GB2312" w:eastAsia="仿宋_GB2312"/>
              </w:rPr>
              <w:t>拟派项目设计负责人业绩</w:t>
            </w:r>
          </w:p>
        </w:tc>
        <w:tc>
          <w:tcPr>
            <w:tcW w:type="dxa" w:w="2492"/>
          </w:tcPr>
          <w:p>
            <w:pPr>
              <w:pStyle w:val="null3"/>
            </w:pPr>
            <w:r>
              <w:rPr>
                <w:rFonts w:ascii="仿宋_GB2312" w:hAnsi="仿宋_GB2312" w:cs="仿宋_GB2312" w:eastAsia="仿宋_GB2312"/>
              </w:rPr>
              <w:t>提供拟派项目设计负责人自2022年1月1日起至今类似业绩证明材料，每提供1项类似设计项目（学校建筑）业绩的得2分，最多得4分。 评审依据：业绩证明材料以投标人所提供加盖公章的中标通知书或合同的复印件或扫描件为准或提供拟派本项目设计负责人业绩的支撑证明材料（例如甲方出具加盖公章的证明或设计合同中直接体现项目负责人姓名）。时间以合同签订时间或中标通知书签发时间为依据。</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拟派设计人员配备情况</w:t>
            </w:r>
          </w:p>
        </w:tc>
        <w:tc>
          <w:tcPr>
            <w:tcW w:type="dxa" w:w="2492"/>
          </w:tcPr>
          <w:p>
            <w:pPr>
              <w:pStyle w:val="null3"/>
            </w:pPr>
            <w:r>
              <w:rPr>
                <w:rFonts w:ascii="仿宋_GB2312" w:hAnsi="仿宋_GB2312" w:cs="仿宋_GB2312" w:eastAsia="仿宋_GB2312"/>
              </w:rPr>
              <w:t>各专业主要设计负责人：除项目负责人外团队成员至少包含 7 人，且必须满足建筑、结构、电气、暖通、给排水、工程造价、工程咨询专业，每个专业各配 1 人及以上，不满足基本团队成员配置要求，本项不得分。 （1）建筑专业负责人：具备副高级及以上职称资格且具有一级注册建筑师执业资格的，得 1分；其余不得分。 （2）结构专业负责人：具备副高级及以上职称资格且具有一级注册结构工程师执业资格的，得 1分；其余不得分。 （3）给排水专业负责人：具备副高级及以上职称资格且具有国家注册公用设备工程师执业资格的，得 1分；其余不得分。 （4）暖通专业负责人：具备副高级及以上职称资格且具有国家注册公用设备工程师执业资格的，得 1 分；其余不得分。 （5）电气专业负责人：具备副高级及以上职称资格且具有国家注册电气工程师执业资格的，得 1分；其余不得分。 （6）工程造价专业负责人：具备副高级及以上职称资格且具有国家一级注册造价工程师执业资格的，得1分；其余不得分。 （7）工程咨询专业：具备副高级及以上职称资格且具有国家注册咨询工程师（投资）执业资格的，得 1分；其余不得分。 评审依据：提供项目组织机构人员的注册证、职称证及其他辅助证明、与投标人单位签定的劳动合同、提供至少近三个月社保证明。提供上述资料的复印件加盖单位公章附在投标文件中，否则不得分。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从本项目整体空间布局、安全可靠、绿色建筑、智能建筑、外观风格、限额设计、集约节能提出的有利于提高建筑使用功能且降低建设成本等方面的合理化建议或者在合作期内的特色增值服务情况 （1）合理化建议切实可行，有利于项目后期实施得5分； （2）合理化建议或者增值服务内容简单但基本可行得3分； （3）合理化建议或者增值服务可实施性差得1分；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投标人提供自2022年1月1日起至今类似业绩证明材料，每提供1项类似项目业绩得2分，最多得10分。 评审依据：附合同复印件或扫描件并加盖投标人公章，时间以合同签订时间中体现的时间为准。企业业绩与项目负责人业绩不重复打分。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详见附件：4服务类合同模板.docx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