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版本号：LHZBZC2025149p.20251031001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《建筑保温与结构一体化技术规程》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LHZBZC2025149p.</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《建筑保温与结构一体化技术规程》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LHZBZC2025149p.</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《建筑保温与结构一体化技术规程》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落实建筑保温材料安全隐患全链条整治行动要求，参照9月23日住建部建筑保温材料安全隐患全链条整治行动工作推进会上，兄弟省份经验做法。拟组织相关勘察设计单位编制《建筑保温与结构一体化技术规程》。总结建筑保温与结构一体化技术在我省多年来的工程实践经验，提供统一、科学、规范的技术依据，推动解决当前建筑保温领域存在的突出问题，推动消除建筑外保温系统整体脱落、开裂、渗水等风险和隐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经审计的财务会计报告或其提交响应文件截止时间前3个月内银行出具的资信证明。(以上形式的资料提供任何一种即可)要求:(1)供应商是企业法人的，应提供2023或2024全年度经审计的财务报告，包括“四表一注"即《资产负債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资产负债表》《利润表》《现金流量表》及其附注，或者提交响应文件截止时问前3个月内其基本账户开户银行出县的资信证明(附基本存款账户信息):(2)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(3)其他组织和自然人，提供提交响应文件截止时间前3个月内银行出具的资信证明(附账户信息)(4)供应商成立不到1年(至提交响应文件截止时间)的，提供成立后任意时段的资产负债表，或提交响应文件截止时间前3个月内其基本账户开户银行出具的资信证明(附基本存款账户信息)。供应商需在项目电子化交易系统中按要求上传相应证明文件并进行电子签章。</w:t>
      </w:r>
    </w:p>
    <w:p>
      <w:pPr>
        <w:pStyle w:val="null3"/>
      </w:pPr>
      <w:r>
        <w:rPr>
          <w:rFonts w:ascii="仿宋_GB2312" w:hAnsi="仿宋_GB2312" w:cs="仿宋_GB2312" w:eastAsia="仿宋_GB2312"/>
        </w:rPr>
        <w:t>3、税收缴纳证明：提供自2024年9月1日至递交磋商响应文件截止之日内已缴存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4、社会保障资金缴纳证明：提供自2024年9月1日至递交磋商响应文件截止之日前一年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5、书面声明：参加政府采购活动前3年内，在经营活动中没有重大违法记录的书面声明。供应商需在项目电子化交易系统中按要求上传相应证明文件并进行电子签章。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6、承诺函：履行本合同所必需的设备和专业技术能力的承诺;供应商需在项目电子化交易系统中按要求上传相应证明文件并进行电子签章。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7、信用记录：供应商在信用中国（www.creditchina.gov.cn）未被列入重大税收违法失信主体、在中国执行信息公开网（http://zxgk.court.gov.cn/）未被列入失信被执行人及在中国政府采购网（www.ccgp.gov.cn）未被列入政府采购严重违法失信行为记录名单。(以采购人或采购代理机构开标当天查询结果为准)。</w:t>
      </w:r>
    </w:p>
    <w:p>
      <w:pPr>
        <w:pStyle w:val="null3"/>
      </w:pPr>
      <w:r>
        <w:rPr>
          <w:rFonts w:ascii="仿宋_GB2312" w:hAnsi="仿宋_GB2312" w:cs="仿宋_GB2312" w:eastAsia="仿宋_GB2312"/>
        </w:rPr>
        <w:t>8、本项目不接受联合体投标，不允许分包：供应商应提供《非联合体不分包投标声明》，视为独立投标，不分包。</w:t>
      </w:r>
    </w:p>
    <w:p>
      <w:pPr>
        <w:pStyle w:val="null3"/>
      </w:pPr>
      <w:r>
        <w:rPr>
          <w:rFonts w:ascii="仿宋_GB2312" w:hAnsi="仿宋_GB2312" w:cs="仿宋_GB2312" w:eastAsia="仿宋_GB2312"/>
        </w:rPr>
        <w:t>9、控股管理关系：提供直接控股和管理关系承诺书。若与其他供应商存在单位负责人为同一人或者存在直接控股、管理关系的，则投标无效。</w:t>
      </w:r>
    </w:p>
    <w:p>
      <w:pPr>
        <w:pStyle w:val="null3"/>
      </w:pPr>
      <w:r>
        <w:rPr>
          <w:rFonts w:ascii="仿宋_GB2312" w:hAnsi="仿宋_GB2312" w:cs="仿宋_GB2312" w:eastAsia="仿宋_GB2312"/>
        </w:rPr>
        <w:t>10、法定代表人授权书：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西安市新城大院省政府大楼9层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029-63915779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西安市未央区太华北路甲字88号大明宫中央广场A座22层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15029292184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5000元按照5000元收取。具体收费金额在成交公告中公布，由成交单位在领取成交通知书时向招标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联系人：庞工</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地址：西安市未央区太华北路甲字88号大明宫中央广场A座22层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落实建筑保温材料安全隐患全链条整治行动要求，参照9月23日住建部建筑保温材料安全隐患全链条整治行动工作推进会上，兄弟省份经验做法。拟组织相关勘察设计单位编制《建筑保温与结构一体化技术规程》。总结建筑保温与结构一体化技术在我省多年来的工程实践经验，提供统一、科学、规范的技术依据，推动解决当前建筑保温领域存在的突出问题，推动消除建筑外保温系统整体脱落、开裂、渗水等风险和隐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《建筑保温与结构一体化技术规程》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标的名称：《建筑保温与结构一体化技术规程》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一、项目概况</w:t>
            </w:r>
          </w:p>
          <w:p>
            <w:pPr>
              <w:pStyle w:val="null3"/>
              <w:ind w:firstLine="400"/>
              <w:jc w:val="left"/>
            </w:pPr>
            <w:r>
              <w:rPr>
                <w:rFonts w:ascii="仿宋_GB2312" w:hAnsi="仿宋_GB2312" w:cs="仿宋_GB2312" w:eastAsia="仿宋_GB2312"/>
                <w:sz w:val="20"/>
              </w:rPr>
              <w:t>为落实建筑保温材料安全隐患全链条整治行动要求，参照</w:t>
            </w:r>
            <w:r>
              <w:rPr>
                <w:rFonts w:ascii="仿宋_GB2312" w:hAnsi="仿宋_GB2312" w:cs="仿宋_GB2312" w:eastAsia="仿宋_GB2312"/>
                <w:sz w:val="20"/>
              </w:rPr>
              <w:t>9月23日住建部建筑保温材料安全隐患全链条整治行动工作推进会上，兄弟省份经验做法。拟组织相关勘察设计单位编制《建筑保温与结构一体化技术规程》。总结建筑保温与结构一体化技术在我省多年来的工程实践经验，提供统一、科学、规范的技术依据，推动解决当前建筑保温领域存在的突出问题，推动消除建筑外保温系统整体脱落、开裂、渗水等风险和隐患。</w:t>
            </w:r>
          </w:p>
          <w:p>
            <w:pPr>
              <w:pStyle w:val="null3"/>
              <w:jc w:val="left"/>
            </w:pPr>
            <w:r>
              <w:rPr>
                <w:rFonts w:ascii="仿宋_GB2312" w:hAnsi="仿宋_GB2312" w:cs="仿宋_GB2312" w:eastAsia="仿宋_GB2312"/>
                <w:sz w:val="20"/>
              </w:rPr>
              <w:t>二、服务内容</w:t>
            </w:r>
            <w:r>
              <w:rPr>
                <w:rFonts w:ascii="仿宋_GB2312" w:hAnsi="仿宋_GB2312" w:cs="仿宋_GB2312" w:eastAsia="仿宋_GB2312"/>
                <w:sz w:val="20"/>
              </w:rPr>
              <w:t>及要求</w:t>
            </w:r>
          </w:p>
          <w:p>
            <w:pPr>
              <w:pStyle w:val="null3"/>
              <w:ind w:firstLine="400"/>
              <w:jc w:val="left"/>
            </w:pPr>
            <w:r>
              <w:rPr>
                <w:rFonts w:ascii="仿宋_GB2312" w:hAnsi="仿宋_GB2312" w:cs="仿宋_GB2312" w:eastAsia="仿宋_GB2312"/>
                <w:sz w:val="20"/>
              </w:rPr>
              <w:t>1.全面贯彻党中央决策部署和省委、省政府工作安排，把贯彻落实高质量发展理念、创新驱动发展战略、“适用、经济、绿色、美观”新时期建筑方针、大力推进好房子建设等重要战略贯彻标准编制全过程、体现到规划各领域。</w:t>
            </w:r>
          </w:p>
          <w:p>
            <w:pPr>
              <w:pStyle w:val="null3"/>
              <w:ind w:firstLine="400"/>
              <w:jc w:val="left"/>
            </w:pPr>
            <w:r>
              <w:rPr>
                <w:rFonts w:ascii="仿宋_GB2312" w:hAnsi="仿宋_GB2312" w:cs="仿宋_GB2312" w:eastAsia="仿宋_GB2312"/>
                <w:sz w:val="20"/>
              </w:rPr>
              <w:t>2.前期调研与技术资料整理：系统收集、分析与本标准相关的国内外现行技术法规、标准规范（如中提及的各类保温系统技术、中的地方规程等），并撰写调研分析报告。</w:t>
            </w:r>
          </w:p>
          <w:p>
            <w:pPr>
              <w:pStyle w:val="null3"/>
              <w:ind w:firstLine="400"/>
              <w:jc w:val="left"/>
            </w:pPr>
            <w:r>
              <w:rPr>
                <w:rFonts w:ascii="仿宋_GB2312" w:hAnsi="仿宋_GB2312" w:cs="仿宋_GB2312" w:eastAsia="仿宋_GB2312"/>
                <w:sz w:val="20"/>
              </w:rPr>
              <w:t>3.标准草案编制：组织专业技术力量，编写完整的标准草案。草案内容应全面，至少涵盖：总则、术语、基本规定、系统及材料性能、设计、施工及验收等关键章节，确保标准结构的完整性和技术的适用性，需要涵盖市面上主流的技术路线。</w:t>
            </w:r>
          </w:p>
          <w:p>
            <w:pPr>
              <w:pStyle w:val="null3"/>
              <w:ind w:firstLine="400"/>
              <w:jc w:val="left"/>
            </w:pPr>
            <w:r>
              <w:rPr>
                <w:rFonts w:ascii="仿宋_GB2312" w:hAnsi="仿宋_GB2312" w:cs="仿宋_GB2312" w:eastAsia="仿宋_GB2312"/>
                <w:sz w:val="20"/>
              </w:rPr>
              <w:t>4.专题研究与技术论证：针对标准中的核心技术参数（如保温材料的导热系数、燃烧性能、系统构造的防水透气性、连接件耐久性等）组织必要的实验、测试或专家论证会，确保技术内容的科学性与可操作性。</w:t>
            </w:r>
          </w:p>
          <w:p>
            <w:pPr>
              <w:pStyle w:val="null3"/>
              <w:ind w:firstLine="400"/>
              <w:jc w:val="left"/>
            </w:pPr>
            <w:r>
              <w:rPr>
                <w:rFonts w:ascii="仿宋_GB2312" w:hAnsi="仿宋_GB2312" w:cs="仿宋_GB2312" w:eastAsia="仿宋_GB2312"/>
                <w:sz w:val="20"/>
              </w:rPr>
              <w:t>5.征求意见与修改完善：根据甲方（委托方）确认的计划，向社会或特定专家群体公开征求意见，并对收集到的意见进行归纳、分析和处理，形成征求意见汇总处理表，并据此对标准草案进行修改。</w:t>
            </w:r>
          </w:p>
          <w:p>
            <w:pPr>
              <w:pStyle w:val="null3"/>
              <w:ind w:firstLine="400"/>
              <w:jc w:val="left"/>
            </w:pPr>
            <w:r>
              <w:rPr>
                <w:rFonts w:ascii="仿宋_GB2312" w:hAnsi="仿宋_GB2312" w:cs="仿宋_GB2312" w:eastAsia="仿宋_GB2312"/>
                <w:sz w:val="20"/>
              </w:rPr>
              <w:t>6.专家审查与报批：配合甲方组织标准审查会，根据专家审查结论对标准送审稿进行修改完善，形成标准报批稿，并协助甲方完成向相关主管部门的报批准备工作。</w:t>
            </w:r>
          </w:p>
          <w:p>
            <w:pPr>
              <w:pStyle w:val="null3"/>
              <w:ind w:firstLine="400"/>
              <w:jc w:val="left"/>
            </w:pPr>
            <w:r>
              <w:rPr>
                <w:rFonts w:ascii="仿宋_GB2312" w:hAnsi="仿宋_GB2312" w:cs="仿宋_GB2312" w:eastAsia="仿宋_GB2312"/>
                <w:sz w:val="20"/>
              </w:rPr>
              <w:t>7.编制成果交付：向甲方交付本合同约定的全部最终成果及过程文件。</w:t>
            </w:r>
          </w:p>
          <w:p>
            <w:pPr>
              <w:pStyle w:val="null3"/>
              <w:ind w:firstLine="400"/>
              <w:jc w:val="left"/>
            </w:pPr>
            <w:r>
              <w:rPr>
                <w:rFonts w:ascii="仿宋_GB2312" w:hAnsi="仿宋_GB2312" w:cs="仿宋_GB2312" w:eastAsia="仿宋_GB2312"/>
                <w:sz w:val="20"/>
              </w:rPr>
              <w:t>8、标准宣贯：配合甲方通过多种方式开展标准宣贯工作。</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服务期</w:t>
            </w:r>
            <w:r>
              <w:rPr>
                <w:rFonts w:ascii="仿宋_GB2312" w:hAnsi="仿宋_GB2312" w:cs="仿宋_GB2312" w:eastAsia="仿宋_GB2312"/>
                <w:sz w:val="20"/>
              </w:rPr>
              <w:t>限</w:t>
            </w:r>
          </w:p>
          <w:p>
            <w:pPr>
              <w:pStyle w:val="null3"/>
              <w:jc w:val="both"/>
            </w:pPr>
            <w:r>
              <w:rPr>
                <w:rFonts w:ascii="仿宋_GB2312" w:hAnsi="仿宋_GB2312" w:cs="仿宋_GB2312" w:eastAsia="仿宋_GB2312"/>
                <w:sz w:val="20"/>
              </w:rPr>
              <w:t>合同签订后</w:t>
            </w:r>
            <w:r>
              <w:rPr>
                <w:rFonts w:ascii="仿宋_GB2312" w:hAnsi="仿宋_GB2312" w:cs="仿宋_GB2312" w:eastAsia="仿宋_GB2312"/>
                <w:sz w:val="20"/>
              </w:rPr>
              <w:t>30</w:t>
            </w:r>
            <w:r>
              <w:rPr>
                <w:rFonts w:ascii="仿宋_GB2312" w:hAnsi="仿宋_GB2312" w:cs="仿宋_GB2312" w:eastAsia="仿宋_GB2312"/>
                <w:sz w:val="20"/>
              </w:rPr>
              <w:t>个日历天完成</w:t>
            </w:r>
            <w:r>
              <w:rPr>
                <w:rFonts w:ascii="仿宋_GB2312" w:hAnsi="仿宋_GB2312" w:cs="仿宋_GB2312" w:eastAsia="仿宋_GB2312"/>
                <w:sz w:val="20"/>
              </w:rPr>
              <w:t>标准</w:t>
            </w:r>
            <w:r>
              <w:rPr>
                <w:rFonts w:ascii="仿宋_GB2312" w:hAnsi="仿宋_GB2312" w:cs="仿宋_GB2312" w:eastAsia="仿宋_GB2312"/>
                <w:sz w:val="20"/>
              </w:rPr>
              <w:t>编制服务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合同签订后30个日历天完成标准编制服务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西安市新城大院省政府大楼9层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按招标文件、投标文件、合同等指标进行验收，各指标均应符合验收标准及要求。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乙方提交最终成果文件且甲方审核通过后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合同发生纠纷时，双方应协商解决，协商不成，可以向甲方所在地人民法院起诉。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要求:(1)供应商是企业法人的，应提供2023或2024全年度经审计的财务报告，包括“四表一注"即《资产负債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资产负债表》《利润表》《现金流量表》及其附注，或者提交响应文件截止时问前3个月内其基本账户开户银行出县的资信证明(附基本存款账户信息):(2)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(3)其他组织和自然人，提供提交响应文件截止时间前3个月内银行出具的资信证明(附账户信息)(4)供应商成立不到1年(至提交响应文件截止时间)的，提供成立后任意时段的资产负债表，或提交响应文件截止时间前3个月内其基本账户开户银行出具的资信证明(附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要求:(1)供应商是企业法人的，应提供2023或2024全年度经审计的财务报告，包括“四表一注"即《资产负債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资产负债表》《利润表》《现金流量表》及其附注，或者提交响应文件截止时问前3个月内其基本账户开户银行出县的资信证明(附基本存款账户信息):(2)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(3)其他组织和自然人，提供提交响应文件截止时间前3个月内银行出具的资信证明(附账户信息)(4)供应商成立不到1年(至提交响应文件截止时间)的，提供成立后任意时段的资产负债表，或提交响应文件截止时间前3个月内其基本账户开户银行出具的资信证明(附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9月1日至递交磋商响应文件截止之日内已缴存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9月1日至递交磋商响应文件截止之日前一年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履行本合同所必需的设备和专业技术能力的承诺;供应商需在项目电子化交易系统中按要求上传相应证明文件并进行电子签章。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提供直接控股和管理关系承诺书。若与其他供应商存在单位负责人为同一人或者存在直接控股、管理关系的，则投标无效。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供应商应提交的相关资格证明材料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自磋商响应文件递交截止之日起90天。</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满足磋商文件中要求的服务期。</w:t>
            </w:r>
          </w:p>
        </w:tc>
        <w:tc>
          <w:tcPr>
            <w:tcW w:type="dxa" w:w="1661"/>
          </w:tcPr>
          <w:p>
            <w:pPr>
              <w:pStyle w:val="null3"/>
            </w:pPr>
            <w:r>
              <w:rPr>
                <w:rFonts w:ascii="仿宋_GB2312" w:hAnsi="仿宋_GB2312" w:cs="仿宋_GB2312" w:eastAsia="仿宋_GB2312"/>
              </w:rPr>
              <w:t>商务应答表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1.项目负责人具有勘察设计类相关专业正高级技术职称证明材料得2分； 2.拟派本项目技术团队成员中（不含项目负责人)具有勘察设计类相关专业高级或以上职称的，每提供一个得1分，共8分。注:须提供团队成员身份证、毕业证、相关资质证书等复印件和投标截止之日前半年内连续三个月的社保证明材料，无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服务方案整体编制内容</w:t>
            </w:r>
          </w:p>
        </w:tc>
        <w:tc>
          <w:tcPr>
            <w:tcW w:type="dxa" w:w="2492"/>
          </w:tcPr>
          <w:p>
            <w:pPr>
              <w:pStyle w:val="null3"/>
            </w:pPr>
            <w:r>
              <w:rPr>
                <w:rFonts w:ascii="仿宋_GB2312" w:hAnsi="仿宋_GB2312" w:cs="仿宋_GB2312" w:eastAsia="仿宋_GB2312"/>
              </w:rPr>
              <w:t>根据供应商对陕西省建筑保温的现状、存在问题及保温结构一体化在我省实施的工作经验 进行综合分析，提出标准编制的内容大纲：思路清晰、合理、可行，对项目实施具有指导 作用计15-25分；思路较清晰、合理、可行，对项目实施具有较好的指导作用计1-15分； 思路不清晰，可行性不强及未提供不计分，每存在一项缺陷的扣1分，扣完为止。（缺陷" 是指以下任意一种情形:数据、名称、专业术语及符号、文字表述错误:或前后矛后:或存在 与采购情况无关的内容:或涉及的内容与本项目要求不一致;或提供方案与采购需求存在相 互矛盾:或照搬其他内容里存在与本项目执行无关的内容:或只有简单复制粘贴需求内容面 无描述。）</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服务方案实施进度</w:t>
            </w:r>
          </w:p>
        </w:tc>
        <w:tc>
          <w:tcPr>
            <w:tcW w:type="dxa" w:w="2492"/>
          </w:tcPr>
          <w:p>
            <w:pPr>
              <w:pStyle w:val="null3"/>
            </w:pPr>
            <w:r>
              <w:rPr>
                <w:rFonts w:ascii="仿宋_GB2312" w:hAnsi="仿宋_GB2312" w:cs="仿宋_GB2312" w:eastAsia="仿宋_GB2312"/>
              </w:rPr>
              <w:t>实施进度:根据标准编制的工作流程、进度计划、各阶段工作成果的完成时间计划的合理性、科学性综合比较:对本次实施进度安排合理、详细具体计3-5分:对本次实施进度安排较合理、较详细计1-3分:对本次实施进度安排不合理、不详细及未提供的不计分;每存在一项缺陷的扣1分，扣完为止。(缺陷"是指以下任意一种情形:数据、名称、专业术语及符号、文字表述错误:或前后矛后:或存在与采购情况无关的内容:或涉及的内容与本项目要求不一致:或提供方案与采购需求存在相互矛后:或照搬其他内容里存在与本项目执行无关的内容:或只有简单复制粘贴需求内容面无描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服务方案成果质量</w:t>
            </w:r>
          </w:p>
        </w:tc>
        <w:tc>
          <w:tcPr>
            <w:tcW w:type="dxa" w:w="2492"/>
          </w:tcPr>
          <w:p>
            <w:pPr>
              <w:pStyle w:val="null3"/>
            </w:pPr>
            <w:r>
              <w:rPr>
                <w:rFonts w:ascii="仿宋_GB2312" w:hAnsi="仿宋_GB2312" w:cs="仿宋_GB2312" w:eastAsia="仿宋_GB2312"/>
              </w:rPr>
              <w:t>针对本项目采购需求重点、难点进行论述以及成果文件质量标准综合比较：方案详细、合理计8-15分；方案较详细、较合理计1-8分；方案不详细、不合理及未提供不计分； 每存在一项缺陷的扣1分，扣完为止。（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面无描述。）</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服务方案保证措施</w:t>
            </w:r>
          </w:p>
        </w:tc>
        <w:tc>
          <w:tcPr>
            <w:tcW w:type="dxa" w:w="2492"/>
          </w:tcPr>
          <w:p>
            <w:pPr>
              <w:pStyle w:val="null3"/>
            </w:pPr>
            <w:r>
              <w:rPr>
                <w:rFonts w:ascii="仿宋_GB2312" w:hAnsi="仿宋_GB2312" w:cs="仿宋_GB2312" w:eastAsia="仿宋_GB2312"/>
              </w:rPr>
              <w:t>根据本项目的工期和成果要求，编制保障措施及预案：措施预案合理，可行性强计3-5分；措施预案较合理，可行性较强计1-3分；措施预案不合理及未提供不计分。 注：供应商未提供相关内容不得分，每存在一项缺陷的扣1分，扣完为止。（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面无描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需提供2018年1月1日以来（以签订合同、奖励证明、立项证书、批示资料、发布等相关材料时间为准）承担过建筑保温与结构一体化相关研究、标准编制、图集编制等类似项目业绩，每提供1项得5分，最高得25分。 注：标准或图集编制提供关键页（含封面、扉页、发布公告页、前言、目录页）、奖励证明、立项证书、批示资料等相关材料，未提供或不清晰导致无法识别的不予认可。</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根据供应商对本项目提出合理化建议、服务承诺、增值服务等，从合理性、全面性、经济性、可行性等、综合比较计3-5分。 注：供应商未提供相关内容不得分。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价格权值×100%。备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