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版本号：SZT2025-SN-SC-ZC-HW-108720251031001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激光系统项目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SZT2025-SN-SC-ZC-HW-1087</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激光系统项目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SZT2025-SN-SC-ZC-HW-1087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激光系统项目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激光系统能够提供多种波长、多种线宽激光信号，具备特种光纤熔接、激光脉宽测量等功能，能够满足激光通信、激光雷达等应用需求。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采购包1（激光系统项目）：属于专门面向中小企业采购。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西安邮电大学经办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029-88166850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西安市莲湖区高新四路1号高科广场A座1001室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赵静、李娜、单博、史肖霞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029-87304326-802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采购包1：1,542,300.00元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不属于</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不属于</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不属于</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说明：履约保证金在合同签订前缴纳，项目验收合格后无息退还。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代理服务费收费标准：参照国家计委颁布的《招标代理服务收费管理暂行办法》（计价格[2002]1980号）及发改办价格[2003]857号文件的规定以中标价为基础按货物类标准下浮20%收取。 开户名称：陕西中技招标有限公司 开户银行：招商银行西安分行营业部 银行账号：129916812810001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西安邮电大学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陕西中技招标有限公司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按照采购文件及合同约定</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联系人：戴工</w:t>
      </w:r>
    </w:p>
    <w:p>
      <w:pPr>
        <w:pStyle w:val="null3"/>
      </w:pPr>
      <w:r>
        <w:rPr>
          <w:rFonts w:ascii="仿宋_GB2312" w:hAnsi="仿宋_GB2312" w:cs="仿宋_GB2312" w:eastAsia="仿宋_GB2312"/>
        </w:rPr>
        <w:t>联系电话：029-87304326-856</w:t>
      </w:r>
    </w:p>
    <w:p>
      <w:pPr>
        <w:pStyle w:val="null3"/>
      </w:pPr>
      <w:r>
        <w:rPr>
          <w:rFonts w:ascii="仿宋_GB2312" w:hAnsi="仿宋_GB2312" w:cs="仿宋_GB2312" w:eastAsia="仿宋_GB2312"/>
        </w:rPr>
        <w:t>地址：西安市莲湖区高新四路1号高科广场A座1001室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激光系统能够提供多种波长、多种线宽激光信号，具备特种光纤熔接、激光脉宽测量等功能，能够满足激光通信、激光雷达等应用需求。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1,542,300.00</w:t>
      </w:r>
    </w:p>
    <w:p>
      <w:pPr>
        <w:pStyle w:val="null3"/>
      </w:pPr>
      <w:r>
        <w:rPr>
          <w:rFonts w:ascii="仿宋_GB2312" w:hAnsi="仿宋_GB2312" w:cs="仿宋_GB2312" w:eastAsia="仿宋_GB2312"/>
        </w:rPr>
        <w:t>采购包最高限价（元）: 1,542,300.00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激光系统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1,542,300.00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标的名称：激光系统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技术标准</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激光系统包括</w:t>
            </w:r>
            <w:r>
              <w:rPr>
                <w:rFonts w:ascii="仿宋_GB2312" w:hAnsi="仿宋_GB2312" w:cs="仿宋_GB2312" w:eastAsia="仿宋_GB2312"/>
                <w:sz w:val="20"/>
              </w:rPr>
              <w:t>1550nm激光器、超稳激光器、1064nm激光器、光纤熔接机、自相关仪等设备，其中：</w:t>
            </w:r>
          </w:p>
          <w:p>
            <w:pPr>
              <w:pStyle w:val="null3"/>
              <w:jc w:val="both"/>
            </w:pPr>
            <w:r>
              <w:rPr>
                <w:rFonts w:ascii="仿宋_GB2312" w:hAnsi="仿宋_GB2312" w:cs="仿宋_GB2312" w:eastAsia="仿宋_GB2312"/>
                <w:sz w:val="20"/>
              </w:rPr>
              <w:t>1）1550nm光纤激光器参数：</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）激光功率</w:t>
            </w:r>
            <w:r>
              <w:rPr>
                <w:rFonts w:ascii="仿宋_GB2312" w:hAnsi="仿宋_GB2312" w:cs="仿宋_GB2312" w:eastAsia="仿宋_GB2312"/>
                <w:sz w:val="20"/>
              </w:rPr>
              <w:t>≥10dBm；</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）激光线宽</w:t>
            </w:r>
            <w:r>
              <w:rPr>
                <w:rFonts w:ascii="仿宋_GB2312" w:hAnsi="仿宋_GB2312" w:cs="仿宋_GB2312" w:eastAsia="仿宋_GB2312"/>
                <w:sz w:val="20"/>
              </w:rPr>
              <w:t>≤1kHz；</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）激光波长：</w:t>
            </w:r>
            <w:r>
              <w:rPr>
                <w:rFonts w:ascii="仿宋_GB2312" w:hAnsi="仿宋_GB2312" w:cs="仿宋_GB2312" w:eastAsia="仿宋_GB2312"/>
                <w:sz w:val="20"/>
              </w:rPr>
              <w:t>1550nm±</w:t>
            </w:r>
            <w:r>
              <w:rPr>
                <w:rFonts w:ascii="仿宋_GB2312" w:hAnsi="仿宋_GB2312" w:cs="仿宋_GB2312" w:eastAsia="仿宋_GB2312"/>
                <w:sz w:val="20"/>
              </w:rPr>
              <w:t>1nm</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）波长热调谐范围：</w:t>
            </w:r>
            <w:r>
              <w:rPr>
                <w:rFonts w:ascii="仿宋_GB2312" w:hAnsi="仿宋_GB2312" w:cs="仿宋_GB2312" w:eastAsia="仿宋_GB2312"/>
                <w:sz w:val="20"/>
              </w:rPr>
              <w:t>≥0.2nm；</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PZT波长调节范围：≥10GHz；</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）光纤接头</w:t>
            </w:r>
            <w:r>
              <w:rPr>
                <w:rFonts w:ascii="仿宋_GB2312" w:hAnsi="仿宋_GB2312" w:cs="仿宋_GB2312" w:eastAsia="仿宋_GB2312"/>
                <w:sz w:val="20"/>
              </w:rPr>
              <w:t>FC/APC等；</w:t>
            </w:r>
          </w:p>
          <w:p>
            <w:pPr>
              <w:pStyle w:val="null3"/>
              <w:jc w:val="both"/>
            </w:pPr>
            <w:r>
              <w:rPr>
                <w:rFonts w:ascii="仿宋_GB2312" w:hAnsi="仿宋_GB2312" w:cs="仿宋_GB2312" w:eastAsia="仿宋_GB2312"/>
                <w:sz w:val="20"/>
              </w:rPr>
              <w:t>2）超稳激光器参数（核心产品）：</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）激光功率</w:t>
            </w:r>
            <w:r>
              <w:rPr>
                <w:rFonts w:ascii="仿宋_GB2312" w:hAnsi="仿宋_GB2312" w:cs="仿宋_GB2312" w:eastAsia="仿宋_GB2312"/>
                <w:sz w:val="20"/>
              </w:rPr>
              <w:t>≥0dBm；</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）激光线宽</w:t>
            </w: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Hz；</w:t>
            </w:r>
            <w:r>
              <w:rPr>
                <w:rFonts w:ascii="仿宋_GB2312" w:hAnsi="仿宋_GB2312" w:cs="仿宋_GB2312" w:eastAsia="仿宋_GB2312"/>
                <w:sz w:val="20"/>
              </w:rPr>
              <w:t>（需要</w:t>
            </w:r>
            <w:r>
              <w:rPr>
                <w:rFonts w:ascii="仿宋_GB2312" w:hAnsi="仿宋_GB2312" w:cs="仿宋_GB2312" w:eastAsia="仿宋_GB2312"/>
                <w:sz w:val="20"/>
              </w:rPr>
              <w:t>提供测试报告</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）激光波长：</w:t>
            </w:r>
            <w:r>
              <w:rPr>
                <w:rFonts w:ascii="仿宋_GB2312" w:hAnsi="仿宋_GB2312" w:cs="仿宋_GB2312" w:eastAsia="仿宋_GB2312"/>
                <w:sz w:val="20"/>
              </w:rPr>
              <w:t>1550nm±</w:t>
            </w:r>
            <w:r>
              <w:rPr>
                <w:rFonts w:ascii="仿宋_GB2312" w:hAnsi="仿宋_GB2312" w:cs="仿宋_GB2312" w:eastAsia="仿宋_GB2312"/>
                <w:sz w:val="20"/>
              </w:rPr>
              <w:t>1nm</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）波长调谐范围：</w:t>
            </w:r>
            <w:r>
              <w:rPr>
                <w:rFonts w:ascii="仿宋_GB2312" w:hAnsi="仿宋_GB2312" w:cs="仿宋_GB2312" w:eastAsia="仿宋_GB2312"/>
                <w:sz w:val="20"/>
              </w:rPr>
              <w:t>≥0.1nm；</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）稳定度：</w:t>
            </w: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E-15/s；</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）频率漂移：</w:t>
            </w:r>
            <w:r>
              <w:rPr>
                <w:rFonts w:ascii="仿宋_GB2312" w:hAnsi="仿宋_GB2312" w:cs="仿宋_GB2312" w:eastAsia="仿宋_GB2312"/>
                <w:sz w:val="20"/>
              </w:rPr>
              <w:t>≤0.5Hz/s；</w:t>
            </w:r>
            <w:r>
              <w:rPr>
                <w:rFonts w:ascii="仿宋_GB2312" w:hAnsi="仿宋_GB2312" w:cs="仿宋_GB2312" w:eastAsia="仿宋_GB2312"/>
                <w:sz w:val="20"/>
              </w:rPr>
              <w:t>（需要提供</w:t>
            </w:r>
            <w:r>
              <w:rPr>
                <w:rFonts w:ascii="仿宋_GB2312" w:hAnsi="仿宋_GB2312" w:cs="仿宋_GB2312" w:eastAsia="仿宋_GB2312"/>
                <w:sz w:val="20"/>
              </w:rPr>
              <w:t>测试报告</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）环境温度</w:t>
            </w:r>
            <w:r>
              <w:rPr>
                <w:rFonts w:ascii="仿宋_GB2312" w:hAnsi="仿宋_GB2312" w:cs="仿宋_GB2312" w:eastAsia="仿宋_GB2312"/>
                <w:sz w:val="20"/>
              </w:rPr>
              <w:t>15-26℃时，</w:t>
            </w:r>
            <w:r>
              <w:rPr>
                <w:rFonts w:ascii="仿宋_GB2312" w:hAnsi="仿宋_GB2312" w:cs="仿宋_GB2312" w:eastAsia="仿宋_GB2312"/>
                <w:sz w:val="20"/>
              </w:rPr>
              <w:t>温控精度：</w:t>
            </w:r>
            <w:r>
              <w:rPr>
                <w:rFonts w:ascii="仿宋_GB2312" w:hAnsi="仿宋_GB2312" w:cs="仿宋_GB2312" w:eastAsia="仿宋_GB2312"/>
                <w:sz w:val="20"/>
              </w:rPr>
              <w:t>≤2mK；</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）温控稳定度：</w:t>
            </w:r>
            <w:r>
              <w:rPr>
                <w:rFonts w:ascii="仿宋_GB2312" w:hAnsi="仿宋_GB2312" w:cs="仿宋_GB2312" w:eastAsia="仿宋_GB2312"/>
                <w:sz w:val="20"/>
              </w:rPr>
              <w:t>≤5mK/h；</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9</w:t>
            </w:r>
            <w:r>
              <w:rPr>
                <w:rFonts w:ascii="仿宋_GB2312" w:hAnsi="仿宋_GB2312" w:cs="仿宋_GB2312" w:eastAsia="仿宋_GB2312"/>
                <w:sz w:val="20"/>
              </w:rPr>
              <w:t>）自动锁定时间</w:t>
            </w:r>
            <w:r>
              <w:rPr>
                <w:rFonts w:ascii="仿宋_GB2312" w:hAnsi="仿宋_GB2312" w:cs="仿宋_GB2312" w:eastAsia="仿宋_GB2312"/>
                <w:sz w:val="20"/>
              </w:rPr>
              <w:t>≤5s；</w:t>
            </w:r>
            <w:r>
              <w:rPr>
                <w:rFonts w:ascii="仿宋_GB2312" w:hAnsi="仿宋_GB2312" w:cs="仿宋_GB2312" w:eastAsia="仿宋_GB2312"/>
                <w:sz w:val="20"/>
              </w:rPr>
              <w:t>（需要提供</w:t>
            </w:r>
            <w:r>
              <w:rPr>
                <w:rFonts w:ascii="仿宋_GB2312" w:hAnsi="仿宋_GB2312" w:cs="仿宋_GB2312" w:eastAsia="仿宋_GB2312"/>
                <w:sz w:val="20"/>
              </w:rPr>
              <w:t>测试报告</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10</w:t>
            </w:r>
            <w:r>
              <w:rPr>
                <w:rFonts w:ascii="仿宋_GB2312" w:hAnsi="仿宋_GB2312" w:cs="仿宋_GB2312" w:eastAsia="仿宋_GB2312"/>
                <w:sz w:val="20"/>
              </w:rPr>
              <w:t>）</w:t>
            </w:r>
            <w:r>
              <w:rPr>
                <w:rFonts w:ascii="仿宋_GB2312" w:hAnsi="仿宋_GB2312" w:cs="仿宋_GB2312" w:eastAsia="仿宋_GB2312"/>
                <w:sz w:val="20"/>
              </w:rPr>
              <w:t>5cm光学参考腔三通道（1550nm、</w:t>
            </w:r>
            <w:r>
              <w:rPr>
                <w:rFonts w:ascii="仿宋_GB2312" w:hAnsi="仿宋_GB2312" w:cs="仿宋_GB2312" w:eastAsia="仿宋_GB2312"/>
                <w:sz w:val="20"/>
              </w:rPr>
              <w:t>1550nm、</w:t>
            </w:r>
            <w:r>
              <w:rPr>
                <w:rFonts w:ascii="仿宋_GB2312" w:hAnsi="仿宋_GB2312" w:cs="仿宋_GB2312" w:eastAsia="仿宋_GB2312"/>
                <w:sz w:val="20"/>
              </w:rPr>
              <w:t>1064nm）；</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11</w:t>
            </w:r>
            <w:r>
              <w:rPr>
                <w:rFonts w:ascii="仿宋_GB2312" w:hAnsi="仿宋_GB2312" w:cs="仿宋_GB2312" w:eastAsia="仿宋_GB2312"/>
                <w:sz w:val="20"/>
              </w:rPr>
              <w:t>）三层热屏蔽层；</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12</w:t>
            </w:r>
            <w:r>
              <w:rPr>
                <w:rFonts w:ascii="仿宋_GB2312" w:hAnsi="仿宋_GB2312" w:cs="仿宋_GB2312" w:eastAsia="仿宋_GB2312"/>
                <w:sz w:val="20"/>
              </w:rPr>
              <w:t>）参考腔零膨胀点：在</w:t>
            </w:r>
            <w:r>
              <w:rPr>
                <w:rFonts w:ascii="仿宋_GB2312" w:hAnsi="仿宋_GB2312" w:cs="仿宋_GB2312" w:eastAsia="仿宋_GB2312"/>
                <w:sz w:val="20"/>
              </w:rPr>
              <w:t>20℃-50℃范围内；（需要提供测试报告）</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13</w:t>
            </w:r>
            <w:r>
              <w:rPr>
                <w:rFonts w:ascii="仿宋_GB2312" w:hAnsi="仿宋_GB2312" w:cs="仿宋_GB2312" w:eastAsia="仿宋_GB2312"/>
                <w:sz w:val="20"/>
              </w:rPr>
              <w:t>）参考腔精细度：</w:t>
            </w:r>
            <w:r>
              <w:rPr>
                <w:rFonts w:ascii="仿宋_GB2312" w:hAnsi="仿宋_GB2312" w:cs="仿宋_GB2312" w:eastAsia="仿宋_GB2312"/>
                <w:sz w:val="20"/>
              </w:rPr>
              <w:t>≥300000；</w:t>
            </w:r>
            <w:r>
              <w:rPr>
                <w:rFonts w:ascii="仿宋_GB2312" w:hAnsi="仿宋_GB2312" w:cs="仿宋_GB2312" w:eastAsia="仿宋_GB2312"/>
                <w:sz w:val="20"/>
              </w:rPr>
              <w:t>（需要</w:t>
            </w:r>
            <w:r>
              <w:rPr>
                <w:rFonts w:ascii="仿宋_GB2312" w:hAnsi="仿宋_GB2312" w:cs="仿宋_GB2312" w:eastAsia="仿宋_GB2312"/>
                <w:sz w:val="20"/>
              </w:rPr>
              <w:t>提供测试报告</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14</w:t>
            </w:r>
            <w:r>
              <w:rPr>
                <w:rFonts w:ascii="仿宋_GB2312" w:hAnsi="仿宋_GB2312" w:cs="仿宋_GB2312" w:eastAsia="仿宋_GB2312"/>
                <w:sz w:val="20"/>
              </w:rPr>
              <w:t>）剩余幅度噪声：</w:t>
            </w:r>
            <w:r>
              <w:rPr>
                <w:rFonts w:ascii="仿宋_GB2312" w:hAnsi="仿宋_GB2312" w:cs="仿宋_GB2312" w:eastAsia="仿宋_GB2312"/>
                <w:sz w:val="20"/>
              </w:rPr>
              <w:t>≤1E-15@1s；</w:t>
            </w:r>
            <w:r>
              <w:rPr>
                <w:rFonts w:ascii="仿宋_GB2312" w:hAnsi="仿宋_GB2312" w:cs="仿宋_GB2312" w:eastAsia="仿宋_GB2312"/>
                <w:sz w:val="20"/>
              </w:rPr>
              <w:t>（需要</w:t>
            </w:r>
            <w:r>
              <w:rPr>
                <w:rFonts w:ascii="仿宋_GB2312" w:hAnsi="仿宋_GB2312" w:cs="仿宋_GB2312" w:eastAsia="仿宋_GB2312"/>
                <w:sz w:val="20"/>
              </w:rPr>
              <w:t>提供测试报告</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15</w:t>
            </w:r>
            <w:r>
              <w:rPr>
                <w:rFonts w:ascii="仿宋_GB2312" w:hAnsi="仿宋_GB2312" w:cs="仿宋_GB2312" w:eastAsia="仿宋_GB2312"/>
                <w:sz w:val="20"/>
              </w:rPr>
              <w:t>）光纤接头</w:t>
            </w:r>
            <w:r>
              <w:rPr>
                <w:rFonts w:ascii="仿宋_GB2312" w:hAnsi="仿宋_GB2312" w:cs="仿宋_GB2312" w:eastAsia="仿宋_GB2312"/>
                <w:sz w:val="20"/>
              </w:rPr>
              <w:t>FC/APC等</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16）参考腔振动敏感度：水平方向≤1E-11/g；垂直方向≤1E-10/g;</w:t>
            </w:r>
          </w:p>
          <w:p>
            <w:pPr>
              <w:pStyle w:val="null3"/>
              <w:jc w:val="both"/>
            </w:pPr>
            <w:r>
              <w:rPr>
                <w:rFonts w:ascii="仿宋_GB2312" w:hAnsi="仿宋_GB2312" w:cs="仿宋_GB2312" w:eastAsia="仿宋_GB2312"/>
                <w:sz w:val="20"/>
              </w:rPr>
              <w:t>3）1064nm激光器参数：</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）激光功率</w:t>
            </w:r>
            <w:r>
              <w:rPr>
                <w:rFonts w:ascii="仿宋_GB2312" w:hAnsi="仿宋_GB2312" w:cs="仿宋_GB2312" w:eastAsia="仿宋_GB2312"/>
                <w:sz w:val="20"/>
              </w:rPr>
              <w:t>≥10dBm；</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）激光线宽</w:t>
            </w:r>
            <w:r>
              <w:rPr>
                <w:rFonts w:ascii="仿宋_GB2312" w:hAnsi="仿宋_GB2312" w:cs="仿宋_GB2312" w:eastAsia="仿宋_GB2312"/>
                <w:sz w:val="20"/>
              </w:rPr>
              <w:t>≤1kHz；</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）激光波长：</w:t>
            </w:r>
            <w:r>
              <w:rPr>
                <w:rFonts w:ascii="仿宋_GB2312" w:hAnsi="仿宋_GB2312" w:cs="仿宋_GB2312" w:eastAsia="仿宋_GB2312"/>
                <w:sz w:val="20"/>
              </w:rPr>
              <w:t>1064nm±</w:t>
            </w:r>
            <w:r>
              <w:rPr>
                <w:rFonts w:ascii="仿宋_GB2312" w:hAnsi="仿宋_GB2312" w:cs="仿宋_GB2312" w:eastAsia="仿宋_GB2312"/>
                <w:sz w:val="20"/>
              </w:rPr>
              <w:t>1nm</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）波长热调谐范围：</w:t>
            </w:r>
            <w:r>
              <w:rPr>
                <w:rFonts w:ascii="仿宋_GB2312" w:hAnsi="仿宋_GB2312" w:cs="仿宋_GB2312" w:eastAsia="仿宋_GB2312"/>
                <w:sz w:val="20"/>
              </w:rPr>
              <w:t>≥0.2nm；</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PZT波长调节范围：≥10GHz；</w:t>
            </w:r>
          </w:p>
          <w:p>
            <w:pPr>
              <w:pStyle w:val="null3"/>
              <w:jc w:val="both"/>
            </w:pPr>
            <w:r>
              <w:rPr>
                <w:rFonts w:ascii="仿宋_GB2312" w:hAnsi="仿宋_GB2312" w:cs="仿宋_GB2312" w:eastAsia="仿宋_GB2312"/>
                <w:sz w:val="20"/>
              </w:rPr>
              <w:t>4）光纤熔接机参数：</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）熔接光纤直径：覆盖</w:t>
            </w:r>
            <w:r>
              <w:rPr>
                <w:rFonts w:ascii="仿宋_GB2312" w:hAnsi="仿宋_GB2312" w:cs="仿宋_GB2312" w:eastAsia="仿宋_GB2312"/>
                <w:sz w:val="20"/>
              </w:rPr>
              <w:t>60-500μm;</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）涂覆层直径：覆盖</w:t>
            </w:r>
            <w:r>
              <w:rPr>
                <w:rFonts w:ascii="仿宋_GB2312" w:hAnsi="仿宋_GB2312" w:cs="仿宋_GB2312" w:eastAsia="仿宋_GB2312"/>
                <w:sz w:val="20"/>
              </w:rPr>
              <w:t>100-2000μm;</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）典型熔接损耗：</w:t>
            </w:r>
            <w:r>
              <w:rPr>
                <w:rFonts w:ascii="仿宋_GB2312" w:hAnsi="仿宋_GB2312" w:cs="仿宋_GB2312" w:eastAsia="仿宋_GB2312"/>
                <w:sz w:val="20"/>
              </w:rPr>
              <w:t>≤0.03dB(单模光纤)</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）熔接光纤类型：包括</w:t>
            </w:r>
            <w:r>
              <w:rPr>
                <w:rFonts w:ascii="仿宋_GB2312" w:hAnsi="仿宋_GB2312" w:cs="仿宋_GB2312" w:eastAsia="仿宋_GB2312"/>
                <w:sz w:val="20"/>
              </w:rPr>
              <w:t>SMF、PMF、EDF、DCF等；</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）电极间距：覆盖</w:t>
            </w:r>
            <w:r>
              <w:rPr>
                <w:rFonts w:ascii="仿宋_GB2312" w:hAnsi="仿宋_GB2312" w:cs="仿宋_GB2312" w:eastAsia="仿宋_GB2312"/>
                <w:sz w:val="20"/>
              </w:rPr>
              <w:t>1-3mm</w:t>
            </w:r>
          </w:p>
          <w:p>
            <w:pPr>
              <w:pStyle w:val="null3"/>
              <w:jc w:val="both"/>
            </w:pPr>
            <w:r>
              <w:rPr>
                <w:rFonts w:ascii="仿宋_GB2312" w:hAnsi="仿宋_GB2312" w:cs="仿宋_GB2312" w:eastAsia="仿宋_GB2312"/>
                <w:sz w:val="20"/>
              </w:rPr>
              <w:t>5）自相关仪参数：</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）分辨率</w:t>
            </w:r>
            <w:r>
              <w:rPr>
                <w:rFonts w:ascii="仿宋_GB2312" w:hAnsi="仿宋_GB2312" w:cs="仿宋_GB2312" w:eastAsia="仿宋_GB2312"/>
                <w:sz w:val="20"/>
              </w:rPr>
              <w:t>: ≤1fs；</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）最小可测脉宽</w:t>
            </w:r>
            <w:r>
              <w:rPr>
                <w:rFonts w:ascii="仿宋_GB2312" w:hAnsi="仿宋_GB2312" w:cs="仿宋_GB2312" w:eastAsia="仿宋_GB2312"/>
                <w:sz w:val="20"/>
              </w:rPr>
              <w:t>: ≤5fs；</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）最大可测脉宽</w:t>
            </w:r>
            <w:r>
              <w:rPr>
                <w:rFonts w:ascii="仿宋_GB2312" w:hAnsi="仿宋_GB2312" w:cs="仿宋_GB2312" w:eastAsia="仿宋_GB2312"/>
                <w:sz w:val="20"/>
              </w:rPr>
              <w:t>:≥100ps；</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）扫描范围</w:t>
            </w:r>
            <w:r>
              <w:rPr>
                <w:rFonts w:ascii="仿宋_GB2312" w:hAnsi="仿宋_GB2312" w:cs="仿宋_GB2312" w:eastAsia="仿宋_GB2312"/>
                <w:sz w:val="20"/>
              </w:rPr>
              <w:t>: ≥150ps；</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）灵敏度</w:t>
            </w:r>
            <w:r>
              <w:rPr>
                <w:rFonts w:ascii="仿宋_GB2312" w:hAnsi="仿宋_GB2312" w:cs="仿宋_GB2312" w:eastAsia="仿宋_GB2312"/>
                <w:sz w:val="20"/>
              </w:rPr>
              <w:t>:≤10</w:t>
            </w:r>
            <w:r>
              <w:rPr>
                <w:rFonts w:ascii="仿宋_GB2312" w:hAnsi="仿宋_GB2312" w:cs="仿宋_GB2312" w:eastAsia="仿宋_GB2312"/>
                <w:sz w:val="20"/>
                <w:vertAlign w:val="superscript"/>
              </w:rPr>
              <w:t>-7</w:t>
            </w:r>
            <w:r>
              <w:rPr>
                <w:rFonts w:ascii="仿宋_GB2312" w:hAnsi="仿宋_GB2312" w:cs="仿宋_GB2312" w:eastAsia="仿宋_GB2312"/>
                <w:sz w:val="20"/>
              </w:rPr>
              <w:t>W</w:t>
            </w:r>
            <w:r>
              <w:rPr>
                <w:rFonts w:ascii="仿宋_GB2312" w:hAnsi="仿宋_GB2312" w:cs="仿宋_GB2312" w:eastAsia="仿宋_GB2312"/>
                <w:sz w:val="20"/>
                <w:vertAlign w:val="superscript"/>
              </w:rPr>
              <w:t>2</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）波长范围</w:t>
            </w:r>
            <w:r>
              <w:rPr>
                <w:rFonts w:ascii="仿宋_GB2312" w:hAnsi="仿宋_GB2312" w:cs="仿宋_GB2312" w:eastAsia="仿宋_GB2312"/>
                <w:sz w:val="20"/>
              </w:rPr>
              <w:t>: 覆盖800-1800nm；</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）测量激光重复频率：</w:t>
            </w:r>
            <w:r>
              <w:rPr>
                <w:rFonts w:ascii="仿宋_GB2312" w:hAnsi="仿宋_GB2312" w:cs="仿宋_GB2312" w:eastAsia="仿宋_GB2312"/>
                <w:sz w:val="20"/>
              </w:rPr>
              <w:t>≥100kHz</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）光纤接口：</w:t>
            </w:r>
            <w:r>
              <w:rPr>
                <w:rFonts w:ascii="仿宋_GB2312" w:hAnsi="仿宋_GB2312" w:cs="仿宋_GB2312" w:eastAsia="仿宋_GB2312"/>
                <w:sz w:val="20"/>
              </w:rPr>
              <w:t>FC等</w:t>
            </w:r>
          </w:p>
          <w:p>
            <w:pPr>
              <w:pStyle w:val="null3"/>
              <w:jc w:val="both"/>
            </w:pPr>
            <w:r>
              <w:rPr>
                <w:rFonts w:ascii="仿宋_GB2312" w:hAnsi="仿宋_GB2312" w:cs="仿宋_GB2312" w:eastAsia="仿宋_GB2312"/>
                <w:sz w:val="20"/>
              </w:rPr>
              <w:t>6）高压放大器参数：</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1）输入电压范围0-5V；</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）最大输出电压：</w:t>
            </w:r>
            <w:r>
              <w:rPr>
                <w:rFonts w:ascii="仿宋_GB2312" w:hAnsi="仿宋_GB2312" w:cs="仿宋_GB2312" w:eastAsia="仿宋_GB2312"/>
                <w:sz w:val="20"/>
              </w:rPr>
              <w:t>≥100V；</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3）可调增益：</w:t>
            </w:r>
            <w:r>
              <w:rPr>
                <w:rFonts w:ascii="仿宋_GB2312" w:hAnsi="仿宋_GB2312" w:cs="仿宋_GB2312" w:eastAsia="仿宋_GB2312"/>
                <w:sz w:val="20"/>
              </w:rPr>
              <w:t>覆盖</w:t>
            </w:r>
            <w:r>
              <w:rPr>
                <w:rFonts w:ascii="仿宋_GB2312" w:hAnsi="仿宋_GB2312" w:cs="仿宋_GB2312" w:eastAsia="仿宋_GB2312"/>
                <w:sz w:val="20"/>
              </w:rPr>
              <w:t>0-20倍；</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）带宽：覆盖</w:t>
            </w:r>
            <w:r>
              <w:rPr>
                <w:rFonts w:ascii="仿宋_GB2312" w:hAnsi="仿宋_GB2312" w:cs="仿宋_GB2312" w:eastAsia="仿宋_GB2312"/>
                <w:sz w:val="20"/>
              </w:rPr>
              <w:t>DC-</w:t>
            </w:r>
            <w:r>
              <w:rPr>
                <w:rFonts w:ascii="仿宋_GB2312" w:hAnsi="仿宋_GB2312" w:cs="仿宋_GB2312" w:eastAsia="仿宋_GB2312"/>
                <w:sz w:val="20"/>
              </w:rPr>
              <w:t>2</w:t>
            </w:r>
            <w:r>
              <w:rPr>
                <w:rFonts w:ascii="仿宋_GB2312" w:hAnsi="仿宋_GB2312" w:cs="仿宋_GB2312" w:eastAsia="仿宋_GB2312"/>
                <w:sz w:val="20"/>
              </w:rPr>
              <w:t>MHz</w:t>
            </w:r>
          </w:p>
          <w:p>
            <w:pPr>
              <w:pStyle w:val="null3"/>
              <w:jc w:val="both"/>
            </w:pPr>
            <w:r>
              <w:rPr>
                <w:rFonts w:ascii="仿宋_GB2312" w:hAnsi="仿宋_GB2312" w:cs="仿宋_GB2312" w:eastAsia="仿宋_GB2312"/>
                <w:sz w:val="20"/>
              </w:rPr>
              <w:t>7）直流稳压电源（2台）参数：</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）输入电压</w:t>
            </w:r>
            <w:r>
              <w:rPr>
                <w:rFonts w:ascii="仿宋_GB2312" w:hAnsi="仿宋_GB2312" w:cs="仿宋_GB2312" w:eastAsia="仿宋_GB2312"/>
                <w:sz w:val="20"/>
              </w:rPr>
              <w:t>220V±10%；</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）输出电压：覆盖</w:t>
            </w:r>
            <w:r>
              <w:rPr>
                <w:rFonts w:ascii="仿宋_GB2312" w:hAnsi="仿宋_GB2312" w:cs="仿宋_GB2312" w:eastAsia="仿宋_GB2312"/>
                <w:sz w:val="20"/>
              </w:rPr>
              <w:t>0-30V可调</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）输出路数：</w:t>
            </w:r>
            <w:r>
              <w:rPr>
                <w:rFonts w:ascii="仿宋_GB2312" w:hAnsi="仿宋_GB2312" w:cs="仿宋_GB2312" w:eastAsia="仿宋_GB2312"/>
                <w:sz w:val="20"/>
              </w:rPr>
              <w:t>≥</w:t>
            </w:r>
            <w:r>
              <w:rPr>
                <w:rFonts w:ascii="仿宋_GB2312" w:hAnsi="仿宋_GB2312" w:cs="仿宋_GB2312" w:eastAsia="仿宋_GB2312"/>
                <w:sz w:val="20"/>
              </w:rPr>
              <w:t>1路；</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）输出电流：</w:t>
            </w:r>
            <w:r>
              <w:rPr>
                <w:rFonts w:ascii="仿宋_GB2312" w:hAnsi="仿宋_GB2312" w:cs="仿宋_GB2312" w:eastAsia="仿宋_GB2312"/>
                <w:sz w:val="20"/>
              </w:rPr>
              <w:t>0-5A；</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）电压分辨率：</w:t>
            </w:r>
            <w:r>
              <w:rPr>
                <w:rFonts w:ascii="仿宋_GB2312" w:hAnsi="仿宋_GB2312" w:cs="仿宋_GB2312" w:eastAsia="仿宋_GB2312"/>
                <w:sz w:val="20"/>
              </w:rPr>
              <w:t>≤10</w:t>
            </w:r>
            <w:r>
              <w:rPr>
                <w:rFonts w:ascii="仿宋_GB2312" w:hAnsi="仿宋_GB2312" w:cs="仿宋_GB2312" w:eastAsia="仿宋_GB2312"/>
                <w:sz w:val="20"/>
              </w:rPr>
              <w:t>0</w:t>
            </w:r>
            <w:r>
              <w:rPr>
                <w:rFonts w:ascii="仿宋_GB2312" w:hAnsi="仿宋_GB2312" w:cs="仿宋_GB2312" w:eastAsia="仿宋_GB2312"/>
                <w:sz w:val="20"/>
              </w:rPr>
              <w:t>mV</w:t>
            </w:r>
          </w:p>
          <w:p>
            <w:pPr>
              <w:pStyle w:val="null3"/>
              <w:jc w:val="both"/>
            </w:pPr>
            <w:r>
              <w:rPr>
                <w:rFonts w:ascii="仿宋_GB2312" w:hAnsi="仿宋_GB2312" w:cs="仿宋_GB2312" w:eastAsia="仿宋_GB2312"/>
                <w:sz w:val="20"/>
              </w:rPr>
              <w:t>8）双向掺铒光纤放大器（3台）：</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）输入光功率：覆盖</w:t>
            </w:r>
            <w:r>
              <w:rPr>
                <w:rFonts w:ascii="仿宋_GB2312" w:hAnsi="仿宋_GB2312" w:cs="仿宋_GB2312" w:eastAsia="仿宋_GB2312"/>
                <w:sz w:val="20"/>
              </w:rPr>
              <w:t>-40dBm</w:t>
            </w:r>
            <w:r>
              <w:rPr>
                <w:rFonts w:ascii="仿宋_GB2312" w:hAnsi="仿宋_GB2312" w:cs="仿宋_GB2312" w:eastAsia="仿宋_GB2312"/>
                <w:sz w:val="20"/>
              </w:rPr>
              <w:t>-</w:t>
            </w:r>
            <w:r>
              <w:rPr>
                <w:rFonts w:ascii="仿宋_GB2312" w:hAnsi="仿宋_GB2312" w:cs="仿宋_GB2312" w:eastAsia="仿宋_GB2312"/>
                <w:sz w:val="20"/>
              </w:rPr>
              <w:t>0dBm；</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）放大增益：覆盖</w:t>
            </w:r>
            <w:r>
              <w:rPr>
                <w:rFonts w:ascii="仿宋_GB2312" w:hAnsi="仿宋_GB2312" w:cs="仿宋_GB2312" w:eastAsia="仿宋_GB2312"/>
                <w:sz w:val="20"/>
              </w:rPr>
              <w:t>5</w:t>
            </w:r>
            <w:r>
              <w:rPr>
                <w:rFonts w:ascii="仿宋_GB2312" w:hAnsi="仿宋_GB2312" w:cs="仿宋_GB2312" w:eastAsia="仿宋_GB2312"/>
                <w:sz w:val="20"/>
              </w:rPr>
              <w:t>dB</w:t>
            </w:r>
            <w:r>
              <w:rPr>
                <w:rFonts w:ascii="仿宋_GB2312" w:hAnsi="仿宋_GB2312" w:cs="仿宋_GB2312" w:eastAsia="仿宋_GB2312"/>
                <w:sz w:val="20"/>
              </w:rPr>
              <w:t>-25dB；</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）增益分辨率：</w:t>
            </w:r>
            <w:r>
              <w:rPr>
                <w:rFonts w:ascii="仿宋_GB2312" w:hAnsi="仿宋_GB2312" w:cs="仿宋_GB2312" w:eastAsia="仿宋_GB2312"/>
                <w:sz w:val="20"/>
              </w:rPr>
              <w:t>≤</w:t>
            </w:r>
            <w:r>
              <w:rPr>
                <w:rFonts w:ascii="仿宋_GB2312" w:hAnsi="仿宋_GB2312" w:cs="仿宋_GB2312" w:eastAsia="仿宋_GB2312"/>
                <w:sz w:val="20"/>
              </w:rPr>
              <w:t>2dB;</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）噪声系数：</w:t>
            </w:r>
            <w:r>
              <w:rPr>
                <w:rFonts w:ascii="仿宋_GB2312" w:hAnsi="仿宋_GB2312" w:cs="仿宋_GB2312" w:eastAsia="仿宋_GB2312"/>
                <w:sz w:val="20"/>
              </w:rPr>
              <w:t>≤5.5dB；</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）激光波长</w:t>
            </w:r>
            <w:r>
              <w:rPr>
                <w:rFonts w:ascii="仿宋_GB2312" w:hAnsi="仿宋_GB2312" w:cs="仿宋_GB2312" w:eastAsia="仿宋_GB2312"/>
                <w:sz w:val="20"/>
              </w:rPr>
              <w:t>/信道：1550nm±</w:t>
            </w:r>
            <w:r>
              <w:rPr>
                <w:rFonts w:ascii="仿宋_GB2312" w:hAnsi="仿宋_GB2312" w:cs="仿宋_GB2312" w:eastAsia="仿宋_GB2312"/>
                <w:sz w:val="20"/>
              </w:rPr>
              <w:t>10nm</w:t>
            </w:r>
            <w:r>
              <w:rPr>
                <w:rFonts w:ascii="仿宋_GB2312" w:hAnsi="仿宋_GB2312" w:cs="仿宋_GB2312" w:eastAsia="仿宋_GB2312"/>
                <w:sz w:val="20"/>
              </w:rPr>
              <w:t>/ C32；</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）光纤接口：</w:t>
            </w:r>
            <w:r>
              <w:rPr>
                <w:rFonts w:ascii="仿宋_GB2312" w:hAnsi="仿宋_GB2312" w:cs="仿宋_GB2312" w:eastAsia="仿宋_GB2312"/>
                <w:sz w:val="20"/>
              </w:rPr>
              <w:t>FC/APC等；</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）串口：</w:t>
            </w:r>
            <w:r>
              <w:rPr>
                <w:rFonts w:ascii="仿宋_GB2312" w:hAnsi="仿宋_GB2312" w:cs="仿宋_GB2312" w:eastAsia="仿宋_GB2312"/>
                <w:sz w:val="20"/>
              </w:rPr>
              <w:t>RS232等</w:t>
            </w:r>
          </w:p>
          <w:p>
            <w:pPr>
              <w:pStyle w:val="null3"/>
              <w:jc w:val="both"/>
            </w:pPr>
            <w:r>
              <w:rPr>
                <w:rFonts w:ascii="仿宋_GB2312" w:hAnsi="仿宋_GB2312" w:cs="仿宋_GB2312" w:eastAsia="仿宋_GB2312"/>
                <w:sz w:val="20"/>
              </w:rPr>
              <w:t>配置要求：</w:t>
            </w:r>
          </w:p>
          <w:p>
            <w:pPr>
              <w:pStyle w:val="null3"/>
              <w:jc w:val="both"/>
            </w:pPr>
            <w:r>
              <w:rPr>
                <w:rFonts w:ascii="仿宋_GB2312" w:hAnsi="仿宋_GB2312" w:cs="仿宋_GB2312" w:eastAsia="仿宋_GB2312"/>
                <w:sz w:val="20"/>
              </w:rPr>
              <w:t>配置满足仪器实验需求的所有连接线缆、接口配件等一批（包括光纤分束器</w:t>
            </w:r>
            <w:r>
              <w:rPr>
                <w:rFonts w:ascii="仿宋_GB2312" w:hAnsi="仿宋_GB2312" w:cs="仿宋_GB2312" w:eastAsia="仿宋_GB2312"/>
                <w:sz w:val="20"/>
              </w:rPr>
              <w:t>50个、光学衰减器</w:t>
            </w:r>
            <w:r>
              <w:rPr>
                <w:rFonts w:ascii="仿宋_GB2312" w:hAnsi="仿宋_GB2312" w:cs="仿宋_GB2312" w:eastAsia="仿宋_GB2312"/>
                <w:sz w:val="20"/>
              </w:rPr>
              <w:t>25</w:t>
            </w:r>
            <w:r>
              <w:rPr>
                <w:rFonts w:ascii="仿宋_GB2312" w:hAnsi="仿宋_GB2312" w:cs="仿宋_GB2312" w:eastAsia="仿宋_GB2312"/>
                <w:sz w:val="20"/>
              </w:rPr>
              <w:t>个（</w:t>
            </w:r>
            <w:r>
              <w:rPr>
                <w:rFonts w:ascii="仿宋_GB2312" w:hAnsi="仿宋_GB2312" w:cs="仿宋_GB2312" w:eastAsia="仿宋_GB2312"/>
                <w:sz w:val="20"/>
              </w:rPr>
              <w:t>1dB 5个、3dB 5个、5dB 5个、10dB 5个、20dB 5个</w:t>
            </w:r>
            <w:r>
              <w:rPr>
                <w:rFonts w:ascii="仿宋_GB2312" w:hAnsi="仿宋_GB2312" w:cs="仿宋_GB2312" w:eastAsia="仿宋_GB2312"/>
                <w:sz w:val="20"/>
              </w:rPr>
              <w:t>）、光纤法兰</w:t>
            </w:r>
            <w:r>
              <w:rPr>
                <w:rFonts w:ascii="仿宋_GB2312" w:hAnsi="仿宋_GB2312" w:cs="仿宋_GB2312" w:eastAsia="仿宋_GB2312"/>
                <w:sz w:val="20"/>
              </w:rPr>
              <w:t>100个、光纤跳线50根（</w:t>
            </w:r>
            <w:r>
              <w:rPr>
                <w:rFonts w:ascii="仿宋_GB2312" w:hAnsi="仿宋_GB2312" w:cs="仿宋_GB2312" w:eastAsia="仿宋_GB2312"/>
                <w:sz w:val="20"/>
              </w:rPr>
              <w:t>1米20根、3米10根、5米5根、10米5根、15米5根、20米5根</w:t>
            </w:r>
            <w:r>
              <w:rPr>
                <w:rFonts w:ascii="仿宋_GB2312" w:hAnsi="仿宋_GB2312" w:cs="仿宋_GB2312" w:eastAsia="仿宋_GB2312"/>
                <w:sz w:val="20"/>
              </w:rPr>
              <w:t>））</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rPr>
              <w:t>售后服务与质保：</w:t>
            </w:r>
          </w:p>
          <w:p>
            <w:pPr>
              <w:pStyle w:val="null3"/>
              <w:jc w:val="both"/>
            </w:pPr>
            <w:r>
              <w:rPr>
                <w:rFonts w:ascii="仿宋_GB2312" w:hAnsi="仿宋_GB2312" w:cs="仿宋_GB2312" w:eastAsia="仿宋_GB2312"/>
              </w:rPr>
              <w:t>乙方为本设备提供自最终验收合格之日起</w:t>
            </w:r>
            <w:r>
              <w:rPr>
                <w:rFonts w:ascii="仿宋_GB2312" w:hAnsi="仿宋_GB2312" w:cs="仿宋_GB2312" w:eastAsia="仿宋_GB2312"/>
              </w:rPr>
              <w:t>3</w:t>
            </w:r>
            <w:r>
              <w:rPr>
                <w:rFonts w:ascii="仿宋_GB2312" w:hAnsi="仿宋_GB2312" w:cs="仿宋_GB2312" w:eastAsia="仿宋_GB2312"/>
              </w:rPr>
              <w:t>年的免费质保期。</w:t>
            </w:r>
          </w:p>
          <w:p>
            <w:pPr>
              <w:pStyle w:val="null3"/>
              <w:jc w:val="both"/>
            </w:pPr>
            <w:r>
              <w:rPr>
                <w:rFonts w:ascii="仿宋_GB2312" w:hAnsi="仿宋_GB2312" w:cs="仿宋_GB2312" w:eastAsia="仿宋_GB2312"/>
              </w:rPr>
              <w:t>技术支持：乙方承诺提供</w:t>
            </w:r>
            <w:r>
              <w:rPr>
                <w:rFonts w:ascii="仿宋_GB2312" w:hAnsi="仿宋_GB2312" w:cs="仿宋_GB2312" w:eastAsia="仿宋_GB2312"/>
              </w:rPr>
              <w:t>7×24小时技术支持热线，并设立明确的多级现场响应机制（例如：一般问题2小时内响应，需现场服务的，在协定时间内抵达现场）。</w:t>
            </w:r>
          </w:p>
          <w:p>
            <w:pPr>
              <w:pStyle w:val="null3"/>
              <w:jc w:val="both"/>
            </w:pPr>
            <w:r>
              <w:rPr>
                <w:rFonts w:ascii="仿宋_GB2312" w:hAnsi="仿宋_GB2312" w:cs="仿宋_GB2312" w:eastAsia="仿宋_GB2312"/>
              </w:rPr>
              <w:t>维护服务：质保期内，乙方提供不少于</w:t>
            </w:r>
            <w:r>
              <w:rPr>
                <w:rFonts w:ascii="仿宋_GB2312" w:hAnsi="仿宋_GB2312" w:cs="仿宋_GB2312" w:eastAsia="仿宋_GB2312"/>
              </w:rPr>
              <w:t>1次/年的预防性维护服务，内容包括但不限于设备全面检查、性能校准与优化。</w:t>
            </w:r>
          </w:p>
          <w:p>
            <w:pPr>
              <w:pStyle w:val="null3"/>
              <w:jc w:val="both"/>
            </w:pPr>
            <w:r>
              <w:rPr>
                <w:rFonts w:ascii="仿宋_GB2312" w:hAnsi="仿宋_GB2312" w:cs="仿宋_GB2312" w:eastAsia="仿宋_GB2312"/>
              </w:rPr>
              <w:t>维修与备件：质保期内，所有非人为因素导致的故障，乙方提供免费的零部件更换与专业维修服务。同时，乙方保证自设备出厂之日起，至少</w:t>
            </w:r>
            <w:r>
              <w:rPr>
                <w:rFonts w:ascii="仿宋_GB2312" w:hAnsi="仿宋_GB2312" w:cs="仿宋_GB2312" w:eastAsia="仿宋_GB2312"/>
              </w:rPr>
              <w:t>5年内相关备件的持续供应。</w:t>
            </w:r>
          </w:p>
          <w:p>
            <w:pPr>
              <w:pStyle w:val="null3"/>
              <w:jc w:val="both"/>
            </w:pPr>
            <w:r>
              <w:rPr>
                <w:rFonts w:ascii="仿宋_GB2312" w:hAnsi="仿宋_GB2312" w:cs="仿宋_GB2312" w:eastAsia="仿宋_GB2312"/>
              </w:rPr>
              <w:t>免费赠送一次设备移机服务。</w:t>
            </w:r>
          </w:p>
          <w:p>
            <w:pPr>
              <w:pStyle w:val="null3"/>
              <w:jc w:val="both"/>
            </w:pPr>
            <w:r>
              <w:rPr>
                <w:rFonts w:ascii="仿宋_GB2312" w:hAnsi="仿宋_GB2312" w:cs="仿宋_GB2312" w:eastAsia="仿宋_GB2312"/>
              </w:rPr>
              <w:t>培训计划：</w:t>
            </w:r>
          </w:p>
          <w:p>
            <w:pPr>
              <w:pStyle w:val="null3"/>
              <w:jc w:val="both"/>
            </w:pPr>
            <w:r>
              <w:rPr>
                <w:rFonts w:ascii="仿宋_GB2312" w:hAnsi="仿宋_GB2312" w:cs="仿宋_GB2312" w:eastAsia="仿宋_GB2312"/>
              </w:rPr>
              <w:t>设备安装调试完成后，乙方须在甲方现场为指定人员提供全面的操作与维护培训。培训目标为确保甲方至少两名相关人员能够：</w:t>
            </w:r>
          </w:p>
          <w:p>
            <w:pPr>
              <w:pStyle w:val="null3"/>
              <w:jc w:val="both"/>
            </w:pPr>
            <w:r>
              <w:rPr>
                <w:rFonts w:ascii="仿宋_GB2312" w:hAnsi="仿宋_GB2312" w:cs="仿宋_GB2312" w:eastAsia="仿宋_GB2312"/>
              </w:rPr>
              <w:t>独立、规范、安全地操作设备完成常规实验任务。</w:t>
            </w:r>
          </w:p>
          <w:p>
            <w:pPr>
              <w:pStyle w:val="null3"/>
              <w:jc w:val="both"/>
            </w:pPr>
            <w:r>
              <w:rPr>
                <w:rFonts w:ascii="仿宋_GB2312" w:hAnsi="仿宋_GB2312" w:cs="仿宋_GB2312" w:eastAsia="仿宋_GB2312"/>
              </w:rPr>
              <w:t>熟练掌握设备的日常、定期维护保养规程。</w:t>
            </w:r>
          </w:p>
          <w:p>
            <w:pPr>
              <w:pStyle w:val="null3"/>
              <w:jc w:val="both"/>
            </w:pPr>
            <w:r>
              <w:rPr>
                <w:rFonts w:ascii="仿宋_GB2312" w:hAnsi="仿宋_GB2312" w:cs="仿宋_GB2312" w:eastAsia="仿宋_GB2312"/>
              </w:rPr>
              <w:t>深刻理解设备基本原理，具备基础故障的诊断、排查与应急处理能力。</w:t>
            </w:r>
          </w:p>
          <w:p>
            <w:pPr>
              <w:pStyle w:val="null3"/>
              <w:jc w:val="both"/>
            </w:pPr>
            <w:r>
              <w:rPr>
                <w:rFonts w:ascii="仿宋_GB2312" w:hAnsi="仿宋_GB2312" w:cs="仿宋_GB2312" w:eastAsia="仿宋_GB2312"/>
                <w:sz w:val="21"/>
              </w:rPr>
              <w:t>通过培训，实质性提升甲方的自主运维水平，降低对乙方的技术依赖。</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以上所有要求不允许负偏离，有一项负偏离为无效响应。</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合同签订后45日历日。</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货到安装调试完成后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待验收合格后，凭成交供应商开具全额增值税专用发票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设备验收将依据双方共同确认的技术规格书及约定的行业/国际通用标准执行。 验收内容包括但不限于以下方面： 功能性能验证：依据协定方法，对设备各项功能、精度、稳定性及重复性等关键性能指标进行现场实测，结果须完全符合技术规格要求。 完整性核查：对设备型号、硬件配置、所有附带配件、工具及技术文件（包括但不限于操作手册、维修手册、电路图等）进行清点与一致性确认。</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乙方为本设备提供自最终验收合格之日起3年的免费质保期。 技术支持：乙方承诺提供7×24小时技术支持热线，并设立明确的多级现场响应机制（例如：一般问题2小时内响应，需现场服务的，在协定时间内抵达现场）。 维护服务：质保期内，乙方提供不少于1次/年的预防性维护服务，内容包括但不限于设备全面检查、性能校准与优化。 维修与备件：质保期内，所有非人为因素导致的故障，乙方提供免费的零部件更换与专业维修服务。同时，乙方保证自设备出厂之日起，至少5年内相关备件的持续供应。 免费赠送一次设备移机服务。（提供承诺书）</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按照采购文件及合同约定</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响应文件，同时，成交供应商需线下提交与系统电子响应文件一致的纸质响应文件三份。若系统电子响应文件与纸质投标文件不一致的，以系统电子响应文件为准。 2.本项目采用两次报价，响应文件中的报价为首次报价，评审以第二次（最终报价）为准，最终报价要低于首轮报价。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供应商为本项目提供的资格证明文件及其他.docx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专门面向中小企业采购</w:t>
            </w:r>
          </w:p>
        </w:tc>
        <w:tc>
          <w:tcPr>
            <w:tcW w:type="dxa" w:w="1661"/>
          </w:tcPr>
          <w:p>
            <w:pPr>
              <w:pStyle w:val="null3"/>
            </w:pPr>
            <w:r>
              <w:rPr>
                <w:rFonts w:ascii="仿宋_GB2312" w:hAnsi="仿宋_GB2312" w:cs="仿宋_GB2312" w:eastAsia="仿宋_GB2312"/>
              </w:rPr>
              <w:t>需要落实的政府采购政策.docx 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首次响应报价</w:t>
            </w:r>
          </w:p>
        </w:tc>
        <w:tc>
          <w:tcPr>
            <w:tcW w:type="dxa" w:w="3322"/>
          </w:tcPr>
          <w:p>
            <w:pPr>
              <w:pStyle w:val="null3"/>
            </w:pPr>
            <w:r>
              <w:rPr>
                <w:rFonts w:ascii="仿宋_GB2312" w:hAnsi="仿宋_GB2312" w:cs="仿宋_GB2312" w:eastAsia="仿宋_GB2312"/>
              </w:rPr>
              <w:t>首次报价未超过采购预算。</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商务评审</w:t>
            </w:r>
          </w:p>
        </w:tc>
        <w:tc>
          <w:tcPr>
            <w:tcW w:type="dxa" w:w="3322"/>
          </w:tcPr>
          <w:p>
            <w:pPr>
              <w:pStyle w:val="null3"/>
            </w:pPr>
            <w:r>
              <w:rPr>
                <w:rFonts w:ascii="仿宋_GB2312" w:hAnsi="仿宋_GB2312" w:cs="仿宋_GB2312" w:eastAsia="仿宋_GB2312"/>
              </w:rPr>
              <w:t>售后服务与质保： 乙方为本设备提供自最终验收合格之日起3年的免费质保期。 技术支持：乙方承诺提供7×24小时技术支持热线，并设立明确的多级现场响应机制（例如：一般问题2小时内响应，需现场服务的，在协定时间内抵达现场）。 维护服务：质保期内，乙方提供不少于1次/年的预防性维护服务，内容包括但不限于设备全面检查、性能校准与优化。 维修与备件：质保期内，所有非人为因素导致的故障，乙方提供免费的零部件更换与专业维修服务。同时，乙方保证自设备出厂之日起，至少5年内相关备件的持续供应。 免费赠送一次设备移机服务。 培训计划： 设备安装调试完成后，乙方须在甲方现场为指定人员提供全面的操作与维护培训。培训目标为确保甲方至少两名相关人员能够： 独立、规范、安全地操作设备完成常规实验任务。 熟练掌握设备的日常、定期维护保养规程。 深刻理解设备基本原理，具备基础故障的诊断、排查与应急处理能力。 通过培训，实质性提升甲方的自主运维水平，降低对乙方的技术依赖。 注：以《商务应答表》响应为准。</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技术标准审查</w:t>
            </w:r>
          </w:p>
        </w:tc>
        <w:tc>
          <w:tcPr>
            <w:tcW w:type="dxa" w:w="3322"/>
          </w:tcPr>
          <w:p>
            <w:pPr>
              <w:pStyle w:val="null3"/>
            </w:pPr>
            <w:r>
              <w:rPr>
                <w:rFonts w:ascii="仿宋_GB2312" w:hAnsi="仿宋_GB2312" w:cs="仿宋_GB2312" w:eastAsia="仿宋_GB2312"/>
              </w:rPr>
              <w:t>要求完全符合谈判文件要求。 注：采购需求中要求提供证明材料的需提供证明材料，其他以《产品技术参数表》响应为准。</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核心产品品牌审查</w:t>
            </w:r>
          </w:p>
        </w:tc>
        <w:tc>
          <w:tcPr>
            <w:tcW w:type="dxa" w:w="3322"/>
          </w:tcPr>
          <w:p>
            <w:pPr>
              <w:pStyle w:val="null3"/>
            </w:pPr>
            <w:r>
              <w:rPr>
                <w:rFonts w:ascii="仿宋_GB2312" w:hAnsi="仿宋_GB2312" w:cs="仿宋_GB2312" w:eastAsia="仿宋_GB2312"/>
              </w:rPr>
              <w:t>核心产品品牌满足三家供应商。</w:t>
            </w:r>
          </w:p>
        </w:tc>
        <w:tc>
          <w:tcPr>
            <w:tcW w:type="dxa" w:w="1661"/>
          </w:tcPr>
          <w:p>
            <w:pPr>
              <w:pStyle w:val="null3"/>
            </w:pPr>
            <w:r>
              <w:rPr>
                <w:rFonts w:ascii="仿宋_GB2312" w:hAnsi="仿宋_GB2312" w:cs="仿宋_GB2312" w:eastAsia="仿宋_GB2312"/>
              </w:rPr>
              <w:t>产品技术参数表</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详见附件：供应商为本项目提供的资格证明文件及其他.docx</w:t>
      </w:r>
    </w:p>
    <w:p>
      <w:pPr>
        <w:pStyle w:val="null3"/>
        <w:ind w:firstLine="960"/>
      </w:pPr>
      <w:r>
        <w:rPr>
          <w:rFonts w:ascii="仿宋_GB2312" w:hAnsi="仿宋_GB2312" w:cs="仿宋_GB2312" w:eastAsia="仿宋_GB2312"/>
        </w:rPr>
        <w:t>详见附件：需要落实的政府采购政策.docx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