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版本号：LZBA2025-1638.1B120251030001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“唐代技艺”系列虚拟仿真教育课程开发项目(二次)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LZBA2025-1638.1B1</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“唐代技艺”系列虚拟仿真教育课程开发项目(二次)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LZBA2025-1638.1B1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“唐代技艺”系列虚拟仿真教育课程开发项目(二次)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陕西历史博物馆虚拟仿真教育课程开发项目涵盖了四节虚拟仿真课程的开发、配套材料包的设计制作、课程宣传片拍摄剪辑制作及配套硬件设备等内容；具体详见磋商文件采购需求。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采购包1（“唐代技艺”系列虚拟仿真教育课程开发项目）：属于专门面向中小企业采购。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户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便携式计算机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便携式计算机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便携式计算机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代理服务费收费标准：1、代理服务费参照《国家计委关于印发&lt;招标代理服务收费管理暂行办法&gt;的通知》（计价格[2002]1980号）规定标准按成交金额以服务计取。 2、代理服务费缴纳信息： 开户名称：龙寰项目管理咨询有限公司 开户行名称：平安银行西安高新路支行 账号：30201278017509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按国家及行业现行的标准和技术规范、磋商文件要求验收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地址：西安市太白南路181号西部安电子社区A座A区501室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历史博物馆虚拟仿真教育课程开发项目涵盖了四节虚拟仿真课程的开发、配套材料包的设计制作、课程宣传片拍摄剪辑制作及配套硬件设备等内容；主要功能或目标：主要包括：围绕唐代文化主题，开发武惠妃石椁、玉器、金银器、丝绸四节虚拟仿真教育课程，每节课程包含高精度三维建模、动态工艺展示、互动游戏及历史背景解析等功能；设计制作四套与课程主题配套的材料包，用于辅助教学与实践体验。通过虚拟仿真技术，动态还原唐代石刻、制玉、金银器制作及丝绸织造等工艺过程，为用户提供沉浸式学习体验。课程需具备互动功能，如拼搭唐代建筑、虚拟石刻技艺、虚拟制作玉器、探案解密、丝绸印染设计等，以激发学习兴趣并深化对唐代文化的理解。配套材料包需与课程内容紧密结合，便于用户实践操作；需满足的要求：1.虚拟仿真课程需采用高精度建模技术，真实还原文物细节与工艺过程，互动功能设计需符合教育目标。2.配套材料包需包含课程相关实物教具或手工材料，设计应兼具教育性与趣味性。3.项目整体需按时交付，课程内容需符合博物馆教育标准，确保知识准确性与技术可靠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992,500.00</w:t>
      </w:r>
    </w:p>
    <w:p>
      <w:pPr>
        <w:pStyle w:val="null3"/>
      </w:pPr>
      <w:r>
        <w:rPr>
          <w:rFonts w:ascii="仿宋_GB2312" w:hAnsi="仿宋_GB2312" w:cs="仿宋_GB2312" w:eastAsia="仿宋_GB2312"/>
        </w:rPr>
        <w:t>采购包最高限价（元）: 992,500.00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教育课程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教育课程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jc w:val="left"/>
            </w:pPr>
            <w:r>
              <w:rPr>
                <w:rFonts w:ascii="仿宋_GB2312" w:hAnsi="仿宋_GB2312" w:cs="仿宋_GB2312" w:eastAsia="仿宋_GB2312"/>
                <w:sz w:val="18"/>
                <w:color w:val="000000"/>
              </w:rPr>
              <w:t>陕西历史博物馆虚拟仿真教育课程开发项目涵盖了四节虚拟仿真课程的开发、配套材料包的设计制作、课程宣传片拍摄剪辑制作及配套硬件设备等内容；主要功能或目标：主要包括：围绕唐代文化主题，开发武惠妃石椁、玉器、金银器、丝绸四节虚拟仿真教育课程，每节课程包含高精度三维建模、动态工艺展示、互动游戏及历史背景解析等功能；设计制作四套与课程主题配套的材料包，用于辅助教学与实践体验。通过虚拟仿真技术，动态还原唐代石刻、制玉、金银器制作及丝绸织造等工艺过程，为用户提供沉浸式学习体验。课程需具备互动功能，如拼搭唐代建筑、虚拟石刻技艺、虚拟制作玉器、探案解密、丝绸印染设计等，以激发学习兴趣并深化对唐代文化的理解。配套材料包需与课程内容紧密结合，便于用户实践操作；需满足的要求：</w:t>
            </w:r>
            <w:r>
              <w:rPr>
                <w:rFonts w:ascii="仿宋_GB2312" w:hAnsi="仿宋_GB2312" w:cs="仿宋_GB2312" w:eastAsia="仿宋_GB2312"/>
                <w:sz w:val="18"/>
                <w:color w:val="000000"/>
              </w:rPr>
              <w:t>1.虚拟仿真课程需采用高精度建模技术，真实还原文物细节与工艺过程，互动功能设计需符合教育目标。2.配套材料包需包含课程相关实物教具或手工材料，设计应兼具教育性与趣味性。3.项目整体需按时交付，课程内容需符合博物馆教育标准，确保知识准确性与技术可靠性。</w:t>
            </w:r>
          </w:p>
          <w:p>
            <w:pPr>
              <w:pStyle w:val="null3"/>
              <w:jc w:val="left"/>
            </w:pPr>
            <w:r>
              <w:rPr>
                <w:rFonts w:ascii="仿宋_GB2312" w:hAnsi="仿宋_GB2312" w:cs="仿宋_GB2312" w:eastAsia="仿宋_GB2312"/>
                <w:sz w:val="18"/>
                <w:b/>
                <w:color w:val="000000"/>
              </w:rPr>
              <w:t>技术参数与性能指标：</w:t>
            </w:r>
          </w:p>
          <w:p>
            <w:pPr>
              <w:pStyle w:val="null3"/>
              <w:numPr>
                <w:ilvl w:val="0"/>
                <w:numId w:val="1"/>
              </w:numPr>
              <w:jc w:val="left"/>
            </w:pPr>
            <w:r>
              <w:rPr>
                <w:rFonts w:ascii="仿宋_GB2312" w:hAnsi="仿宋_GB2312" w:cs="仿宋_GB2312" w:eastAsia="仿宋_GB2312"/>
                <w:sz w:val="18"/>
                <w:color w:val="000000"/>
              </w:rPr>
              <w:t>虚拟仿真博物馆教育平台升级：</w:t>
            </w:r>
          </w:p>
          <w:p>
            <w:pPr>
              <w:pStyle w:val="null3"/>
              <w:ind w:firstLine="360"/>
              <w:jc w:val="left"/>
            </w:pPr>
            <w:r>
              <w:rPr>
                <w:rFonts w:ascii="仿宋_GB2312" w:hAnsi="仿宋_GB2312" w:cs="仿宋_GB2312" w:eastAsia="仿宋_GB2312"/>
                <w:sz w:val="18"/>
                <w:color w:val="000000"/>
              </w:rPr>
              <w:t>虚拟仿真博物馆教育平台依托陕西历史博物馆馆内教育资源，充分运用数字信息技术，丰富博物馆教育手段。本项目针对现有</w:t>
            </w:r>
            <w:r>
              <w:rPr>
                <w:rFonts w:ascii="仿宋_GB2312" w:hAnsi="仿宋_GB2312" w:cs="仿宋_GB2312" w:eastAsia="仿宋_GB2312"/>
                <w:sz w:val="18"/>
                <w:color w:val="000000"/>
              </w:rPr>
              <w:t>“陕历博”虚拟仿真博物馆教育平台进行平台功能及性能优化，并整合本次开发内容。包括：基于平台现有多场景体系，升级优化多场景时空穿越的交互式体验功能。通过一系列相辅相成的系统和底层改进，优化平台性能、增加管理功能、整合虚拟仿真课程等。</w:t>
            </w:r>
          </w:p>
          <w:p>
            <w:pPr>
              <w:pStyle w:val="null3"/>
              <w:numPr>
                <w:ilvl w:val="0"/>
                <w:numId w:val="1"/>
              </w:numPr>
              <w:jc w:val="left"/>
            </w:pPr>
            <w:r>
              <w:rPr>
                <w:rFonts w:ascii="仿宋_GB2312" w:hAnsi="仿宋_GB2312" w:cs="仿宋_GB2312" w:eastAsia="仿宋_GB2312"/>
                <w:sz w:val="18"/>
                <w:color w:val="000000"/>
              </w:rPr>
              <w:t>虚拟仿真课程开发：</w:t>
            </w:r>
          </w:p>
          <w:p>
            <w:pPr>
              <w:pStyle w:val="null3"/>
              <w:ind w:firstLine="360"/>
              <w:jc w:val="left"/>
            </w:pPr>
            <w:r>
              <w:rPr>
                <w:rFonts w:ascii="仿宋_GB2312" w:hAnsi="仿宋_GB2312" w:cs="仿宋_GB2312" w:eastAsia="仿宋_GB2312"/>
                <w:sz w:val="18"/>
                <w:color w:val="000000"/>
              </w:rPr>
              <w:t>开发虚拟仿真博物馆教育课程</w:t>
            </w:r>
            <w:r>
              <w:rPr>
                <w:rFonts w:ascii="仿宋_GB2312" w:hAnsi="仿宋_GB2312" w:cs="仿宋_GB2312" w:eastAsia="仿宋_GB2312"/>
                <w:sz w:val="18"/>
                <w:color w:val="000000"/>
              </w:rPr>
              <w:t>4套，课程主题分别为武惠妃石椁、玉器、金银器、丝绸。虚拟仿真课程内容依托陕西历史博物馆丰富的馆藏资源，通过查询相关历史资料，深入挖掘知识内涵，结合短视频、图文、动画、虚拟仿真内容等多种技术手段进行展示。</w:t>
            </w:r>
          </w:p>
          <w:tbl>
            <w:tblPr>
              <w:tblInd w:type="dxa" w:w="120"/>
              <w:tblBorders>
                <w:top w:val="none" w:color="000000" w:sz="4"/>
                <w:left w:val="none" w:color="000000" w:sz="4"/>
                <w:bottom w:val="none" w:color="000000" w:sz="4"/>
                <w:right w:val="none" w:color="000000" w:sz="4"/>
                <w:insideH w:val="none"/>
                <w:insideV w:val="none"/>
              </w:tblBorders>
            </w:tblPr>
            <w:tblGrid>
              <w:gridCol w:w="194"/>
              <w:gridCol w:w="419"/>
              <w:gridCol w:w="1938"/>
            </w:tblGrid>
            <w:tr>
              <w:tc>
                <w:tcPr>
                  <w:tcW w:type="dxa" w:w="19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序号</w:t>
                  </w:r>
                </w:p>
              </w:tc>
              <w:tc>
                <w:tcPr>
                  <w:tcW w:type="dxa" w:w="41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内容</w:t>
                  </w:r>
                </w:p>
              </w:tc>
              <w:tc>
                <w:tcPr>
                  <w:tcW w:type="dxa" w:w="193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要求</w:t>
                  </w:r>
                </w:p>
              </w:tc>
            </w:tr>
            <w:tr>
              <w:tc>
                <w:tcPr>
                  <w:tcW w:type="dxa" w:w="1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1</w:t>
                  </w:r>
                </w:p>
              </w:tc>
              <w:tc>
                <w:tcPr>
                  <w:tcW w:type="dxa" w:w="4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color w:val="000000"/>
                    </w:rPr>
                    <w:t>课程要求</w:t>
                  </w:r>
                </w:p>
              </w:tc>
              <w:tc>
                <w:tcPr>
                  <w:tcW w:type="dxa" w:w="193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）课程内容需根据项目要求，依托陕西历史博物馆丰富的馆藏资源，参考历史文献，影音资料进行设计，确保课件内容准确，符合事实；</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）课程内容主要以</w:t>
                  </w:r>
                  <w:r>
                    <w:rPr>
                      <w:rFonts w:ascii="仿宋_GB2312" w:hAnsi="仿宋_GB2312" w:cs="仿宋_GB2312" w:eastAsia="仿宋_GB2312"/>
                      <w:sz w:val="18"/>
                      <w:color w:val="000000"/>
                    </w:rPr>
                    <w:t>3D</w:t>
                  </w:r>
                  <w:r>
                    <w:rPr>
                      <w:rFonts w:ascii="仿宋_GB2312" w:hAnsi="仿宋_GB2312" w:cs="仿宋_GB2312" w:eastAsia="仿宋_GB2312"/>
                      <w:sz w:val="18"/>
                      <w:color w:val="000000"/>
                    </w:rPr>
                    <w:t>数字技术完成，各种建筑、物品、人物建模要求精致美观，符合历史设定，人物动作要自然流畅；</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）课程基于虚幻引擎进行开发，通过本地设备实时渲染运行，可进行版本迭代更新；</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）课程互动内容设计，融知识性、趣味性、教育性、实用性为一体，操作简便；</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）武惠妃石椁石刻技艺课程</w:t>
                  </w:r>
                  <w:r>
                    <w:rPr>
                      <w:rFonts w:ascii="仿宋_GB2312" w:hAnsi="仿宋_GB2312" w:cs="仿宋_GB2312" w:eastAsia="仿宋_GB2312"/>
                      <w:sz w:val="18"/>
                      <w:color w:val="000000"/>
                    </w:rPr>
                    <w:t>：</w:t>
                  </w:r>
                  <w:r>
                    <w:rPr>
                      <w:rFonts w:ascii="仿宋_GB2312" w:hAnsi="仿宋_GB2312" w:cs="仿宋_GB2312" w:eastAsia="仿宋_GB2312"/>
                      <w:sz w:val="18"/>
                      <w:color w:val="000000"/>
                    </w:rPr>
                    <w:t>武惠妃石椁作为唐代皇家葬具的重要地位，讲述其历史背景、在唐代丧葬制度中的意义，以及石椁所承载的盛唐礼制和中外文化交流等历史信息</w:t>
                  </w:r>
                  <w:r>
                    <w:rPr>
                      <w:rFonts w:ascii="仿宋_GB2312" w:hAnsi="仿宋_GB2312" w:cs="仿宋_GB2312" w:eastAsia="仿宋_GB2312"/>
                      <w:sz w:val="18"/>
                      <w:color w:val="000000"/>
                    </w:rPr>
                    <w:t>，</w:t>
                  </w:r>
                  <w:r>
                    <w:rPr>
                      <w:rFonts w:ascii="仿宋_GB2312" w:hAnsi="仿宋_GB2312" w:cs="仿宋_GB2312" w:eastAsia="仿宋_GB2312"/>
                      <w:sz w:val="18"/>
                      <w:color w:val="000000"/>
                    </w:rPr>
                    <w:t>剖析石椁线刻艺术中</w:t>
                  </w:r>
                  <w:r>
                    <w:rPr>
                      <w:rFonts w:ascii="仿宋_GB2312" w:hAnsi="仿宋_GB2312" w:cs="仿宋_GB2312" w:eastAsia="仿宋_GB2312"/>
                      <w:sz w:val="18"/>
                      <w:color w:val="000000"/>
                    </w:rPr>
                    <w:t>“中西合璧”风格形成的时代背景；</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）唐代玉器制作技艺课程</w:t>
                  </w:r>
                  <w:r>
                    <w:rPr>
                      <w:rFonts w:ascii="仿宋_GB2312" w:hAnsi="仿宋_GB2312" w:cs="仿宋_GB2312" w:eastAsia="仿宋_GB2312"/>
                      <w:sz w:val="18"/>
                      <w:color w:val="000000"/>
                    </w:rPr>
                    <w:t>：</w:t>
                  </w:r>
                  <w:r>
                    <w:rPr>
                      <w:rFonts w:ascii="仿宋_GB2312" w:hAnsi="仿宋_GB2312" w:cs="仿宋_GB2312" w:eastAsia="仿宋_GB2312"/>
                      <w:sz w:val="18"/>
                      <w:color w:val="000000"/>
                    </w:rPr>
                    <w:t>追溯中国玉器发展历程，重点阐述唐代玉器在历史上的地位和特点，介绍唐代玉器兼具实用与礼仪功能的特性，以及唐代玉器与社会等级、贵族生活的关联；</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）唐代丝绸织造技艺课程</w:t>
                  </w:r>
                  <w:r>
                    <w:rPr>
                      <w:rFonts w:ascii="仿宋_GB2312" w:hAnsi="仿宋_GB2312" w:cs="仿宋_GB2312" w:eastAsia="仿宋_GB2312"/>
                      <w:sz w:val="18"/>
                      <w:color w:val="000000"/>
                    </w:rPr>
                    <w:t>：</w:t>
                  </w:r>
                  <w:r>
                    <w:rPr>
                      <w:rFonts w:ascii="仿宋_GB2312" w:hAnsi="仿宋_GB2312" w:cs="仿宋_GB2312" w:eastAsia="仿宋_GB2312"/>
                      <w:sz w:val="18"/>
                      <w:color w:val="000000"/>
                    </w:rPr>
                    <w:t>课程追溯中国丝绸起源，重点阐述唐代丝绸业的繁荣发展，包括官营与民营丝绸作坊的运作模式、丝绸贸易路线及对国内外经济文化交流的推动作用；</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）唐代金银器制作课程：课程梳理唐代金银器从初唐到晚唐的风格演变，分析不同时期金银器造型、纹饰、工艺特点与社会文化背景的关联。</w:t>
                  </w:r>
                </w:p>
              </w:tc>
            </w:tr>
            <w:tr>
              <w:tc>
                <w:tcPr>
                  <w:tcW w:type="dxa" w:w="1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2</w:t>
                  </w:r>
                </w:p>
              </w:tc>
              <w:tc>
                <w:tcPr>
                  <w:tcW w:type="dxa" w:w="4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color w:val="000000"/>
                    </w:rPr>
                    <w:t>动画素材</w:t>
                  </w:r>
                </w:p>
              </w:tc>
              <w:tc>
                <w:tcPr>
                  <w:tcW w:type="dxa" w:w="193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动画</w:t>
                  </w:r>
                  <w:r>
                    <w:rPr>
                      <w:rFonts w:ascii="仿宋_GB2312" w:hAnsi="仿宋_GB2312" w:cs="仿宋_GB2312" w:eastAsia="仿宋_GB2312"/>
                      <w:sz w:val="18"/>
                      <w:color w:val="000000"/>
                    </w:rPr>
                    <w:t>素材</w:t>
                  </w:r>
                  <w:r>
                    <w:rPr>
                      <w:rFonts w:ascii="仿宋_GB2312" w:hAnsi="仿宋_GB2312" w:cs="仿宋_GB2312" w:eastAsia="仿宋_GB2312"/>
                      <w:sz w:val="18"/>
                      <w:color w:val="000000"/>
                    </w:rPr>
                    <w:t>内容结合陕西历史博物馆文物资源，符合历史特色，遵循课程主题；</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动画流畅、表演设计合理，动画帧数不低于</w:t>
                  </w:r>
                  <w:r>
                    <w:rPr>
                      <w:rFonts w:ascii="仿宋_GB2312" w:hAnsi="仿宋_GB2312" w:cs="仿宋_GB2312" w:eastAsia="仿宋_GB2312"/>
                      <w:sz w:val="18"/>
                      <w:color w:val="000000"/>
                    </w:rPr>
                    <w:t>24</w:t>
                  </w:r>
                  <w:r>
                    <w:rPr>
                      <w:rFonts w:ascii="仿宋_GB2312" w:hAnsi="仿宋_GB2312" w:cs="仿宋_GB2312" w:eastAsia="仿宋_GB2312"/>
                      <w:sz w:val="18"/>
                      <w:color w:val="000000"/>
                    </w:rPr>
                    <w:t>帧</w:t>
                  </w:r>
                  <w:r>
                    <w:rPr>
                      <w:rFonts w:ascii="仿宋_GB2312" w:hAnsi="仿宋_GB2312" w:cs="仿宋_GB2312" w:eastAsia="仿宋_GB2312"/>
                      <w:sz w:val="18"/>
                      <w:color w:val="000000"/>
                    </w:rPr>
                    <w:t>/</w:t>
                  </w:r>
                  <w:r>
                    <w:rPr>
                      <w:rFonts w:ascii="仿宋_GB2312" w:hAnsi="仿宋_GB2312" w:cs="仿宋_GB2312" w:eastAsia="仿宋_GB2312"/>
                      <w:sz w:val="18"/>
                      <w:color w:val="000000"/>
                    </w:rPr>
                    <w:t>秒，分辨率不低于</w:t>
                  </w:r>
                  <w:r>
                    <w:rPr>
                      <w:rFonts w:ascii="仿宋_GB2312" w:hAnsi="仿宋_GB2312" w:cs="仿宋_GB2312" w:eastAsia="仿宋_GB2312"/>
                      <w:sz w:val="18"/>
                      <w:color w:val="000000"/>
                    </w:rPr>
                    <w:t>1920*1080</w:t>
                  </w:r>
                  <w:r>
                    <w:rPr>
                      <w:rFonts w:ascii="仿宋_GB2312" w:hAnsi="仿宋_GB2312" w:cs="仿宋_GB2312" w:eastAsia="仿宋_GB2312"/>
                      <w:sz w:val="18"/>
                      <w:color w:val="000000"/>
                    </w:rPr>
                    <w:t>，视频格式为</w:t>
                  </w:r>
                  <w:r>
                    <w:rPr>
                      <w:rFonts w:ascii="仿宋_GB2312" w:hAnsi="仿宋_GB2312" w:cs="仿宋_GB2312" w:eastAsia="仿宋_GB2312"/>
                      <w:sz w:val="18"/>
                      <w:color w:val="000000"/>
                    </w:rPr>
                    <w:t>MP4</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动画渲染输出要求画面无明显曝光及黑场，颜色搭配合理，添加合理的后期效果</w:t>
                  </w:r>
                  <w:r>
                    <w:rPr>
                      <w:rFonts w:ascii="仿宋_GB2312" w:hAnsi="仿宋_GB2312" w:cs="仿宋_GB2312" w:eastAsia="仿宋_GB2312"/>
                      <w:sz w:val="18"/>
                      <w:color w:val="000000"/>
                    </w:rPr>
                    <w:t>。</w:t>
                  </w:r>
                </w:p>
              </w:tc>
            </w:tr>
            <w:tr>
              <w:tc>
                <w:tcPr>
                  <w:tcW w:type="dxa" w:w="1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3</w:t>
                  </w:r>
                </w:p>
              </w:tc>
              <w:tc>
                <w:tcPr>
                  <w:tcW w:type="dxa" w:w="4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color w:val="000000"/>
                    </w:rPr>
                    <w:t>虚拟仿</w:t>
                  </w:r>
                </w:p>
                <w:p>
                  <w:pPr>
                    <w:pStyle w:val="null3"/>
                    <w:jc w:val="center"/>
                  </w:pPr>
                  <w:r>
                    <w:rPr>
                      <w:rFonts w:ascii="仿宋_GB2312" w:hAnsi="仿宋_GB2312" w:cs="仿宋_GB2312" w:eastAsia="仿宋_GB2312"/>
                      <w:sz w:val="18"/>
                      <w:color w:val="000000"/>
                    </w:rPr>
                    <w:t>真建模</w:t>
                  </w:r>
                </w:p>
              </w:tc>
              <w:tc>
                <w:tcPr>
                  <w:tcW w:type="dxa" w:w="193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模型</w:t>
                  </w:r>
                  <w:r>
                    <w:rPr>
                      <w:rFonts w:ascii="仿宋_GB2312" w:hAnsi="仿宋_GB2312" w:cs="仿宋_GB2312" w:eastAsia="仿宋_GB2312"/>
                      <w:sz w:val="18"/>
                      <w:color w:val="000000"/>
                    </w:rPr>
                    <w:t>UV</w:t>
                  </w:r>
                  <w:r>
                    <w:rPr>
                      <w:rFonts w:ascii="仿宋_GB2312" w:hAnsi="仿宋_GB2312" w:cs="仿宋_GB2312" w:eastAsia="仿宋_GB2312"/>
                      <w:sz w:val="18"/>
                      <w:color w:val="000000"/>
                    </w:rPr>
                    <w:t>分布</w:t>
                  </w:r>
                  <w:r>
                    <w:rPr>
                      <w:rFonts w:ascii="仿宋_GB2312" w:hAnsi="仿宋_GB2312" w:cs="仿宋_GB2312" w:eastAsia="仿宋_GB2312"/>
                      <w:sz w:val="18"/>
                      <w:color w:val="000000"/>
                    </w:rPr>
                    <w:t>/</w:t>
                  </w:r>
                  <w:r>
                    <w:rPr>
                      <w:rFonts w:ascii="仿宋_GB2312" w:hAnsi="仿宋_GB2312" w:cs="仿宋_GB2312" w:eastAsia="仿宋_GB2312"/>
                      <w:sz w:val="18"/>
                      <w:color w:val="000000"/>
                    </w:rPr>
                    <w:t>占用均匀、合理，</w:t>
                  </w:r>
                  <w:r>
                    <w:rPr>
                      <w:rFonts w:ascii="仿宋_GB2312" w:hAnsi="仿宋_GB2312" w:cs="仿宋_GB2312" w:eastAsia="仿宋_GB2312"/>
                      <w:sz w:val="18"/>
                      <w:color w:val="000000"/>
                    </w:rPr>
                    <w:t>UV</w:t>
                  </w:r>
                  <w:r>
                    <w:rPr>
                      <w:rFonts w:ascii="仿宋_GB2312" w:hAnsi="仿宋_GB2312" w:cs="仿宋_GB2312" w:eastAsia="仿宋_GB2312"/>
                      <w:sz w:val="18"/>
                      <w:color w:val="000000"/>
                    </w:rPr>
                    <w:t>接缝尽量放置在不可见的</w:t>
                  </w:r>
                  <w:r>
                    <w:rPr>
                      <w:rFonts w:ascii="仿宋_GB2312" w:hAnsi="仿宋_GB2312" w:cs="仿宋_GB2312" w:eastAsia="仿宋_GB2312"/>
                      <w:sz w:val="18"/>
                      <w:color w:val="000000"/>
                    </w:rPr>
                    <w:t>/</w:t>
                  </w:r>
                  <w:r>
                    <w:rPr>
                      <w:rFonts w:ascii="仿宋_GB2312" w:hAnsi="仿宋_GB2312" w:cs="仿宋_GB2312" w:eastAsia="仿宋_GB2312"/>
                      <w:sz w:val="18"/>
                      <w:color w:val="000000"/>
                    </w:rPr>
                    <w:t>隐藏部位；保证</w:t>
                  </w:r>
                  <w:r>
                    <w:rPr>
                      <w:rFonts w:ascii="仿宋_GB2312" w:hAnsi="仿宋_GB2312" w:cs="仿宋_GB2312" w:eastAsia="仿宋_GB2312"/>
                      <w:sz w:val="18"/>
                      <w:color w:val="000000"/>
                    </w:rPr>
                    <w:t>UV</w:t>
                  </w:r>
                  <w:r>
                    <w:rPr>
                      <w:rFonts w:ascii="仿宋_GB2312" w:hAnsi="仿宋_GB2312" w:cs="仿宋_GB2312" w:eastAsia="仿宋_GB2312"/>
                      <w:sz w:val="18"/>
                      <w:color w:val="000000"/>
                    </w:rPr>
                    <w:t>拉伸较小的情况下，尽量减少</w:t>
                  </w:r>
                  <w:r>
                    <w:rPr>
                      <w:rFonts w:ascii="仿宋_GB2312" w:hAnsi="仿宋_GB2312" w:cs="仿宋_GB2312" w:eastAsia="仿宋_GB2312"/>
                      <w:sz w:val="18"/>
                      <w:color w:val="000000"/>
                    </w:rPr>
                    <w:t>UV</w:t>
                  </w:r>
                  <w:r>
                    <w:rPr>
                      <w:rFonts w:ascii="仿宋_GB2312" w:hAnsi="仿宋_GB2312" w:cs="仿宋_GB2312" w:eastAsia="仿宋_GB2312"/>
                      <w:sz w:val="18"/>
                      <w:color w:val="000000"/>
                    </w:rPr>
                    <w:t>接缝；</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模型面数规范：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20000</w:t>
                  </w:r>
                  <w:r>
                    <w:rPr>
                      <w:rFonts w:ascii="仿宋_GB2312" w:hAnsi="仿宋_GB2312" w:cs="仿宋_GB2312" w:eastAsia="仿宋_GB2312"/>
                      <w:sz w:val="18"/>
                      <w:color w:val="000000"/>
                    </w:rPr>
                    <w:t>三角面；</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模型使用四边面或三角面，不可出现为连线的五星面或其他多边形点、线、面之间不要出现错乱、漏洞、误缝合、重叠等问题；</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合理分配资源，提高引擎效率。</w:t>
                  </w:r>
                </w:p>
              </w:tc>
            </w:tr>
            <w:tr>
              <w:tc>
                <w:tcPr>
                  <w:tcW w:type="dxa" w:w="1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4</w:t>
                  </w:r>
                </w:p>
              </w:tc>
              <w:tc>
                <w:tcPr>
                  <w:tcW w:type="dxa" w:w="4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color w:val="000000"/>
                    </w:rPr>
                    <w:t>贴图要求</w:t>
                  </w:r>
                </w:p>
              </w:tc>
              <w:tc>
                <w:tcPr>
                  <w:tcW w:type="dxa" w:w="193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）二维图片文件格式：</w:t>
                  </w:r>
                  <w:r>
                    <w:rPr>
                      <w:rFonts w:ascii="仿宋_GB2312" w:hAnsi="仿宋_GB2312" w:cs="仿宋_GB2312" w:eastAsia="仿宋_GB2312"/>
                      <w:sz w:val="18"/>
                      <w:color w:val="000000"/>
                    </w:rPr>
                    <w:t>.PNG .TGA .JPG .HDR</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）贴图文件大小：</w:t>
                  </w:r>
                  <w:r>
                    <w:rPr>
                      <w:rFonts w:ascii="仿宋_GB2312" w:hAnsi="仿宋_GB2312" w:cs="仿宋_GB2312" w:eastAsia="仿宋_GB2312"/>
                      <w:sz w:val="18"/>
                      <w:color w:val="000000"/>
                    </w:rPr>
                    <w:t>4096*4096</w:t>
                  </w:r>
                  <w:r>
                    <w:rPr>
                      <w:rFonts w:ascii="仿宋_GB2312" w:hAnsi="仿宋_GB2312" w:cs="仿宋_GB2312" w:eastAsia="仿宋_GB2312"/>
                      <w:sz w:val="18"/>
                      <w:color w:val="000000"/>
                    </w:rPr>
                    <w:t>≥贴图文件≥</w:t>
                  </w:r>
                  <w:r>
                    <w:rPr>
                      <w:rFonts w:ascii="仿宋_GB2312" w:hAnsi="仿宋_GB2312" w:cs="仿宋_GB2312" w:eastAsia="仿宋_GB2312"/>
                      <w:sz w:val="18"/>
                      <w:color w:val="000000"/>
                    </w:rPr>
                    <w:t>2048*2048</w:t>
                  </w:r>
                  <w:r>
                    <w:rPr>
                      <w:rFonts w:ascii="仿宋_GB2312" w:hAnsi="仿宋_GB2312" w:cs="仿宋_GB2312" w:eastAsia="仿宋_GB2312"/>
                      <w:sz w:val="18"/>
                      <w:color w:val="000000"/>
                    </w:rPr>
                    <w:t>。</w:t>
                  </w:r>
                </w:p>
              </w:tc>
            </w:tr>
            <w:tr>
              <w:tc>
                <w:tcPr>
                  <w:tcW w:type="dxa" w:w="1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b/>
                      <w:color w:val="000000"/>
                    </w:rPr>
                    <w:t>5</w:t>
                  </w:r>
                </w:p>
              </w:tc>
              <w:tc>
                <w:tcPr>
                  <w:tcW w:type="dxa" w:w="41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18"/>
                      <w:color w:val="000000"/>
                    </w:rPr>
                    <w:t>文物模型</w:t>
                  </w:r>
                </w:p>
              </w:tc>
              <w:tc>
                <w:tcPr>
                  <w:tcW w:type="dxa" w:w="193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）文物模型三维点云、贴图等数字文件均采用通用格式；</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）利用非接触式数据采集设备，采用三维数字建模技术，准确获取文物的三维信息、纹理信息、尺寸信息，建立真实的文物三维模型。三维扫描仪扫描分辨率≤</w:t>
                  </w:r>
                  <w:r>
                    <w:rPr>
                      <w:rFonts w:ascii="仿宋_GB2312" w:hAnsi="仿宋_GB2312" w:cs="仿宋_GB2312" w:eastAsia="仿宋_GB2312"/>
                      <w:sz w:val="18"/>
                      <w:color w:val="000000"/>
                    </w:rPr>
                    <w:t>0.01mm</w:t>
                  </w:r>
                  <w:r>
                    <w:rPr>
                      <w:rFonts w:ascii="仿宋_GB2312" w:hAnsi="仿宋_GB2312" w:cs="仿宋_GB2312" w:eastAsia="仿宋_GB2312"/>
                      <w:sz w:val="18"/>
                      <w:color w:val="000000"/>
                    </w:rPr>
                    <w:t>，采集设备精度≤</w:t>
                  </w:r>
                  <w:r>
                    <w:rPr>
                      <w:rFonts w:ascii="仿宋_GB2312" w:hAnsi="仿宋_GB2312" w:cs="仿宋_GB2312" w:eastAsia="仿宋_GB2312"/>
                      <w:sz w:val="18"/>
                      <w:color w:val="000000"/>
                    </w:rPr>
                    <w:t>0.01mm</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）文物模型空间数据完整率≥</w:t>
                  </w:r>
                  <w:r>
                    <w:rPr>
                      <w:rFonts w:ascii="仿宋_GB2312" w:hAnsi="仿宋_GB2312" w:cs="仿宋_GB2312" w:eastAsia="仿宋_GB2312"/>
                      <w:sz w:val="18"/>
                      <w:color w:val="000000"/>
                    </w:rPr>
                    <w:t>98%</w:t>
                  </w:r>
                  <w:r>
                    <w:rPr>
                      <w:rFonts w:ascii="仿宋_GB2312" w:hAnsi="仿宋_GB2312" w:cs="仿宋_GB2312" w:eastAsia="仿宋_GB2312"/>
                      <w:sz w:val="18"/>
                      <w:color w:val="000000"/>
                    </w:rPr>
                    <w:t>，对于少量无法获取的结构（即遮挡、孔洞），进行专业处理，保证三维数据的完整性及后期展示效果；单个文物数据拼接除噪后，文物本体外噪点≤</w:t>
                  </w:r>
                  <w:r>
                    <w:rPr>
                      <w:rFonts w:ascii="仿宋_GB2312" w:hAnsi="仿宋_GB2312" w:cs="仿宋_GB2312" w:eastAsia="仿宋_GB2312"/>
                      <w:sz w:val="18"/>
                      <w:color w:val="000000"/>
                    </w:rPr>
                    <w:t>5%</w:t>
                  </w:r>
                  <w:r>
                    <w:rPr>
                      <w:rFonts w:ascii="仿宋_GB2312" w:hAnsi="仿宋_GB2312" w:cs="仿宋_GB2312" w:eastAsia="仿宋_GB2312"/>
                      <w:sz w:val="18"/>
                      <w:color w:val="000000"/>
                    </w:rPr>
                    <w:t>，数据拼接后形态误差≤</w:t>
                  </w:r>
                  <w:r>
                    <w:rPr>
                      <w:rFonts w:ascii="仿宋_GB2312" w:hAnsi="仿宋_GB2312" w:cs="仿宋_GB2312" w:eastAsia="仿宋_GB2312"/>
                      <w:sz w:val="18"/>
                      <w:color w:val="000000"/>
                    </w:rPr>
                    <w:t>0.02mm+0.03mm/m</w:t>
                  </w:r>
                  <w:r>
                    <w:rPr>
                      <w:rFonts w:ascii="仿宋_GB2312" w:hAnsi="仿宋_GB2312" w:cs="仿宋_GB2312" w:eastAsia="仿宋_GB2312"/>
                      <w:sz w:val="18"/>
                      <w:color w:val="000000"/>
                    </w:rPr>
                    <w:t>。</w:t>
                  </w:r>
                </w:p>
              </w:tc>
            </w:tr>
          </w:tbl>
          <w:p>
            <w:pPr>
              <w:pStyle w:val="null3"/>
              <w:numPr>
                <w:ilvl w:val="0"/>
                <w:numId w:val="1"/>
              </w:numPr>
              <w:jc w:val="left"/>
            </w:pPr>
            <w:r>
              <w:rPr>
                <w:rFonts w:ascii="仿宋_GB2312" w:hAnsi="仿宋_GB2312" w:cs="仿宋_GB2312" w:eastAsia="仿宋_GB2312"/>
                <w:sz w:val="18"/>
                <w:color w:val="000000"/>
              </w:rPr>
              <w:t>课程宣传片拍摄剪辑制作：</w:t>
            </w:r>
          </w:p>
          <w:p>
            <w:pPr>
              <w:pStyle w:val="null3"/>
              <w:ind w:firstLine="360"/>
              <w:jc w:val="left"/>
            </w:pPr>
            <w:r>
              <w:rPr>
                <w:rFonts w:ascii="仿宋_GB2312" w:hAnsi="仿宋_GB2312" w:cs="仿宋_GB2312" w:eastAsia="仿宋_GB2312"/>
                <w:sz w:val="18"/>
                <w:color w:val="000000"/>
              </w:rPr>
              <w:t>为了更好的宣传</w:t>
            </w:r>
            <w:r>
              <w:rPr>
                <w:rFonts w:ascii="仿宋_GB2312" w:hAnsi="仿宋_GB2312" w:cs="仿宋_GB2312" w:eastAsia="仿宋_GB2312"/>
                <w:sz w:val="18"/>
                <w:color w:val="000000"/>
              </w:rPr>
              <w:t>“唐代技艺”系列虚拟仿真教育课程成果，针对项目开发内容拍摄制作宣传视频，视频流畅、表演设计合理，内容遵循宣传片主题；画面无明显曝光及黑场，合理安排镜头切换节奏，保证内容完整性；视频字幕要求清晰，准确无误，无错别字、无漏字现象，无错误读音；配音要求发音标准，语句连贯清晰，语速适中，语句富有感情；添加合理的后期效果，视频输出为常规视频格式（如：MP4、AVI），视频帧数不低于25帧/秒，总体分辨率不低于1920*1080。</w:t>
            </w:r>
          </w:p>
          <w:p>
            <w:pPr>
              <w:pStyle w:val="null3"/>
              <w:numPr>
                <w:ilvl w:val="0"/>
                <w:numId w:val="1"/>
              </w:numPr>
              <w:jc w:val="left"/>
            </w:pPr>
            <w:r>
              <w:rPr>
                <w:rFonts w:ascii="仿宋_GB2312" w:hAnsi="仿宋_GB2312" w:cs="仿宋_GB2312" w:eastAsia="仿宋_GB2312"/>
                <w:sz w:val="18"/>
                <w:color w:val="000000"/>
              </w:rPr>
              <w:t>课程配套材料包设计制作：</w:t>
            </w:r>
          </w:p>
          <w:p>
            <w:pPr>
              <w:pStyle w:val="null3"/>
              <w:ind w:firstLine="360"/>
              <w:jc w:val="left"/>
            </w:pPr>
            <w:r>
              <w:rPr>
                <w:rFonts w:ascii="仿宋_GB2312" w:hAnsi="仿宋_GB2312" w:cs="仿宋_GB2312" w:eastAsia="仿宋_GB2312"/>
                <w:sz w:val="18"/>
                <w:color w:val="000000"/>
              </w:rPr>
              <w:t>配套武惠妃石椁、玉器、金银器、丝绸四节虚拟仿真教育课程，设计制作课程配套材料包各</w:t>
            </w:r>
            <w:r>
              <w:rPr>
                <w:rFonts w:ascii="仿宋_GB2312" w:hAnsi="仿宋_GB2312" w:cs="仿宋_GB2312" w:eastAsia="仿宋_GB2312"/>
                <w:sz w:val="18"/>
                <w:color w:val="000000"/>
              </w:rPr>
              <w:t>100套，设计基于课程相关文化、技艺、器具等内容，应兼具教育性与趣味性，通过实物教具或手工材料的形式辅助教学。</w:t>
            </w:r>
          </w:p>
          <w:p>
            <w:pPr>
              <w:pStyle w:val="null3"/>
              <w:numPr>
                <w:ilvl w:val="0"/>
                <w:numId w:val="1"/>
              </w:numPr>
              <w:jc w:val="left"/>
            </w:pPr>
            <w:r>
              <w:rPr>
                <w:rFonts w:ascii="仿宋_GB2312" w:hAnsi="仿宋_GB2312" w:cs="仿宋_GB2312" w:eastAsia="仿宋_GB2312"/>
                <w:sz w:val="18"/>
                <w:color w:val="000000"/>
              </w:rPr>
              <w:t>课程作业单设计制作：</w:t>
            </w:r>
          </w:p>
          <w:p>
            <w:pPr>
              <w:pStyle w:val="null3"/>
              <w:ind w:firstLine="360"/>
              <w:jc w:val="left"/>
            </w:pPr>
            <w:r>
              <w:rPr>
                <w:rFonts w:ascii="仿宋_GB2312" w:hAnsi="仿宋_GB2312" w:cs="仿宋_GB2312" w:eastAsia="仿宋_GB2312"/>
                <w:sz w:val="18"/>
                <w:color w:val="000000"/>
              </w:rPr>
              <w:t>配套武惠妃石椁、玉器、金银器、丝绸四节虚拟仿真教育课程，设计制作课程作业单，课程作业单通过图文结合的方式，利用丰富多彩的图画与富有趣味的文字内容，通过各种题目形式，利用浅显易懂的方式帮助孩子们学习课程内容。作业单图片格式为</w:t>
            </w:r>
            <w:r>
              <w:rPr>
                <w:rFonts w:ascii="仿宋_GB2312" w:hAnsi="仿宋_GB2312" w:cs="仿宋_GB2312" w:eastAsia="仿宋_GB2312"/>
                <w:sz w:val="18"/>
                <w:color w:val="000000"/>
              </w:rPr>
              <w:t>png或jpg格式，分辨率不低于1920*1080，300dpi。</w:t>
            </w:r>
          </w:p>
          <w:p>
            <w:pPr>
              <w:pStyle w:val="null3"/>
              <w:numPr>
                <w:ilvl w:val="0"/>
                <w:numId w:val="1"/>
              </w:numPr>
              <w:jc w:val="left"/>
            </w:pPr>
            <w:r>
              <w:rPr>
                <w:rFonts w:ascii="仿宋_GB2312" w:hAnsi="仿宋_GB2312" w:cs="仿宋_GB2312" w:eastAsia="仿宋_GB2312"/>
                <w:sz w:val="18"/>
                <w:color w:val="000000"/>
              </w:rPr>
              <w:t>配套硬件设备：</w:t>
            </w:r>
          </w:p>
          <w:tbl>
            <w:tblPr>
              <w:tblInd w:type="dxa" w:w="120"/>
              <w:tblBorders>
                <w:top w:val="none" w:color="000000" w:sz="4"/>
                <w:left w:val="none" w:color="000000" w:sz="4"/>
                <w:bottom w:val="none" w:color="000000" w:sz="4"/>
                <w:right w:val="none" w:color="000000" w:sz="4"/>
                <w:insideH w:val="none"/>
                <w:insideV w:val="none"/>
              </w:tblBorders>
            </w:tblPr>
            <w:tblGrid>
              <w:gridCol w:w="681"/>
              <w:gridCol w:w="1539"/>
              <w:gridCol w:w="332"/>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便携式计算机</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显示屏</w:t>
                  </w:r>
                  <w:r>
                    <w:rPr>
                      <w:rFonts w:ascii="仿宋_GB2312" w:hAnsi="仿宋_GB2312" w:cs="仿宋_GB2312" w:eastAsia="仿宋_GB2312"/>
                      <w:sz w:val="18"/>
                      <w:color w:val="000000"/>
                    </w:rPr>
                    <w:t>≥16英寸</w:t>
                  </w:r>
                </w:p>
                <w:p>
                  <w:pPr>
                    <w:pStyle w:val="null3"/>
                    <w:jc w:val="left"/>
                  </w:pPr>
                  <w:r>
                    <w:rPr>
                      <w:rFonts w:ascii="仿宋_GB2312" w:hAnsi="仿宋_GB2312" w:cs="仿宋_GB2312" w:eastAsia="仿宋_GB2312"/>
                      <w:sz w:val="18"/>
                      <w:color w:val="000000"/>
                    </w:rPr>
                    <w:t>CPU主频≥3.8GHz</w:t>
                  </w:r>
                </w:p>
                <w:p>
                  <w:pPr>
                    <w:pStyle w:val="null3"/>
                    <w:jc w:val="left"/>
                  </w:pPr>
                  <w:r>
                    <w:rPr>
                      <w:rFonts w:ascii="仿宋_GB2312" w:hAnsi="仿宋_GB2312" w:cs="仿宋_GB2312" w:eastAsia="仿宋_GB2312"/>
                      <w:sz w:val="18"/>
                      <w:color w:val="000000"/>
                    </w:rPr>
                    <w:t>最高睿频</w:t>
                  </w:r>
                  <w:r>
                    <w:rPr>
                      <w:rFonts w:ascii="仿宋_GB2312" w:hAnsi="仿宋_GB2312" w:cs="仿宋_GB2312" w:eastAsia="仿宋_GB2312"/>
                      <w:sz w:val="18"/>
                      <w:color w:val="000000"/>
                    </w:rPr>
                    <w:t>≥4.9GHz</w:t>
                  </w:r>
                </w:p>
                <w:p>
                  <w:pPr>
                    <w:pStyle w:val="null3"/>
                    <w:jc w:val="left"/>
                  </w:pPr>
                  <w:r>
                    <w:rPr>
                      <w:rFonts w:ascii="仿宋_GB2312" w:hAnsi="仿宋_GB2312" w:cs="仿宋_GB2312" w:eastAsia="仿宋_GB2312"/>
                      <w:sz w:val="18"/>
                      <w:color w:val="000000"/>
                    </w:rPr>
                    <w:t>核心数量</w:t>
                  </w:r>
                  <w:r>
                    <w:rPr>
                      <w:rFonts w:ascii="仿宋_GB2312" w:hAnsi="仿宋_GB2312" w:cs="仿宋_GB2312" w:eastAsia="仿宋_GB2312"/>
                      <w:sz w:val="18"/>
                      <w:color w:val="000000"/>
                    </w:rPr>
                    <w:t>≥八核心</w:t>
                  </w:r>
                </w:p>
                <w:p>
                  <w:pPr>
                    <w:pStyle w:val="null3"/>
                    <w:jc w:val="left"/>
                  </w:pPr>
                  <w:r>
                    <w:rPr>
                      <w:rFonts w:ascii="仿宋_GB2312" w:hAnsi="仿宋_GB2312" w:cs="仿宋_GB2312" w:eastAsia="仿宋_GB2312"/>
                      <w:sz w:val="18"/>
                      <w:color w:val="000000"/>
                    </w:rPr>
                    <w:t>线程数</w:t>
                  </w:r>
                  <w:r>
                    <w:rPr>
                      <w:rFonts w:ascii="仿宋_GB2312" w:hAnsi="仿宋_GB2312" w:cs="仿宋_GB2312" w:eastAsia="仿宋_GB2312"/>
                      <w:sz w:val="18"/>
                      <w:color w:val="000000"/>
                    </w:rPr>
                    <w:t>≥十六线程</w:t>
                  </w:r>
                </w:p>
                <w:p>
                  <w:pPr>
                    <w:pStyle w:val="null3"/>
                    <w:jc w:val="left"/>
                  </w:pPr>
                  <w:r>
                    <w:rPr>
                      <w:rFonts w:ascii="仿宋_GB2312" w:hAnsi="仿宋_GB2312" w:cs="仿宋_GB2312" w:eastAsia="仿宋_GB2312"/>
                      <w:sz w:val="18"/>
                      <w:color w:val="000000"/>
                    </w:rPr>
                    <w:t>显卡</w:t>
                  </w:r>
                  <w:r>
                    <w:rPr>
                      <w:rFonts w:ascii="仿宋_GB2312" w:hAnsi="仿宋_GB2312" w:cs="仿宋_GB2312" w:eastAsia="仿宋_GB2312"/>
                      <w:sz w:val="18"/>
                      <w:color w:val="000000"/>
                    </w:rPr>
                    <w:t>≥RTX4050 6G等效性能</w:t>
                  </w:r>
                </w:p>
                <w:p>
                  <w:pPr>
                    <w:pStyle w:val="null3"/>
                    <w:jc w:val="left"/>
                  </w:pPr>
                  <w:r>
                    <w:rPr>
                      <w:rFonts w:ascii="仿宋_GB2312" w:hAnsi="仿宋_GB2312" w:cs="仿宋_GB2312" w:eastAsia="仿宋_GB2312"/>
                      <w:sz w:val="18"/>
                      <w:color w:val="000000"/>
                    </w:rPr>
                    <w:t>SSD≥512G</w:t>
                  </w:r>
                </w:p>
                <w:p>
                  <w:pPr>
                    <w:pStyle w:val="null3"/>
                    <w:jc w:val="left"/>
                  </w:pPr>
                  <w:r>
                    <w:rPr>
                      <w:rFonts w:ascii="仿宋_GB2312" w:hAnsi="仿宋_GB2312" w:cs="仿宋_GB2312" w:eastAsia="仿宋_GB2312"/>
                      <w:sz w:val="18"/>
                      <w:color w:val="000000"/>
                    </w:rPr>
                    <w:t>RAM≥16GB</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耳机</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类型：头戴式</w:t>
                  </w:r>
                </w:p>
                <w:p>
                  <w:pPr>
                    <w:pStyle w:val="null3"/>
                    <w:jc w:val="left"/>
                  </w:pPr>
                  <w:r>
                    <w:rPr>
                      <w:rFonts w:ascii="仿宋_GB2312" w:hAnsi="仿宋_GB2312" w:cs="仿宋_GB2312" w:eastAsia="仿宋_GB2312"/>
                      <w:sz w:val="18"/>
                      <w:color w:val="000000"/>
                    </w:rPr>
                    <w:t>灵敏度不低于</w:t>
                  </w:r>
                  <w:r>
                    <w:rPr>
                      <w:rFonts w:ascii="仿宋_GB2312" w:hAnsi="仿宋_GB2312" w:cs="仿宋_GB2312" w:eastAsia="仿宋_GB2312"/>
                      <w:sz w:val="18"/>
                      <w:color w:val="000000"/>
                    </w:rPr>
                    <w:t>20DB</w:t>
                  </w:r>
                </w:p>
                <w:p>
                  <w:pPr>
                    <w:pStyle w:val="null3"/>
                    <w:jc w:val="left"/>
                  </w:pPr>
                  <w:r>
                    <w:rPr>
                      <w:rFonts w:ascii="仿宋_GB2312" w:hAnsi="仿宋_GB2312" w:cs="仿宋_GB2312" w:eastAsia="仿宋_GB2312"/>
                      <w:sz w:val="18"/>
                      <w:color w:val="000000"/>
                    </w:rPr>
                    <w:t>通话功能：是</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鼠标</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颜色：黑蓝色</w:t>
                  </w:r>
                </w:p>
                <w:p>
                  <w:pPr>
                    <w:pStyle w:val="null3"/>
                    <w:jc w:val="left"/>
                  </w:pPr>
                  <w:r>
                    <w:rPr>
                      <w:rFonts w:ascii="仿宋_GB2312" w:hAnsi="仿宋_GB2312" w:cs="仿宋_GB2312" w:eastAsia="仿宋_GB2312"/>
                      <w:sz w:val="18"/>
                      <w:color w:val="000000"/>
                    </w:rPr>
                    <w:t>接口类型：</w:t>
                  </w:r>
                  <w:r>
                    <w:rPr>
                      <w:rFonts w:ascii="仿宋_GB2312" w:hAnsi="仿宋_GB2312" w:cs="仿宋_GB2312" w:eastAsia="仿宋_GB2312"/>
                      <w:sz w:val="18"/>
                      <w:color w:val="000000"/>
                    </w:rPr>
                    <w:t>USB2.0及以上</w:t>
                  </w:r>
                </w:p>
                <w:p>
                  <w:pPr>
                    <w:pStyle w:val="null3"/>
                    <w:jc w:val="left"/>
                  </w:pPr>
                  <w:r>
                    <w:rPr>
                      <w:rFonts w:ascii="仿宋_GB2312" w:hAnsi="仿宋_GB2312" w:cs="仿宋_GB2312" w:eastAsia="仿宋_GB2312"/>
                      <w:sz w:val="18"/>
                      <w:color w:val="000000"/>
                    </w:rPr>
                    <w:t>支持操作系统：</w:t>
                  </w:r>
                  <w:r>
                    <w:rPr>
                      <w:rFonts w:ascii="仿宋_GB2312" w:hAnsi="仿宋_GB2312" w:cs="仿宋_GB2312" w:eastAsia="仿宋_GB2312"/>
                      <w:sz w:val="18"/>
                      <w:color w:val="000000"/>
                    </w:rPr>
                    <w:t>Windows</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bl>
          <w:p>
            <w:pPr>
              <w:pStyle w:val="null3"/>
              <w:jc w:val="left"/>
            </w:pPr>
            <w:r>
              <w:rPr>
                <w:rFonts w:ascii="仿宋_GB2312" w:hAnsi="仿宋_GB2312" w:cs="仿宋_GB2312" w:eastAsia="仿宋_GB2312"/>
                <w:sz w:val="18"/>
                <w:b/>
                <w:color w:val="000000"/>
              </w:rPr>
              <w:t>商</w:t>
            </w:r>
            <w:r>
              <w:rPr>
                <w:rFonts w:ascii="仿宋_GB2312" w:hAnsi="仿宋_GB2312" w:cs="仿宋_GB2312" w:eastAsia="仿宋_GB2312"/>
                <w:sz w:val="18"/>
                <w:b/>
                <w:color w:val="000000"/>
              </w:rPr>
              <w:t>务要求：</w:t>
            </w:r>
          </w:p>
          <w:p>
            <w:pPr>
              <w:pStyle w:val="null3"/>
              <w:jc w:val="left"/>
            </w:pPr>
            <w:r>
              <w:rPr>
                <w:rFonts w:ascii="仿宋_GB2312" w:hAnsi="仿宋_GB2312" w:cs="仿宋_GB2312" w:eastAsia="仿宋_GB2312"/>
                <w:sz w:val="18"/>
                <w:color w:val="000000"/>
              </w:rPr>
              <w:t>1.服务期限：自合同签订之日起365个日历日内完成全部合同内容。</w:t>
            </w:r>
          </w:p>
          <w:p>
            <w:pPr>
              <w:pStyle w:val="null3"/>
              <w:jc w:val="left"/>
            </w:pPr>
            <w:r>
              <w:rPr>
                <w:rFonts w:ascii="仿宋_GB2312" w:hAnsi="仿宋_GB2312" w:cs="仿宋_GB2312" w:eastAsia="仿宋_GB2312"/>
                <w:sz w:val="18"/>
                <w:color w:val="000000"/>
              </w:rPr>
              <w:t>2.本合同签订后，甲方预付乙方合同价的70%作为预付款，项目内容全部完成并通过验收后，支付合同总金额的30%。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 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自合同签订之日起365个日历日内完成全部合同内容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陕西历史博物馆指定地点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按国家及行业现行的标准和技术规范、磋商文件要求验收。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 元及以上的为小型企业；从业人员10人以下或营业收入50万元以下的为微型企业。 2.本项目专门面向中小企业采购（残疾人福利性单位、监狱企业视同小型、微型企业）。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5.法定代表人身份证明书及法定代表人授权书.docx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2.磋商一览表.docx 报价表 5.法定代表人身份证明书及法定代表人授权书.docx 8.供应商应当提供便携式计算机国家确定的认证机构出具的、处于有效期之内的节能产品认证证书；.docx 3.商务条款偏离表.docx 残疾人福利性单位声明函 7.其他资料.docx 标的清单 响应函 1.供应商应提交的相关资格证明材料.docx 监狱企业的证明文件 4.技术条款偏离表.docx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报价唯一，且没有高于采购预算或磋商文件规 定的最高限价。</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3.商务条款偏离表.docx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本项目采购的便携式计算机产品属于节能产品政府采购品目清单中应强制采购的产品范围</w:t>
            </w:r>
          </w:p>
        </w:tc>
        <w:tc>
          <w:tcPr>
            <w:tcW w:type="dxa" w:w="3322"/>
          </w:tcPr>
          <w:p>
            <w:pPr>
              <w:pStyle w:val="null3"/>
            </w:pPr>
            <w:r>
              <w:rPr>
                <w:rFonts w:ascii="仿宋_GB2312" w:hAnsi="仿宋_GB2312" w:cs="仿宋_GB2312" w:eastAsia="仿宋_GB2312"/>
              </w:rPr>
              <w:t>供应商应当提供国家确定的认证机构出具的、处于有效期之内的节能产品认证证书</w:t>
            </w:r>
          </w:p>
        </w:tc>
        <w:tc>
          <w:tcPr>
            <w:tcW w:type="dxa" w:w="1661"/>
          </w:tcPr>
          <w:p>
            <w:pPr>
              <w:pStyle w:val="null3"/>
            </w:pPr>
            <w:r>
              <w:rPr>
                <w:rFonts w:ascii="仿宋_GB2312" w:hAnsi="仿宋_GB2312" w:cs="仿宋_GB2312" w:eastAsia="仿宋_GB2312"/>
              </w:rPr>
              <w:t>8.供应商应当提供便携式计算机国家确定的认证机构出具的、处于有效期之内的节能产品认证证书；.docx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对本项目任务的理解与认识</w:t>
            </w:r>
          </w:p>
        </w:tc>
        <w:tc>
          <w:tcPr>
            <w:tcW w:type="dxa" w:w="2492"/>
          </w:tcPr>
          <w:p>
            <w:pPr>
              <w:pStyle w:val="null3"/>
            </w:pPr>
            <w:r>
              <w:rPr>
                <w:rFonts w:ascii="仿宋_GB2312" w:hAnsi="仿宋_GB2312" w:cs="仿宋_GB2312" w:eastAsia="仿宋_GB2312"/>
              </w:rPr>
              <w:t>对供应商针对本项目任务的理解与认识进行评审（5分）； 评审标准： （1）内容专门针对本项目编制，符合本项目实际情况及实施要求，内容详尽、方案涵盖角度全面，合理性和可行性强，能够保障项目顺利实施的，得5分； （2）内容专门针对本项目编制，符合本项目实际情况及实施要求，内容详细，方案涵盖角度基本全面，有一定的合理性和可行性的，得4分； （3）内容专门针对本项目编制，基本符合本项目实际情况及实施要求，内容较详细，方案涵盖角度较全面，基本合理可行的，得3分； （4）内容专门针对本项目编制，基本符合本项目实际情况及实施要求，但涵盖角度不全面且实施有难度的，得2分；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对本项目重点难点分析及应对措施</w:t>
            </w:r>
          </w:p>
        </w:tc>
        <w:tc>
          <w:tcPr>
            <w:tcW w:type="dxa" w:w="2492"/>
          </w:tcPr>
          <w:p>
            <w:pPr>
              <w:pStyle w:val="null3"/>
            </w:pPr>
            <w:r>
              <w:rPr>
                <w:rFonts w:ascii="仿宋_GB2312" w:hAnsi="仿宋_GB2312" w:cs="仿宋_GB2312" w:eastAsia="仿宋_GB2312"/>
              </w:rPr>
              <w:t>对供应商针对本项目重点难点分析及应对措施进行评审（5分）； 评审标准： （1）内容专门针对本项目编制，符合本项目实际情况及实施要求，内容详尽、方案涵盖角度全面，合理性和可行性强，能够保障项目顺利实施的，得5分； （2）内容专门针对本项目编制，符合本项目实际情况及实施要求，内容详细，方案涵盖角度基本全面，有一定的合理性和可行性的，得4分； （3）内容专门针对本项目编制，基本符合本项目实际情况及实施要求，内容较详细，方案涵盖角度较全面，基本合理可行的，得3分； （4）内容专门针对本项目编制，基本符合本项目实际情况及实施要求，但涵盖角度不全面且实施有难度的，得2分；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虚拟仿真博物馆教育 平台升级方案</w:t>
            </w:r>
          </w:p>
        </w:tc>
        <w:tc>
          <w:tcPr>
            <w:tcW w:type="dxa" w:w="2492"/>
          </w:tcPr>
          <w:p>
            <w:pPr>
              <w:pStyle w:val="null3"/>
            </w:pPr>
            <w:r>
              <w:rPr>
                <w:rFonts w:ascii="仿宋_GB2312" w:hAnsi="仿宋_GB2312" w:cs="仿宋_GB2312" w:eastAsia="仿宋_GB2312"/>
              </w:rPr>
              <w:t>针对本项目提供虚拟仿真博物馆教育平台升级方案，方案内容包括： ①对供应商针对虚拟仿真博物馆教育平台功能的增加方案进行评审；（4分） ②对供应商针对虚拟仿真博物馆教育平台性能的优化方案进行评审；（4分） ③对供应商针对虚拟仿真博物馆教育平台虚拟仿真课程整合方案进行评审。（4分） 评审标准： （1）方案内容专门针对本项目编制，符合本项目实际情况及实施要求，方案详尽、方案涵盖角度全面，合理性和可行性强，能够保障项目顺利实施的，得4分； （2）方案内容专门针对本项目编制，基本符合本项目实际情况及实施要求，方案较详细，方案涵盖角度较全面，基本合理可行的，得3分； （3）方案内容专门针对本项目编制，基本符合本项目实际情况及实施要求，但方案涵盖角度不全面且实施有难度的，得2分； （4）供应商提供了方案，但内容简单笼统，且实施难度大的，得1分； （5）未响应不得分.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虚拟仿真课程开发方案</w:t>
            </w:r>
          </w:p>
        </w:tc>
        <w:tc>
          <w:tcPr>
            <w:tcW w:type="dxa" w:w="2492"/>
          </w:tcPr>
          <w:p>
            <w:pPr>
              <w:pStyle w:val="null3"/>
            </w:pPr>
            <w:r>
              <w:rPr>
                <w:rFonts w:ascii="仿宋_GB2312" w:hAnsi="仿宋_GB2312" w:cs="仿宋_GB2312" w:eastAsia="仿宋_GB2312"/>
              </w:rPr>
              <w:t>针对本项目提供虚拟仿真课程开发方案，方案内容包括： ①对供应商针对虚拟仿真课程开发理念进行评审（3分）； ②对供应商针对虚拟仿真课程开发方案进行评审（3分）； ③对供应商针对虚拟仿真课程内容设计进行评审（3分）； ④对供应商针对虚拟仿真课程动画素材制作方案进行评审（3分）； ⑤对供应商针对文物模型建模方案进行评审（3分）； 评审标准： （1）方案内容专门针对本项目编制，符合本项目实际情况及实施要求，方案详尽、方案涵盖角度全面，合理性和可行性强，能够保障项目顺利实施的，得3分； （2）方案内容专门针对本项目编制，基本符合本项目实际情况及实施要求，方案较详细，方案涵盖角度较全面，基本合理可行的，得2分； （3）供应商提供了方案，但内容简单笼统，且实施难度大的，得1分； （4）未响应不得分.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虚拟仿真课程宣传片拍摄剪辑制作方案</w:t>
            </w:r>
          </w:p>
        </w:tc>
        <w:tc>
          <w:tcPr>
            <w:tcW w:type="dxa" w:w="2492"/>
          </w:tcPr>
          <w:p>
            <w:pPr>
              <w:pStyle w:val="null3"/>
            </w:pPr>
            <w:r>
              <w:rPr>
                <w:rFonts w:ascii="仿宋_GB2312" w:hAnsi="仿宋_GB2312" w:cs="仿宋_GB2312" w:eastAsia="仿宋_GB2312"/>
              </w:rPr>
              <w:t>针对本项目提供课程宣传片拍摄剪辑制作方案，方案内容包括： ①对供应商针对虚拟仿真课程宣传片拍摄方案进行评审（3分）； ②对供应商针对虚拟仿真课程宣传片剪辑制作方案进行评审（3分）； 评审标准： （1）方案内容专门针对本项目编制，符合本项目实际情况及实施要求，方案详尽、方案涵盖角度全面，合理性和可行性强，能够保障项目顺利实施的，得3分； （2）方案内容专门针对本项目编制，基本符合本项目实际情况及实施要求，方案较详细，方案涵盖角度较全面，基本合理可行的，得2分； （3）供应商提供了方案，但内容简单笼统，且实施难度大的，得1分； （4）未响应不得分.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虚拟仿真课程配套材料包设计制作方案</w:t>
            </w:r>
          </w:p>
        </w:tc>
        <w:tc>
          <w:tcPr>
            <w:tcW w:type="dxa" w:w="2492"/>
          </w:tcPr>
          <w:p>
            <w:pPr>
              <w:pStyle w:val="null3"/>
            </w:pPr>
            <w:r>
              <w:rPr>
                <w:rFonts w:ascii="仿宋_GB2312" w:hAnsi="仿宋_GB2312" w:cs="仿宋_GB2312" w:eastAsia="仿宋_GB2312"/>
              </w:rPr>
              <w:t>针对本项目提供课程配套材料包设计制作方案，方案内容包括： ①对供应商针对虚拟仿真课程配套材料包设计理念进行评审（3分）； ②对供应商针对虚拟仿真课程配套材料包设计方案进行评审（3分）； 评审标准： （1）方案内容专门针对本项目编制，符合本项目实际情况及实施要求，方案详尽、方案涵盖角度全面，合理性和可行性强，能够保障项目顺利实施的，得3分； （2）方案内容专门针对本项目编制，基本符合本项目实际情况及实施要求，方案较详细，方案涵盖角度较全面，基本合理可行的，得2分； （3）供应商提供了方案，但内容简单笼统，且实施难度大的，得1分； （4）未响应不得分.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虚拟仿真课程作业单设计制作方案</w:t>
            </w:r>
          </w:p>
        </w:tc>
        <w:tc>
          <w:tcPr>
            <w:tcW w:type="dxa" w:w="2492"/>
          </w:tcPr>
          <w:p>
            <w:pPr>
              <w:pStyle w:val="null3"/>
            </w:pPr>
            <w:r>
              <w:rPr>
                <w:rFonts w:ascii="仿宋_GB2312" w:hAnsi="仿宋_GB2312" w:cs="仿宋_GB2312" w:eastAsia="仿宋_GB2312"/>
              </w:rPr>
              <w:t>针对本项目提供课程作业单设计制作方案，方案内容包括： ①针对本项目虚拟仿真作业单设计理念进行评审（3分）； ②针对本项目虚拟仿真作业单设计制作方案进行评审（3分）； 评审标准： （1）方案内容专门针对本项目编制，符合本项目实际情况及实施要求，方案详尽、方案涵盖角度全面，合理性和可行性强，能够保障项目顺利实施的，得3分； （2）方案内容专门针对本项目编制，基本符合本项目实际情况及实施要求，方案较详细，方案涵盖角度较全面，基本合理可行的，得2分； （3）供应商提供了方案，但内容简单笼统，且实施难度大的，得1分； （4）未响应不得分.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配套硬件设备技术参数响应</w:t>
            </w:r>
          </w:p>
        </w:tc>
        <w:tc>
          <w:tcPr>
            <w:tcW w:type="dxa" w:w="2492"/>
          </w:tcPr>
          <w:p>
            <w:pPr>
              <w:pStyle w:val="null3"/>
            </w:pPr>
            <w:r>
              <w:rPr>
                <w:rFonts w:ascii="仿宋_GB2312" w:hAnsi="仿宋_GB2312" w:cs="仿宋_GB2312" w:eastAsia="仿宋_GB2312"/>
              </w:rPr>
              <w:t>所投产品技术参数清楚、明确，并能完全满足磋商文件中所有参数条款要求，得5分，单个产品参数每负偏离一项扣0.5分，扣完为止。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4.技术条款偏离表.docx</w:t>
            </w:r>
          </w:p>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针对本项目提供进度保障措施，措施内容包括： ①对供应商针对本项目提供的服务进度计划及保证措施进行评审（3分）； ②对供应商针对本项目提供的时间节点、交付安排进行评审（3分） 评审标准： （1）内容专门针对本项目编制，符合本项目实际情况及实施要求，方案详尽、方案涵盖角度全面，合理性和可行性强，能够保障项目顺利实施的，得3分； （2）内容专门针对本项目编制，基本符合本项目实际情况及实施要求，方案较详细，方案涵盖角度较全面，基本合理可行的，得2分； （3）供应商提供了措施，但内容简单笼统，且实施难度大的，得1分； （4）未响应不得分.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针对本项目提供质量保障措施，措施内容包括： ①对供应商针对本项目提供的服务质量保证体系及质量保证措施进行评审（3分）； ②对供应商针对本项目提供的服务人员与采购人工作配合的保障措施进行评审（3分）； ③对供应商针对本项目提供的定期回访措施及沟通机制进行评审（3分）； 评审标准： （1）内容专门针对本项目编制，符合本项目实际情况及实施要求，方案详尽、方案涵盖角度全面，合理性和可行性强，能够保障项目顺利实施的，得3分； （2）内容专门针对本项目编制，基本符合本项目实际情况及实施要求，方案较详细，方案涵盖角度较全面，基本合理可行的，得2分； （3）供应商提供了措施，但内容简单笼统，且实施难度大的，得1分； （4）未响应不得分.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针对本项目提供团队人员配备方案，方案内容包括： ①对供应商针对本项目提供的团队组织架构进行评审（3分）； ②对供应商针对本项目提供的岗位设置及工作分工、工作经验进行评审（3分）； ③对供应商针对本项目提供的岗位责任制度进行评审（3分）； 评审标准： （1）方案内容专门针对本项目编制，符合本项目实际情况及实施要求，方案详尽、方案涵盖角度全面，合理性和可行性强，能够保障项目顺利实施的，得3分； （2）方案内容专门针对本项目编制，基本符合本项目实际情况及实施要求，方案较详细，方案涵盖角度较全面，基本合理可行的，得2分； （3）供应商提供了方案，但内容简单笼统，且实施难度大的，得1分； （4）未响应不得分.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供应商近三年（2022年9月1日至今）承接过类似项目业绩：每提供一个业绩合同或中标/成交通知书得2分，满分6分。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价格分统一采用低价优先法计算，即满足磋商文件要求且最终报价最低的为评标基准价，其价格分为满分。其他供应商的价格分统一按照下列公式计算： 报价得分=（评审基准价/投标报价）×10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详见附件：4.技术条款偏离表.docx</w:t>
      </w:r>
    </w:p>
    <w:p>
      <w:pPr>
        <w:pStyle w:val="null3"/>
        <w:ind w:firstLine="960"/>
      </w:pPr>
      <w:r>
        <w:rPr>
          <w:rFonts w:ascii="仿宋_GB2312" w:hAnsi="仿宋_GB2312" w:cs="仿宋_GB2312" w:eastAsia="仿宋_GB2312"/>
        </w:rPr>
        <w:t>详见附件：5.法定代表人身份证明书及法定代表人授权书.docx</w:t>
      </w:r>
    </w:p>
    <w:p>
      <w:pPr>
        <w:pStyle w:val="null3"/>
        <w:ind w:firstLine="960"/>
      </w:pPr>
      <w:r>
        <w:rPr>
          <w:rFonts w:ascii="仿宋_GB2312" w:hAnsi="仿宋_GB2312" w:cs="仿宋_GB2312" w:eastAsia="仿宋_GB2312"/>
        </w:rPr>
        <w:t>详见附件：6.技术方案.docx</w:t>
      </w:r>
    </w:p>
    <w:p>
      <w:pPr>
        <w:pStyle w:val="null3"/>
        <w:ind w:firstLine="960"/>
      </w:pPr>
      <w:r>
        <w:rPr>
          <w:rFonts w:ascii="仿宋_GB2312" w:hAnsi="仿宋_GB2312" w:cs="仿宋_GB2312" w:eastAsia="仿宋_GB2312"/>
        </w:rPr>
        <w:t>详见附件：7.其他资料.docx</w:t>
      </w:r>
    </w:p>
    <w:p>
      <w:pPr>
        <w:pStyle w:val="null3"/>
        <w:ind w:firstLine="960"/>
      </w:pPr>
      <w:r>
        <w:rPr>
          <w:rFonts w:ascii="仿宋_GB2312" w:hAnsi="仿宋_GB2312" w:cs="仿宋_GB2312" w:eastAsia="仿宋_GB2312"/>
        </w:rPr>
        <w:t>详见附件：8.供应商应当提供便携式计算机国家确定的认证机构出具的、处于有效期之内的节能产品认证证书；.docx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