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版本号：ZMZB2025YDDX-41820251031001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保偏光纤熔接机采购项目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ZMZB2025YDDX-418</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保偏光纤熔接机采购项目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ZMZB2025YDDX-418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保偏光纤熔接机采购项目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保偏光纤熔接机采购项目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6、无重大违法记录的书面声明：供应商应出具参加采购活动前3年内在经营活动中没有重大违法记录的书面声明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8、本项目不接受联合体响应：本项目不接受联合体响应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尉华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 20 %作为代理费报价，按合同约定实施完成采购代理工作。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联系人：米老师</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保偏光纤熔接机采购项目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保偏光纤熔接机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标的名称：保偏光纤熔接机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0"/>
              </w:rPr>
              <w:t>★1. 适用光纤类型：</w:t>
            </w:r>
            <w:r>
              <w:rPr>
                <w:rFonts w:ascii="仿宋_GB2312" w:hAnsi="仿宋_GB2312" w:cs="仿宋_GB2312" w:eastAsia="仿宋_GB2312"/>
                <w:sz w:val="20"/>
              </w:rPr>
              <w:t>单模、多模、色散位移、掺铒光纤、保偏光纤、光子晶体光纤及其他特种光纤</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 熔接光纤</w:t>
            </w:r>
            <w:r>
              <w:rPr>
                <w:rFonts w:ascii="仿宋_GB2312" w:hAnsi="仿宋_GB2312" w:cs="仿宋_GB2312" w:eastAsia="仿宋_GB2312"/>
                <w:sz w:val="20"/>
              </w:rPr>
              <w:t>直径</w:t>
            </w:r>
            <w:r>
              <w:rPr>
                <w:rFonts w:ascii="仿宋_GB2312" w:hAnsi="仿宋_GB2312" w:cs="仿宋_GB2312" w:eastAsia="仿宋_GB2312"/>
                <w:sz w:val="20"/>
              </w:rPr>
              <w:t>: 包层60</w:t>
            </w:r>
            <w:r>
              <w:rPr>
                <w:rFonts w:ascii="仿宋_GB2312" w:hAnsi="仿宋_GB2312" w:cs="仿宋_GB2312" w:eastAsia="仿宋_GB2312"/>
                <w:sz w:val="20"/>
              </w:rPr>
              <w:t>～</w:t>
            </w:r>
            <w:r>
              <w:rPr>
                <w:rFonts w:ascii="仿宋_GB2312" w:hAnsi="仿宋_GB2312" w:cs="仿宋_GB2312" w:eastAsia="仿宋_GB2312"/>
                <w:sz w:val="20"/>
              </w:rPr>
              <w:t>1200μm；</w:t>
            </w:r>
            <w:r>
              <w:rPr>
                <w:rFonts w:ascii="仿宋_GB2312" w:hAnsi="仿宋_GB2312" w:cs="仿宋_GB2312" w:eastAsia="仿宋_GB2312"/>
                <w:sz w:val="20"/>
              </w:rPr>
              <w:t>（提供证明材料，包括但不限于产品彩页、检测报告、功能截图等）</w:t>
            </w:r>
          </w:p>
          <w:p>
            <w:pPr>
              <w:pStyle w:val="null3"/>
              <w:jc w:val="left"/>
            </w:pPr>
            <w:r>
              <w:rPr>
                <w:rFonts w:ascii="仿宋_GB2312" w:hAnsi="仿宋_GB2312" w:cs="仿宋_GB2312" w:eastAsia="仿宋_GB2312"/>
                <w:sz w:val="20"/>
              </w:rPr>
              <w:t xml:space="preserve">★3. </w:t>
            </w:r>
            <w:r>
              <w:rPr>
                <w:rFonts w:ascii="仿宋_GB2312" w:hAnsi="仿宋_GB2312" w:cs="仿宋_GB2312" w:eastAsia="仿宋_GB2312"/>
                <w:sz w:val="20"/>
              </w:rPr>
              <w:t>切割长度：</w:t>
            </w:r>
            <w:r>
              <w:rPr>
                <w:rFonts w:ascii="仿宋_GB2312" w:hAnsi="仿宋_GB2312" w:cs="仿宋_GB2312" w:eastAsia="仿宋_GB2312"/>
                <w:sz w:val="20"/>
              </w:rPr>
              <w:t>8～30mm；</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 具有拉锥和烧球功能，有相应软件支持；（提供证明材料，包括但不限于产品彩页、检测报告、功能截图等）</w:t>
            </w:r>
          </w:p>
          <w:p>
            <w:pPr>
              <w:pStyle w:val="null3"/>
              <w:jc w:val="left"/>
            </w:pPr>
            <w:r>
              <w:rPr>
                <w:rFonts w:ascii="仿宋_GB2312" w:hAnsi="仿宋_GB2312" w:cs="仿宋_GB2312" w:eastAsia="仿宋_GB2312"/>
                <w:sz w:val="20"/>
              </w:rPr>
              <w:t>★5.</w:t>
            </w:r>
            <w:r>
              <w:rPr>
                <w:rFonts w:ascii="仿宋_GB2312" w:hAnsi="仿宋_GB2312" w:cs="仿宋_GB2312" w:eastAsia="仿宋_GB2312"/>
                <w:sz w:val="20"/>
              </w:rPr>
              <w:t xml:space="preserve"> </w:t>
            </w:r>
            <w:r>
              <w:rPr>
                <w:rFonts w:ascii="仿宋_GB2312" w:hAnsi="仿宋_GB2312" w:cs="仿宋_GB2312" w:eastAsia="仿宋_GB2312"/>
                <w:sz w:val="20"/>
              </w:rPr>
              <w:t>电极间隔：</w:t>
            </w:r>
            <w:r>
              <w:rPr>
                <w:rFonts w:ascii="仿宋_GB2312" w:hAnsi="仿宋_GB2312" w:cs="仿宋_GB2312" w:eastAsia="仿宋_GB2312"/>
                <w:sz w:val="20"/>
              </w:rPr>
              <w:t>1～3mm可调</w:t>
            </w:r>
            <w:r>
              <w:rPr>
                <w:rFonts w:ascii="仿宋_GB2312" w:hAnsi="仿宋_GB2312" w:cs="仿宋_GB2312" w:eastAsia="仿宋_GB2312"/>
                <w:sz w:val="20"/>
              </w:rPr>
              <w:t>;</w:t>
            </w:r>
            <w:r>
              <w:rPr>
                <w:rFonts w:ascii="仿宋_GB2312" w:hAnsi="仿宋_GB2312" w:cs="仿宋_GB2312" w:eastAsia="仿宋_GB2312"/>
                <w:sz w:val="20"/>
              </w:rPr>
              <w:t>（提供证明材料，包括但不限于产品彩页、检测报告、功能截图等）</w:t>
            </w:r>
          </w:p>
          <w:p>
            <w:pPr>
              <w:pStyle w:val="null3"/>
              <w:jc w:val="left"/>
            </w:pPr>
            <w:r>
              <w:rPr>
                <w:rFonts w:ascii="仿宋_GB2312" w:hAnsi="仿宋_GB2312" w:cs="仿宋_GB2312" w:eastAsia="仿宋_GB2312"/>
                <w:sz w:val="20"/>
              </w:rPr>
              <w:t xml:space="preserve">★6. </w:t>
            </w:r>
            <w:r>
              <w:rPr>
                <w:rFonts w:ascii="仿宋_GB2312" w:hAnsi="仿宋_GB2312" w:cs="仿宋_GB2312" w:eastAsia="仿宋_GB2312"/>
                <w:sz w:val="20"/>
              </w:rPr>
              <w:t>典型</w:t>
            </w:r>
            <w:r>
              <w:rPr>
                <w:rFonts w:ascii="仿宋_GB2312" w:hAnsi="仿宋_GB2312" w:cs="仿宋_GB2312" w:eastAsia="仿宋_GB2312"/>
                <w:sz w:val="20"/>
              </w:rPr>
              <w:t>熔接损耗</w:t>
            </w:r>
            <w:r>
              <w:rPr>
                <w:rFonts w:ascii="仿宋_GB2312" w:hAnsi="仿宋_GB2312" w:cs="仿宋_GB2312" w:eastAsia="仿宋_GB2312"/>
                <w:sz w:val="20"/>
              </w:rPr>
              <w:t>:≤</w:t>
            </w:r>
            <w:r>
              <w:rPr>
                <w:rFonts w:ascii="仿宋_GB2312" w:hAnsi="仿宋_GB2312" w:cs="仿宋_GB2312" w:eastAsia="仿宋_GB2312"/>
                <w:sz w:val="20"/>
              </w:rPr>
              <w:t>0.05</w:t>
            </w:r>
            <w:r>
              <w:rPr>
                <w:rFonts w:ascii="仿宋_GB2312" w:hAnsi="仿宋_GB2312" w:cs="仿宋_GB2312" w:eastAsia="仿宋_GB2312"/>
                <w:sz w:val="20"/>
              </w:rPr>
              <w:t xml:space="preserve">dB @ </w:t>
            </w:r>
            <w:r>
              <w:rPr>
                <w:rFonts w:ascii="仿宋_GB2312" w:hAnsi="仿宋_GB2312" w:cs="仿宋_GB2312" w:eastAsia="仿宋_GB2312"/>
                <w:sz w:val="20"/>
              </w:rPr>
              <w:t>S</w:t>
            </w:r>
            <w:r>
              <w:rPr>
                <w:rFonts w:ascii="仿宋_GB2312" w:hAnsi="仿宋_GB2312" w:cs="仿宋_GB2312" w:eastAsia="仿宋_GB2312"/>
                <w:sz w:val="20"/>
              </w:rPr>
              <w:t>MF;</w:t>
            </w:r>
            <w:r>
              <w:rPr>
                <w:rFonts w:ascii="仿宋_GB2312" w:hAnsi="仿宋_GB2312" w:cs="仿宋_GB2312" w:eastAsia="仿宋_GB2312"/>
                <w:sz w:val="20"/>
              </w:rPr>
              <w:t xml:space="preserve"> </w:t>
            </w:r>
            <w:r>
              <w:rPr>
                <w:rFonts w:ascii="仿宋_GB2312" w:hAnsi="仿宋_GB2312" w:cs="仿宋_GB2312" w:eastAsia="仿宋_GB2312"/>
                <w:sz w:val="20"/>
              </w:rPr>
              <w:t>保偏光纤（</w:t>
            </w:r>
            <w:r>
              <w:rPr>
                <w:rFonts w:ascii="仿宋_GB2312" w:hAnsi="仿宋_GB2312" w:cs="仿宋_GB2312" w:eastAsia="仿宋_GB2312"/>
                <w:sz w:val="20"/>
              </w:rPr>
              <w:t>PMF）：≤0.07dB；</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 xml:space="preserve">7. </w:t>
            </w:r>
            <w:r>
              <w:rPr>
                <w:rFonts w:ascii="仿宋_GB2312" w:hAnsi="仿宋_GB2312" w:cs="仿宋_GB2312" w:eastAsia="仿宋_GB2312"/>
                <w:sz w:val="20"/>
              </w:rPr>
              <w:t>电极高度偏移可调</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 xml:space="preserve">★8. </w:t>
            </w:r>
            <w:r>
              <w:rPr>
                <w:rFonts w:ascii="仿宋_GB2312" w:hAnsi="仿宋_GB2312" w:cs="仿宋_GB2312" w:eastAsia="仿宋_GB2312"/>
                <w:sz w:val="20"/>
              </w:rPr>
              <w:t>具有端面观察功能；</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9.</w:t>
            </w:r>
            <w:r>
              <w:rPr>
                <w:rFonts w:ascii="仿宋_GB2312" w:hAnsi="仿宋_GB2312" w:cs="仿宋_GB2312" w:eastAsia="仿宋_GB2312"/>
                <w:sz w:val="20"/>
              </w:rPr>
              <w:t>偏振串音：</w:t>
            </w:r>
            <w:r>
              <w:rPr>
                <w:rFonts w:ascii="仿宋_GB2312" w:hAnsi="仿宋_GB2312" w:cs="仿宋_GB2312" w:eastAsia="仿宋_GB2312"/>
                <w:sz w:val="20"/>
              </w:rPr>
              <w:t>≤</w:t>
            </w:r>
            <w:r>
              <w:rPr>
                <w:rFonts w:ascii="仿宋_GB2312" w:hAnsi="仿宋_GB2312" w:cs="仿宋_GB2312" w:eastAsia="仿宋_GB2312"/>
                <w:sz w:val="20"/>
              </w:rPr>
              <w:t>-40dB</w:t>
            </w:r>
            <w:r>
              <w:rPr>
                <w:rFonts w:ascii="仿宋_GB2312" w:hAnsi="仿宋_GB2312" w:cs="仿宋_GB2312" w:eastAsia="仿宋_GB2312"/>
                <w:sz w:val="20"/>
              </w:rPr>
              <w:t>/0.6°</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10.X、Y轴移动分辨率:≤ 0.1um；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11. 保偏光纤对准方式: 至少包含三种常规方案，端面对准模式(通过光纤端面观察画面手动旋转对准)、PANDA模式(对PANDA光纤自动对准)、IPA模式(对于非常规光纤，设备自动学习模式)；（提供证明材料，包括但不限于产品彩页、检测报告、功能截图等）</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电极抖动：最大摆动</w:t>
            </w:r>
            <w:r>
              <w:rPr>
                <w:rFonts w:ascii="仿宋_GB2312" w:hAnsi="仿宋_GB2312" w:cs="仿宋_GB2312" w:eastAsia="仿宋_GB2312"/>
                <w:sz w:val="20"/>
              </w:rPr>
              <w:t>≤750um；</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13.具有</w:t>
            </w:r>
            <w:r>
              <w:rPr>
                <w:rFonts w:ascii="仿宋_GB2312" w:hAnsi="仿宋_GB2312" w:cs="仿宋_GB2312" w:eastAsia="仿宋_GB2312"/>
                <w:sz w:val="20"/>
              </w:rPr>
              <w:t>光纤压角自动调整</w:t>
            </w:r>
            <w:r>
              <w:rPr>
                <w:rFonts w:ascii="仿宋_GB2312" w:hAnsi="仿宋_GB2312" w:cs="仿宋_GB2312" w:eastAsia="仿宋_GB2312"/>
                <w:sz w:val="20"/>
              </w:rPr>
              <w:t>功能</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 xml:space="preserve">★14. </w:t>
            </w:r>
            <w:r>
              <w:rPr>
                <w:rFonts w:ascii="仿宋_GB2312" w:hAnsi="仿宋_GB2312" w:cs="仿宋_GB2312" w:eastAsia="仿宋_GB2312"/>
                <w:sz w:val="20"/>
              </w:rPr>
              <w:t>旋转轴范围：</w:t>
            </w:r>
            <w:r>
              <w:rPr>
                <w:rFonts w:ascii="仿宋_GB2312" w:hAnsi="仿宋_GB2312" w:cs="仿宋_GB2312" w:eastAsia="仿宋_GB2312"/>
                <w:sz w:val="20"/>
              </w:rPr>
              <w:t>360°顺时针、逆时针连续旋转；</w:t>
            </w:r>
          </w:p>
          <w:p>
            <w:pPr>
              <w:pStyle w:val="null3"/>
              <w:jc w:val="left"/>
            </w:pPr>
            <w:r>
              <w:rPr>
                <w:rFonts w:ascii="仿宋_GB2312" w:hAnsi="仿宋_GB2312" w:cs="仿宋_GB2312" w:eastAsia="仿宋_GB2312"/>
                <w:sz w:val="20"/>
              </w:rPr>
              <w:t>★15. 随行扫描放电行程: ±18mm（提供证明材料，包括但不限于产品彩页、检测报告、功能截图等）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16. 放大倍率：58 ～ 300可调；</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17. 放电校准:至少包含三种放电校准方式，标准放电校准(使用标准125um单模光纤)、特殊放电校准(使用当前特殊规格光纤)、实时放电校准(设备通过自动监测光纤亮度并实时调整放电量)等</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18. 拉力测试：2.0～2.4N</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19. 典型熔接时间：15～60s</w:t>
            </w:r>
          </w:p>
          <w:p>
            <w:pPr>
              <w:pStyle w:val="null3"/>
              <w:jc w:val="left"/>
            </w:pPr>
            <w:r>
              <w:rPr>
                <w:rFonts w:ascii="仿宋_GB2312" w:hAnsi="仿宋_GB2312" w:cs="仿宋_GB2312" w:eastAsia="仿宋_GB2312"/>
                <w:sz w:val="20"/>
              </w:rPr>
              <w:t>★</w:t>
            </w:r>
            <w:r>
              <w:rPr>
                <w:rFonts w:ascii="仿宋_GB2312" w:hAnsi="仿宋_GB2312" w:cs="仿宋_GB2312" w:eastAsia="仿宋_GB2312"/>
                <w:sz w:val="20"/>
              </w:rPr>
              <w:t>20. 回损：≥60dB</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21.包层切割范围：80～250um；</w:t>
            </w:r>
          </w:p>
          <w:p>
            <w:pPr>
              <w:pStyle w:val="null3"/>
              <w:jc w:val="both"/>
            </w:pPr>
            <w:r>
              <w:rPr>
                <w:rFonts w:ascii="仿宋_GB2312" w:hAnsi="仿宋_GB2312" w:cs="仿宋_GB2312" w:eastAsia="仿宋_GB2312"/>
                <w:sz w:val="20"/>
              </w:rPr>
              <w:t>★22.光纤角度切割范围：0～15°</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23.拉力值调试：软件控制自动切换</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备注：</w:t>
            </w:r>
            <w:r>
              <w:rPr>
                <w:rFonts w:ascii="仿宋_GB2312" w:hAnsi="仿宋_GB2312" w:cs="仿宋_GB2312" w:eastAsia="仿宋_GB2312"/>
                <w:sz w:val="20"/>
              </w:rPr>
              <w:t>以上</w:t>
            </w:r>
            <w:r>
              <w:rPr>
                <w:rFonts w:ascii="仿宋_GB2312" w:hAnsi="仿宋_GB2312" w:cs="仿宋_GB2312" w:eastAsia="仿宋_GB2312"/>
                <w:sz w:val="21"/>
              </w:rPr>
              <w:t>参数为实质性要求，供应商任意一项负偏离，按无效响应处理。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根据采购单位通知的时间和地点，安排相关领域专家参与采购单位验收，按照验收指标逐项测试，直至达到验收要求。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质保期：3年</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1.售后服务要求：售后服务响应时间（质保期内）：4小时即时响应（包括电话响应）；电话响应无法解决 48小时内到达现场（非工作日72小时、国家法定节假日除外）。修复时间 72 小时内解决；如在 120 小时内无法修复，则提供部件冗余服务或采取应急措施，提供相同产品或不低于故障产品规格档次的备用产品供采购人使用，以确保货物的正常使用。该设备如有耗材，供应商标明后期耗材的销售价格。 2.安装调试要求：中标方须根据项目建设基本要求、原则，开展软硬件的安装、调试工作。免费提供一次设备移机服务。 3.培训要求：设备到货后，按照甲方要求，供货方指派至少1名专业技术人员到现场，对相关技术人员进行操作培训，包含不仅限于对设备工作原理、常规操作、日常保养等内容进行培训，培训时间不少于1个工作日，直到使用人员熟练操作，并提供培训方案及操作手册供设备使用人员学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交货时间是否满足采购文件最低要求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供应商认为有必要说明的其他问题.docx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 供应商认为有必要说明的其他问题.docx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