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版本号：SZT2025-SN-SC-ZC-HW-108620251031001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光学测试平台项目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SZT2025-SN-SC-ZC-HW-1086</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光学测试平台项目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SZT2025-SN-SC-ZC-HW-1086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光学测试平台项目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光学测试平台需具备高精度宽谱光频测试分析等功能，能够满足高精度光学测试需求。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采购包1（光学测试平台项目）：属于专门面向中小企业采购。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赵静、单博、李娜、史肖霞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说明：履约保证金在合同签订前缴纳，项目验收合格后无息退还。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代理服务费收费标准：参照国家计委颁布的《招标代理服务收费管理暂行办法》（计价格[2002]1980号）及发改办价格[2003]857号文件的规定以中标价为基础按货物类标准下浮20%收取。 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陕西中技招标有限公司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联系人：戴工</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地址：西安市莲湖区高新四路1号高科广场A座1001室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光学测试平台需具备高精度宽谱光频测试分析等功能，能够满足高精度光学测试需求。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1,358,000.00</w:t>
      </w:r>
    </w:p>
    <w:p>
      <w:pPr>
        <w:pStyle w:val="null3"/>
      </w:pPr>
      <w:r>
        <w:rPr>
          <w:rFonts w:ascii="仿宋_GB2312" w:hAnsi="仿宋_GB2312" w:cs="仿宋_GB2312" w:eastAsia="仿宋_GB2312"/>
        </w:rPr>
        <w:t>采购包最高限价（元）: 1,358,000.00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光学测试平台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标的名称：光学测试平台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技术标准</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光学测试平台包括光学平台和光梳两类设备，其中：</w:t>
            </w:r>
          </w:p>
          <w:p>
            <w:pPr>
              <w:pStyle w:val="null3"/>
              <w:jc w:val="both"/>
            </w:pPr>
            <w:r>
              <w:rPr>
                <w:rFonts w:ascii="仿宋_GB2312" w:hAnsi="仿宋_GB2312" w:cs="仿宋_GB2312" w:eastAsia="仿宋_GB2312"/>
                <w:sz w:val="20"/>
              </w:rPr>
              <w:t>1）光学平台参数：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1）平面度：≤0.05mm；</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2）上台面材料：高导磁不锈钢；</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3）台面厚度：200±5mm;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4）平台高度：800±10mm；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5）安装孔：M6；</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6）孔距：25mm×25mm；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7）固有频率：≤18Hz；</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8）尺寸：≥1800*1200mm</w:t>
            </w:r>
          </w:p>
          <w:p>
            <w:pPr>
              <w:pStyle w:val="null3"/>
              <w:jc w:val="both"/>
            </w:pPr>
            <w:r>
              <w:rPr>
                <w:rFonts w:ascii="仿宋_GB2312" w:hAnsi="仿宋_GB2312" w:cs="仿宋_GB2312" w:eastAsia="仿宋_GB2312"/>
                <w:sz w:val="20"/>
              </w:rPr>
              <w:t>2）光梳参数（核心产品）：</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1）中心波长：1550nm±20nm；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2）输出功率：≥10mW；</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3）输出路数：≥4路；</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4）最窄脉冲宽度：≤50fs；（需要提供测试报告）</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5）重复频率中心值：200MHz±0.01MHz；</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6）重复频率可调谐范围：≥3kHz；</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7）重复频率稳定度（参考到射频基准上）：≤1E-13/1s；重复频率稳定度（参考到光学基准上）：≤5E-18/1s；（需要提供测试报告）</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8）重复频率锁定设置步进：≤3μHz；</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9）载波包络相移频率调谐范围：≥200MHz；</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10）载波包络相移频率信噪比：≥45dB(RBW:300kHz)；</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11）载波包络相移频率调制带宽：≥1MHz；（需要提供测试报告）</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12）载波包络相移频率锁定带宽：≥200kHz；</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13）载波包络相移频率锁定稳定度：≤5E-18/1s；</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14）拍频锁定稳定度：≤3E-18/1s；</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15）积分相位噪声：≤80mrad（10Hz-2MHz积分）；（需要提供测试报告）</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16）内部自带频率计数器功能，计数精度≤1E-13@1s；（需要提供测试报告）</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17）在温度5-35℃范围内，载波包络相移频率和重复频率锁定环路不失锁；在10-55Hz振动、振幅≤0.15mm的情况下，载波包络相移频率和重复频率锁定环路不失锁；（需要提供测试报告）</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18）具备自参考锁定功能；</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19）软件交互可支持一键锁定，一键解锁功能；</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20）整机尺寸：标准机箱，≤3U，深度≤70厘米；</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21）功耗≤70W（25℃，稳定工作时）；</w:t>
            </w:r>
          </w:p>
          <w:p>
            <w:pPr>
              <w:pStyle w:val="null3"/>
              <w:jc w:val="both"/>
            </w:pPr>
            <w:r>
              <w:rPr>
                <w:rFonts w:ascii="仿宋_GB2312" w:hAnsi="仿宋_GB2312" w:cs="仿宋_GB2312" w:eastAsia="仿宋_GB2312"/>
                <w:sz w:val="20"/>
              </w:rPr>
              <w:t>光纤接口：</w:t>
            </w:r>
            <w:r>
              <w:rPr>
                <w:rFonts w:ascii="仿宋_GB2312" w:hAnsi="仿宋_GB2312" w:cs="仿宋_GB2312" w:eastAsia="仿宋_GB2312"/>
                <w:sz w:val="20"/>
              </w:rPr>
              <w:t>FC等；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22）射频信号接口：SMA或BNC等</w:t>
            </w:r>
          </w:p>
          <w:p>
            <w:pPr>
              <w:pStyle w:val="null3"/>
              <w:jc w:val="both"/>
            </w:pPr>
            <w:r>
              <w:rPr>
                <w:rFonts w:ascii="仿宋_GB2312" w:hAnsi="仿宋_GB2312" w:cs="仿宋_GB2312" w:eastAsia="仿宋_GB2312"/>
                <w:sz w:val="20"/>
              </w:rPr>
              <w:t>配置要求：</w:t>
            </w:r>
          </w:p>
          <w:p>
            <w:pPr>
              <w:pStyle w:val="null3"/>
              <w:jc w:val="both"/>
            </w:pPr>
            <w:r>
              <w:rPr>
                <w:rFonts w:ascii="仿宋_GB2312" w:hAnsi="仿宋_GB2312" w:cs="仿宋_GB2312" w:eastAsia="仿宋_GB2312"/>
                <w:sz w:val="20"/>
              </w:rPr>
              <w:t>配置满足仪器实验需求的所有连接线缆、接口配件等一批，配置光学平台配套仪器支架</w:t>
            </w:r>
            <w:r>
              <w:rPr>
                <w:rFonts w:ascii="仿宋_GB2312" w:hAnsi="仿宋_GB2312" w:cs="仿宋_GB2312" w:eastAsia="仿宋_GB2312"/>
                <w:sz w:val="20"/>
              </w:rPr>
              <w:t>1个，支架宽度≥600mm</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售后服务与质保：</w:t>
            </w:r>
          </w:p>
          <w:p>
            <w:pPr>
              <w:pStyle w:val="null3"/>
              <w:jc w:val="both"/>
            </w:pPr>
            <w:r>
              <w:rPr>
                <w:rFonts w:ascii="仿宋_GB2312" w:hAnsi="仿宋_GB2312" w:cs="仿宋_GB2312" w:eastAsia="仿宋_GB2312"/>
              </w:rPr>
              <w:t>乙方为本设备提供自最终验收合格之日起</w:t>
            </w:r>
            <w:r>
              <w:rPr>
                <w:rFonts w:ascii="仿宋_GB2312" w:hAnsi="仿宋_GB2312" w:cs="仿宋_GB2312" w:eastAsia="仿宋_GB2312"/>
              </w:rPr>
              <w:t>3</w:t>
            </w:r>
            <w:r>
              <w:rPr>
                <w:rFonts w:ascii="仿宋_GB2312" w:hAnsi="仿宋_GB2312" w:cs="仿宋_GB2312" w:eastAsia="仿宋_GB2312"/>
              </w:rPr>
              <w:t>年的免费质保期。</w:t>
            </w:r>
          </w:p>
          <w:p>
            <w:pPr>
              <w:pStyle w:val="null3"/>
              <w:jc w:val="both"/>
            </w:pPr>
            <w:r>
              <w:rPr>
                <w:rFonts w:ascii="仿宋_GB2312" w:hAnsi="仿宋_GB2312" w:cs="仿宋_GB2312" w:eastAsia="仿宋_GB2312"/>
              </w:rPr>
              <w:t>技术支持：乙方承诺提供</w:t>
            </w:r>
            <w:r>
              <w:rPr>
                <w:rFonts w:ascii="仿宋_GB2312" w:hAnsi="仿宋_GB2312" w:cs="仿宋_GB2312" w:eastAsia="仿宋_GB2312"/>
              </w:rPr>
              <w:t>7×24小时技术支持热线，并设立明确的多级现场响应机制（例如：一般问题2小时内响应，需现场服务的，在协定时间内抵达现场）。</w:t>
            </w:r>
          </w:p>
          <w:p>
            <w:pPr>
              <w:pStyle w:val="null3"/>
              <w:jc w:val="both"/>
            </w:pPr>
            <w:r>
              <w:rPr>
                <w:rFonts w:ascii="仿宋_GB2312" w:hAnsi="仿宋_GB2312" w:cs="仿宋_GB2312" w:eastAsia="仿宋_GB2312"/>
              </w:rPr>
              <w:t>维护服务：质保期内，乙方提供不少于</w:t>
            </w:r>
            <w:r>
              <w:rPr>
                <w:rFonts w:ascii="仿宋_GB2312" w:hAnsi="仿宋_GB2312" w:cs="仿宋_GB2312" w:eastAsia="仿宋_GB2312"/>
              </w:rPr>
              <w:t>1次/年的预防性维护服务，内容包括但不限于设备全面检查、性能校准与优化。</w:t>
            </w:r>
          </w:p>
          <w:p>
            <w:pPr>
              <w:pStyle w:val="null3"/>
              <w:jc w:val="both"/>
            </w:pPr>
            <w:r>
              <w:rPr>
                <w:rFonts w:ascii="仿宋_GB2312" w:hAnsi="仿宋_GB2312" w:cs="仿宋_GB2312" w:eastAsia="仿宋_GB2312"/>
              </w:rPr>
              <w:t>维修与备件：质保期内，所有非人为因素导致的故障，乙方提供免费的零部件更换与专业维修服务。同时，乙方保证自设备出厂之日起，至少</w:t>
            </w:r>
            <w:r>
              <w:rPr>
                <w:rFonts w:ascii="仿宋_GB2312" w:hAnsi="仿宋_GB2312" w:cs="仿宋_GB2312" w:eastAsia="仿宋_GB2312"/>
              </w:rPr>
              <w:t>5年内相关备件的持续供应。</w:t>
            </w:r>
          </w:p>
          <w:p>
            <w:pPr>
              <w:pStyle w:val="null3"/>
              <w:jc w:val="both"/>
            </w:pPr>
            <w:r>
              <w:rPr>
                <w:rFonts w:ascii="仿宋_GB2312" w:hAnsi="仿宋_GB2312" w:cs="仿宋_GB2312" w:eastAsia="仿宋_GB2312"/>
              </w:rPr>
              <w:t>免费赠送一次设备移机服务。</w:t>
            </w:r>
          </w:p>
          <w:p>
            <w:pPr>
              <w:pStyle w:val="null3"/>
              <w:jc w:val="both"/>
            </w:pPr>
            <w:r>
              <w:rPr>
                <w:rFonts w:ascii="仿宋_GB2312" w:hAnsi="仿宋_GB2312" w:cs="仿宋_GB2312" w:eastAsia="仿宋_GB2312"/>
              </w:rPr>
              <w:t>培训计划：</w:t>
            </w:r>
          </w:p>
          <w:p>
            <w:pPr>
              <w:pStyle w:val="null3"/>
              <w:jc w:val="both"/>
            </w:pPr>
            <w:r>
              <w:rPr>
                <w:rFonts w:ascii="仿宋_GB2312" w:hAnsi="仿宋_GB2312" w:cs="仿宋_GB2312" w:eastAsia="仿宋_GB2312"/>
              </w:rPr>
              <w:t>设备安装调试完成后，乙方须在甲方现场为指定人员提供全面的操作与维护培训。培训目标为确保甲方至少两名相关人员能够：</w:t>
            </w:r>
          </w:p>
          <w:p>
            <w:pPr>
              <w:pStyle w:val="null3"/>
              <w:jc w:val="both"/>
            </w:pPr>
            <w:r>
              <w:rPr>
                <w:rFonts w:ascii="仿宋_GB2312" w:hAnsi="仿宋_GB2312" w:cs="仿宋_GB2312" w:eastAsia="仿宋_GB2312"/>
              </w:rPr>
              <w:t>独立、规范、安全地操作设备完成常规实验任务。</w:t>
            </w:r>
          </w:p>
          <w:p>
            <w:pPr>
              <w:pStyle w:val="null3"/>
              <w:jc w:val="both"/>
            </w:pPr>
            <w:r>
              <w:rPr>
                <w:rFonts w:ascii="仿宋_GB2312" w:hAnsi="仿宋_GB2312" w:cs="仿宋_GB2312" w:eastAsia="仿宋_GB2312"/>
              </w:rPr>
              <w:t>熟练掌握设备的日常、定期维护保养规程。</w:t>
            </w:r>
          </w:p>
          <w:p>
            <w:pPr>
              <w:pStyle w:val="null3"/>
              <w:jc w:val="both"/>
            </w:pPr>
            <w:r>
              <w:rPr>
                <w:rFonts w:ascii="仿宋_GB2312" w:hAnsi="仿宋_GB2312" w:cs="仿宋_GB2312" w:eastAsia="仿宋_GB2312"/>
              </w:rPr>
              <w:t>深刻理解设备基本原理，具备基础故障的诊断、排查与应急处理能力。</w:t>
            </w:r>
          </w:p>
          <w:p>
            <w:pPr>
              <w:pStyle w:val="null3"/>
              <w:jc w:val="both"/>
            </w:pPr>
            <w:r>
              <w:rPr>
                <w:rFonts w:ascii="仿宋_GB2312" w:hAnsi="仿宋_GB2312" w:cs="仿宋_GB2312" w:eastAsia="仿宋_GB2312"/>
                <w:sz w:val="21"/>
              </w:rPr>
              <w:t>通过培训，实质性提升甲方的自主运维水平，降低对乙方的技术依赖。</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以上所有要求不允许负偏离，有一项负偏离为无效响应。</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设备验收将依据双方共同确认的技术规格书及约定的行业/国际通用标准执行。 验收内容包括但不限于以下方面： 功能性能验证：依据协定方法，对设备各项功能、精度、稳定性及重复性等关键性能指标进行现场实测，结果须完全符合技术规格要求。 完整性核查：对设备型号、硬件配置、所有附带配件、工具及技术文件（包括但不限于操作手册、维修手册、电路图等）进行清点与一致性确认。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乙方为本设备提供自最终验收合格之日起3年的免费质保期。 技术支持：乙方承诺提供7×24小时技术支持热线，并设立明确的多级现场响应机制（例如：一般问题2小时内响应，需现场服务的，在协定时间内抵达现场）。 维护服务：质保期内，乙方提供不少于1次/年的预防性维护服务，内容包括但不限于设备全面检查、性能校准与优化。 维修与备件：质保期内，所有非人为因素导致的故障，乙方提供免费的零部件更换与专业维修服务。同时，乙方保证自设备出厂之日起，至少5年内相关备件的持续供应。 免费赠送一次设备移机服务（提供承诺书）。</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成交供应商需线下提交与系统电子响应文件一致的纸质响应文件三份。若系统电子响应文件与纸质投标文件不一致的，以系统电子响应文件为准。 2.本项目采用两次报价，响应文件中的报价为首次报价，评审以第二次（最终报价）为准，最终报价要低于首轮报价。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供应商为本项目提供的资格证明文件及其他.docx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专门面向中小企业采购</w:t>
            </w:r>
          </w:p>
        </w:tc>
        <w:tc>
          <w:tcPr>
            <w:tcW w:type="dxa" w:w="1661"/>
          </w:tcPr>
          <w:p>
            <w:pPr>
              <w:pStyle w:val="null3"/>
            </w:pPr>
            <w:r>
              <w:rPr>
                <w:rFonts w:ascii="仿宋_GB2312" w:hAnsi="仿宋_GB2312" w:cs="仿宋_GB2312" w:eastAsia="仿宋_GB2312"/>
              </w:rPr>
              <w:t>需要落实的政府采购政策.docx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首次响应报价</w:t>
            </w:r>
          </w:p>
        </w:tc>
        <w:tc>
          <w:tcPr>
            <w:tcW w:type="dxa" w:w="3322"/>
          </w:tcPr>
          <w:p>
            <w:pPr>
              <w:pStyle w:val="null3"/>
            </w:pPr>
            <w:r>
              <w:rPr>
                <w:rFonts w:ascii="仿宋_GB2312" w:hAnsi="仿宋_GB2312" w:cs="仿宋_GB2312" w:eastAsia="仿宋_GB2312"/>
              </w:rPr>
              <w:t>首次报价未超过采购预算。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商务评审</w:t>
            </w:r>
          </w:p>
        </w:tc>
        <w:tc>
          <w:tcPr>
            <w:tcW w:type="dxa" w:w="3322"/>
          </w:tcPr>
          <w:p>
            <w:pPr>
              <w:pStyle w:val="null3"/>
            </w:pPr>
            <w:r>
              <w:rPr>
                <w:rFonts w:ascii="仿宋_GB2312" w:hAnsi="仿宋_GB2312" w:cs="仿宋_GB2312" w:eastAsia="仿宋_GB2312"/>
              </w:rPr>
              <w:t>售后服务与质保： 乙方为本设备提供自最终验收合格之日起3年的免费质保期。 技术支持：乙方承诺提供7×24小时技术支持热线，并设立明确的多级现场响应机制（例如：一般问题2小时内响应，需现场服务的，在协定时间内抵达现场）。 维护服务：质保期内，乙方提供不少于1次/年的预防性维护服务，内容包括但不限于设备全面检查、性能校准与优化。 维修与备件：质保期内，所有非人为因素导致的故障，乙方提供免费的零部件更换与专业维修服务。同时，乙方保证自设备出厂之日起，至少5年内相关备件的持续供应。 免费赠送一次设备移机服务。 培训计划： 设备安装调试完成后，乙方须在甲方现场为指定人员提供全面的操作与维护培训。培训目标为确保甲方至少两名相关人员能够： 独立、规范、安全地操作设备完成常规实验任务。 熟练掌握设备的日常、定期维护保养规程。 深刻理解设备基本原理，具备基础故障的诊断、排查与应急处理能力。 通过培训，实质性提升甲方的自主运维水平，降低对乙方的技术依赖。 注：以《商务应答表》响应为准。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技术标准审查</w:t>
            </w:r>
          </w:p>
        </w:tc>
        <w:tc>
          <w:tcPr>
            <w:tcW w:type="dxa" w:w="3322"/>
          </w:tcPr>
          <w:p>
            <w:pPr>
              <w:pStyle w:val="null3"/>
            </w:pPr>
            <w:r>
              <w:rPr>
                <w:rFonts w:ascii="仿宋_GB2312" w:hAnsi="仿宋_GB2312" w:cs="仿宋_GB2312" w:eastAsia="仿宋_GB2312"/>
              </w:rPr>
              <w:t>要求完全符合谈判文件要求。 注：采购需求中要求提供证明材料的需提供证明材料，其他以《产品技术参数表》响应为准。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核心产品品牌审查</w:t>
            </w:r>
          </w:p>
        </w:tc>
        <w:tc>
          <w:tcPr>
            <w:tcW w:type="dxa" w:w="3322"/>
          </w:tcPr>
          <w:p>
            <w:pPr>
              <w:pStyle w:val="null3"/>
            </w:pPr>
            <w:r>
              <w:rPr>
                <w:rFonts w:ascii="仿宋_GB2312" w:hAnsi="仿宋_GB2312" w:cs="仿宋_GB2312" w:eastAsia="仿宋_GB2312"/>
              </w:rPr>
              <w:t>核心产品品牌满足三家供应商</w:t>
            </w:r>
          </w:p>
        </w:tc>
        <w:tc>
          <w:tcPr>
            <w:tcW w:type="dxa" w:w="1661"/>
          </w:tcPr>
          <w:p>
            <w:pPr>
              <w:pStyle w:val="null3"/>
            </w:pPr>
            <w:r>
              <w:rPr>
                <w:rFonts w:ascii="仿宋_GB2312" w:hAnsi="仿宋_GB2312" w:cs="仿宋_GB2312" w:eastAsia="仿宋_GB2312"/>
              </w:rPr>
              <w:t>产品技术参数表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详见附件：供应商为本项目提供的资格证明文件及其他.docx</w:t>
      </w:r>
    </w:p>
    <w:p>
      <w:pPr>
        <w:pStyle w:val="null3"/>
        <w:ind w:firstLine="960"/>
      </w:pPr>
      <w:r>
        <w:rPr>
          <w:rFonts w:ascii="仿宋_GB2312" w:hAnsi="仿宋_GB2312" w:cs="仿宋_GB2312" w:eastAsia="仿宋_GB2312"/>
        </w:rPr>
        <w:t>详见附件：需要落实的政府采购政策.docx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