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Relationships xmlns="http://schemas.openxmlformats.org/package/2006/relationships"><Relationship Id="rId1" Target="docProps/app.xml" Type="http://schemas.openxmlformats.org/officeDocument/2006/relationships/extended-properties"/><Relationship Id="rId2" Target="docProps/core.xml" Type="http://schemas.openxmlformats.org/package/2006/relationships/metadata/core-properties"/><Relationship Id="rId3" Target="docProps/custom.xml" Type="http://schemas.openxmlformats.org/officeDocument/2006/relationships/custom-properties"/><Relationship Id="rId4" Target="word/document.xml" Type="http://schemas.openxmlformats.org/officeDocument/2006/relationships/officeDocument"/></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null3"/>
        <w:rPr>
          <w:rFonts w:hint="eastAsia"/>
          <w:lang w:val="en-US" w:eastAsia="zh-Hans"/>
        </w:rPr>
      </w:pPr>
      <w:r>
        <w:br/>
      </w:r>
    </w:p>
    <w:p>
      <w:pPr>
        <w:pStyle w:val="null3"/>
      </w:pPr>
      <w:r>
        <w:rPr>
          <w:rFonts w:ascii="仿宋_GB2312" w:hAnsi="仿宋_GB2312" w:cs="仿宋_GB2312" w:eastAsia="仿宋_GB2312"/>
          <w:b/>
        </w:rPr>
        <w:t>版本号：LYHJ-ZB-05620251010001</w:t>
      </w:r>
      <w:r>
        <w:br/>
      </w:r>
      <w:r>
        <w:br/>
      </w:r>
      <w:r>
        <w:br/>
      </w:r>
      <w:r>
        <w:br/>
      </w:r>
      <w:r>
        <w:br/>
      </w:r>
    </w:p>
    <w:p>
      <w:pPr>
        <w:pStyle w:val="null3"/>
        <w:jc w:val="center"/>
        <w:outlineLvl w:val="0"/>
      </w:pPr>
      <w:r>
        <w:rPr>
          <w:rFonts w:ascii="仿宋_GB2312" w:hAnsi="仿宋_GB2312" w:cs="仿宋_GB2312" w:eastAsia="仿宋_GB2312"/>
          <w:sz w:val="48"/>
          <w:b/>
        </w:rPr>
        <w:t>磋 商 文 件</w:t>
      </w:r>
      <w:r>
        <w:br/>
      </w:r>
      <w:r>
        <w:br/>
      </w:r>
      <w:r>
        <w:br/>
      </w:r>
    </w:p>
    <w:p>
      <w:pPr>
        <w:pStyle w:val="null3"/>
        <w:jc w:val="center"/>
        <w:outlineLvl w:val="1"/>
      </w:pPr>
      <w:r>
        <w:rPr>
          <w:rFonts w:ascii="仿宋_GB2312" w:hAnsi="仿宋_GB2312" w:cs="仿宋_GB2312" w:eastAsia="仿宋_GB2312"/>
          <w:sz w:val="36"/>
          <w:b/>
        </w:rPr>
        <w:t>（工程类）</w:t>
      </w:r>
      <w:r>
        <w:br/>
      </w:r>
      <w:r>
        <w:br/>
      </w:r>
      <w:r>
        <w:br/>
      </w:r>
      <w:r>
        <w:br/>
      </w:r>
      <w:r>
        <w:br/>
      </w:r>
      <w:r>
        <w:br/>
      </w:r>
      <w:r>
        <w:br/>
      </w:r>
      <w:r>
        <w:br/>
      </w:r>
      <w:r>
        <w:br/>
      </w:r>
      <w:r>
        <w:br/>
      </w:r>
      <w:r>
        <w:br/>
      </w:r>
    </w:p>
    <w:p>
      <w:pPr>
        <w:pStyle w:val="null3"/>
        <w:jc w:val="center"/>
        <w:outlineLvl w:val="2"/>
      </w:pPr>
      <w:r>
        <w:rPr>
          <w:rFonts w:ascii="仿宋_GB2312" w:hAnsi="仿宋_GB2312" w:cs="仿宋_GB2312" w:eastAsia="仿宋_GB2312"/>
          <w:sz w:val="28"/>
          <w:b/>
        </w:rPr>
        <w:t>采购项目名称：</w:t>
      </w:r>
      <w:r>
        <w:rPr>
          <w:rFonts w:ascii="仿宋_GB2312" w:hAnsi="仿宋_GB2312" w:cs="仿宋_GB2312" w:eastAsia="仿宋_GB2312"/>
          <w:sz w:val="28"/>
          <w:b/>
        </w:rPr>
        <w:t>2025林恢（其他自然保护地国家级自然保护区项目第二批）陕西牛背梁国家级自然保护区</w:t>
      </w:r>
    </w:p>
    <w:p>
      <w:pPr>
        <w:pStyle w:val="null3"/>
        <w:jc w:val="center"/>
        <w:outlineLvl w:val="2"/>
      </w:pPr>
      <w:r>
        <w:rPr>
          <w:rFonts w:ascii="仿宋_GB2312" w:hAnsi="仿宋_GB2312" w:cs="仿宋_GB2312" w:eastAsia="仿宋_GB2312"/>
          <w:sz w:val="28"/>
          <w:b/>
        </w:rPr>
        <w:t>采购项目编号：</w:t>
      </w:r>
      <w:r>
        <w:rPr>
          <w:rFonts w:ascii="仿宋_GB2312" w:hAnsi="仿宋_GB2312" w:cs="仿宋_GB2312" w:eastAsia="仿宋_GB2312"/>
          <w:sz w:val="28"/>
          <w:b/>
        </w:rPr>
        <w:t>LYHJ-ZB-056</w:t>
      </w:r>
      <w:r>
        <w:br/>
      </w:r>
      <w:r>
        <w:br/>
      </w:r>
      <w:r>
        <w:br/>
      </w:r>
    </w:p>
    <w:p>
      <w:pPr>
        <w:pStyle w:val="null3"/>
        <w:jc w:val="center"/>
        <w:outlineLvl w:val="2"/>
      </w:pPr>
      <w:r>
        <w:rPr>
          <w:rFonts w:ascii="仿宋_GB2312" w:hAnsi="仿宋_GB2312" w:cs="仿宋_GB2312" w:eastAsia="仿宋_GB2312"/>
          <w:sz w:val="28"/>
          <w:b/>
        </w:rPr>
        <w:t>陕西牛背梁国家级自然保护区管理局</w:t>
      </w:r>
    </w:p>
    <w:p>
      <w:pPr>
        <w:pStyle w:val="null3"/>
        <w:jc w:val="center"/>
        <w:outlineLvl w:val="2"/>
      </w:pPr>
      <w:r>
        <w:rPr>
          <w:rFonts w:ascii="仿宋_GB2312" w:hAnsi="仿宋_GB2312" w:cs="仿宋_GB2312" w:eastAsia="仿宋_GB2312"/>
          <w:sz w:val="28"/>
          <w:b/>
        </w:rPr>
        <w:t>陕西朗屹恒基项目咨询管理有限公司</w:t>
      </w:r>
      <w:r>
        <w:rPr>
          <w:rFonts w:ascii="仿宋_GB2312" w:hAnsi="仿宋_GB2312" w:cs="仿宋_GB2312" w:eastAsia="仿宋_GB2312"/>
          <w:sz w:val="28"/>
          <w:b/>
        </w:rPr>
        <w:t>共同编制</w:t>
      </w:r>
    </w:p>
    <w:p>
      <w:pPr>
        <w:pStyle w:val="null3"/>
        <w:jc w:val="center"/>
        <w:outlineLvl w:val="2"/>
      </w:pPr>
      <w:r>
        <w:rPr>
          <w:rFonts w:ascii="仿宋_GB2312" w:hAnsi="仿宋_GB2312" w:cs="仿宋_GB2312" w:eastAsia="仿宋_GB2312"/>
          <w:sz w:val="28"/>
          <w:b/>
        </w:rPr>
        <w:t>2025年10月10日</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第一章 竞争性磋商邀请</w:t>
      </w:r>
    </w:p>
    <w:p>
      <w:pPr>
        <w:pStyle w:val="null3"/>
        <w:ind w:firstLine="480"/>
      </w:pPr>
      <w:r>
        <w:rPr>
          <w:rFonts w:ascii="仿宋_GB2312" w:hAnsi="仿宋_GB2312" w:cs="仿宋_GB2312" w:eastAsia="仿宋_GB2312"/>
        </w:rPr>
        <w:t>陕西朗屹恒基项目咨询管理有限公司</w:t>
      </w:r>
      <w:r>
        <w:rPr>
          <w:rFonts w:ascii="仿宋_GB2312" w:hAnsi="仿宋_GB2312" w:cs="仿宋_GB2312" w:eastAsia="仿宋_GB2312"/>
        </w:rPr>
        <w:t>（以下简称“代理机构”）受</w:t>
      </w:r>
      <w:r>
        <w:rPr>
          <w:rFonts w:ascii="仿宋_GB2312" w:hAnsi="仿宋_GB2312" w:cs="仿宋_GB2312" w:eastAsia="仿宋_GB2312"/>
        </w:rPr>
        <w:t>陕西牛背梁国家级自然保护区管理局</w:t>
      </w:r>
      <w:r>
        <w:rPr>
          <w:rFonts w:ascii="仿宋_GB2312" w:hAnsi="仿宋_GB2312" w:cs="仿宋_GB2312" w:eastAsia="仿宋_GB2312"/>
        </w:rPr>
        <w:t>委托，拟对</w:t>
      </w:r>
      <w:r>
        <w:rPr>
          <w:rFonts w:ascii="仿宋_GB2312" w:hAnsi="仿宋_GB2312" w:cs="仿宋_GB2312" w:eastAsia="仿宋_GB2312"/>
        </w:rPr>
        <w:t>2025林恢（其他自然保护地国家级自然保护区项目第二批）陕西牛背梁国家级自然保护区</w:t>
      </w:r>
      <w:r>
        <w:rPr>
          <w:rFonts w:ascii="仿宋_GB2312" w:hAnsi="仿宋_GB2312" w:cs="仿宋_GB2312" w:eastAsia="仿宋_GB2312"/>
        </w:rPr>
        <w:t>采用竞争性磋商采购方式进行采购，兹邀请供应商参加本项目的竞争性磋商。</w:t>
      </w:r>
    </w:p>
    <w:p>
      <w:pPr>
        <w:pStyle w:val="null3"/>
        <w:outlineLvl w:val="2"/>
      </w:pPr>
      <w:r>
        <w:rPr>
          <w:rFonts w:ascii="仿宋_GB2312" w:hAnsi="仿宋_GB2312" w:cs="仿宋_GB2312" w:eastAsia="仿宋_GB2312"/>
          <w:sz w:val="28"/>
          <w:b/>
        </w:rPr>
        <w:t>一、采购项目编号：</w:t>
      </w:r>
      <w:r>
        <w:rPr>
          <w:rFonts w:ascii="仿宋_GB2312" w:hAnsi="仿宋_GB2312" w:cs="仿宋_GB2312" w:eastAsia="仿宋_GB2312"/>
          <w:sz w:val="28"/>
          <w:b/>
        </w:rPr>
        <w:t>LYHJ-ZB-056</w:t>
      </w:r>
    </w:p>
    <w:p>
      <w:pPr>
        <w:pStyle w:val="null3"/>
        <w:outlineLvl w:val="2"/>
      </w:pPr>
      <w:r>
        <w:rPr>
          <w:rFonts w:ascii="仿宋_GB2312" w:hAnsi="仿宋_GB2312" w:cs="仿宋_GB2312" w:eastAsia="仿宋_GB2312"/>
          <w:sz w:val="28"/>
          <w:b/>
        </w:rPr>
        <w:t>二、采购项目名称：</w:t>
      </w:r>
      <w:r>
        <w:rPr>
          <w:rFonts w:ascii="仿宋_GB2312" w:hAnsi="仿宋_GB2312" w:cs="仿宋_GB2312" w:eastAsia="仿宋_GB2312"/>
          <w:sz w:val="28"/>
          <w:b/>
        </w:rPr>
        <w:t>2025林恢（其他自然保护地国家级自然保护区项目第二批）陕西牛背梁国家级自然保护区</w:t>
      </w:r>
    </w:p>
    <w:p>
      <w:pPr>
        <w:pStyle w:val="null3"/>
        <w:outlineLvl w:val="2"/>
      </w:pPr>
      <w:r>
        <w:rPr>
          <w:rFonts w:ascii="仿宋_GB2312" w:hAnsi="仿宋_GB2312" w:cs="仿宋_GB2312" w:eastAsia="仿宋_GB2312"/>
          <w:sz w:val="28"/>
          <w:b/>
        </w:rPr>
        <w:t>三、磋商项目简介</w:t>
      </w:r>
    </w:p>
    <w:p>
      <w:pPr>
        <w:pStyle w:val="null3"/>
        <w:ind w:firstLine="480"/>
      </w:pPr>
      <w:r>
        <w:rPr>
          <w:rFonts w:ascii="仿宋_GB2312" w:hAnsi="仿宋_GB2312" w:cs="仿宋_GB2312" w:eastAsia="仿宋_GB2312"/>
        </w:rPr>
        <w:t>本次拟建设 8 套人为活动监测系统，1 套野生动物监测系统以及 1项野生动物疫源疫病监测（具体详见磋商文件）。</w:t>
      </w:r>
    </w:p>
    <w:p>
      <w:pPr>
        <w:pStyle w:val="null3"/>
        <w:outlineLvl w:val="2"/>
      </w:pPr>
      <w:r>
        <w:rPr>
          <w:rFonts w:ascii="仿宋_GB2312" w:hAnsi="仿宋_GB2312" w:cs="仿宋_GB2312" w:eastAsia="仿宋_GB2312"/>
          <w:sz w:val="28"/>
          <w:b/>
        </w:rPr>
        <w:t>四、邀请供应商</w:t>
      </w:r>
    </w:p>
    <w:p>
      <w:pPr>
        <w:pStyle w:val="null3"/>
      </w:pPr>
      <w:r>
        <w:rPr>
          <w:rFonts w:ascii="仿宋_GB2312" w:hAnsi="仿宋_GB2312" w:cs="仿宋_GB2312" w:eastAsia="仿宋_GB2312"/>
        </w:rPr>
        <w:t>本次采购采取公告征集邀请磋商的供应商。</w:t>
      </w:r>
    </w:p>
    <w:p>
      <w:pPr>
        <w:pStyle w:val="null3"/>
      </w:pPr>
      <w:r>
        <w:rPr>
          <w:rFonts w:ascii="仿宋_GB2312" w:hAnsi="仿宋_GB2312" w:cs="仿宋_GB2312" w:eastAsia="仿宋_GB2312"/>
        </w:rPr>
        <w:t xml:space="preserve"> 公告征集：本次竞争性磋商在“陕西省政府采购网（www.ccgp-shaanxi.gov.cn）”上以公告形式发布，兹邀请符合本次采购要求的供应商参加本项目的竞争性磋商。</w:t>
      </w:r>
    </w:p>
    <w:p>
      <w:pPr>
        <w:pStyle w:val="null3"/>
        <w:outlineLvl w:val="2"/>
      </w:pPr>
      <w:r>
        <w:rPr>
          <w:rFonts w:ascii="仿宋_GB2312" w:hAnsi="仿宋_GB2312" w:cs="仿宋_GB2312" w:eastAsia="仿宋_GB2312"/>
          <w:sz w:val="28"/>
          <w:b/>
        </w:rPr>
        <w:t>五、供应商参加本次政府采购活动应具备的条件</w:t>
      </w:r>
    </w:p>
    <w:p>
      <w:pPr>
        <w:pStyle w:val="null3"/>
        <w:ind w:firstLine="480"/>
      </w:pPr>
      <w:r>
        <w:rPr>
          <w:rFonts w:ascii="仿宋_GB2312" w:hAnsi="仿宋_GB2312" w:cs="仿宋_GB2312" w:eastAsia="仿宋_GB2312"/>
        </w:rPr>
        <w:t>（一）满足《中华人民共和国政府采购法》第二十二条规定；</w:t>
      </w:r>
    </w:p>
    <w:p>
      <w:pPr>
        <w:pStyle w:val="null3"/>
        <w:ind w:firstLine="480"/>
      </w:pPr>
      <w:r>
        <w:rPr>
          <w:rFonts w:ascii="仿宋_GB2312" w:hAnsi="仿宋_GB2312" w:cs="仿宋_GB2312" w:eastAsia="仿宋_GB2312"/>
        </w:rPr>
        <w:t>（二）落实政府采购政策需满足的资格要求：</w:t>
      </w:r>
    </w:p>
    <w:p>
      <w:pPr>
        <w:pStyle w:val="null3"/>
        <w:ind w:firstLine="480"/>
      </w:pPr>
      <w:r>
        <w:rPr>
          <w:rFonts w:ascii="仿宋_GB2312" w:hAnsi="仿宋_GB2312" w:cs="仿宋_GB2312" w:eastAsia="仿宋_GB2312"/>
        </w:rPr>
        <w:t>落实政府采购促进中小企业发展的相关政策：</w:t>
      </w:r>
    </w:p>
    <w:p>
      <w:pPr>
        <w:pStyle w:val="null3"/>
      </w:pPr>
      <w:r>
        <w:rPr>
          <w:rFonts w:ascii="仿宋_GB2312" w:hAnsi="仿宋_GB2312" w:cs="仿宋_GB2312" w:eastAsia="仿宋_GB2312"/>
        </w:rPr>
        <w:t>采购包1（2025林恢（其他自然保护地国家级自然保护区项目第二批）陕西牛背梁国家级自然保护区）：属于专门面向中小企业采购。</w:t>
      </w:r>
    </w:p>
    <w:p>
      <w:pPr>
        <w:pStyle w:val="null3"/>
        <w:ind w:firstLine="480"/>
      </w:pPr>
      <w:r>
        <w:rPr>
          <w:rFonts w:ascii="仿宋_GB2312" w:hAnsi="仿宋_GB2312" w:cs="仿宋_GB2312" w:eastAsia="仿宋_GB2312"/>
        </w:rPr>
        <w:t>（三）本项目的特定资格要求：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1、供应商资质：供应商须具备建设行政主管部门颁发的电子与智能化工程专业承包二级（含）以上资质证书，并具备合格有效的安全生产许可证。</w:t>
      </w:r>
    </w:p>
    <w:p>
      <w:pPr>
        <w:pStyle w:val="null3"/>
      </w:pPr>
      <w:r>
        <w:rPr>
          <w:rFonts w:ascii="仿宋_GB2312" w:hAnsi="仿宋_GB2312" w:cs="仿宋_GB2312" w:eastAsia="仿宋_GB2312"/>
        </w:rPr>
        <w:t>2、拟派项目负责人资质和专业要求：拟派项目经理须具备机电工程专业二级（含）及以上注册建造师资格，须同时提供注册证、执业资格证及有效的建安B证。</w:t>
      </w:r>
    </w:p>
    <w:p>
      <w:pPr>
        <w:pStyle w:val="null3"/>
      </w:pPr>
      <w:r>
        <w:rPr>
          <w:rFonts w:ascii="仿宋_GB2312" w:hAnsi="仿宋_GB2312" w:cs="仿宋_GB2312" w:eastAsia="仿宋_GB2312"/>
        </w:rPr>
        <w:t>3、授权委托：非法人参加磋商，须出具法定代表人授权书（附法定代表人、被授权人身份证复印件）及授权代表身份证；法定代表人参加磋商的，须提供法定代表人身份证明书及身份证；</w:t>
      </w:r>
    </w:p>
    <w:p>
      <w:pPr>
        <w:pStyle w:val="null3"/>
      </w:pPr>
      <w:r>
        <w:rPr>
          <w:rFonts w:ascii="仿宋_GB2312" w:hAnsi="仿宋_GB2312" w:cs="仿宋_GB2312" w:eastAsia="仿宋_GB2312"/>
        </w:rPr>
        <w:t>4、信用查询：供应商不得为“信用中国”网站（www.creditchina.gov.cn）中列入失信被执行人和重大税收违法失信主体名单的供应商，不得为中国政府采购网 （www.ccgp.gov.cn）政府采购严重违法失信行为记录名单中被财政部门禁止参加政府采购活动的供应商；</w:t>
      </w:r>
    </w:p>
    <w:p>
      <w:pPr>
        <w:pStyle w:val="null3"/>
      </w:pPr>
      <w:r>
        <w:rPr>
          <w:rFonts w:ascii="仿宋_GB2312" w:hAnsi="仿宋_GB2312" w:cs="仿宋_GB2312" w:eastAsia="仿宋_GB2312"/>
        </w:rPr>
        <w:t>5、企业关联声明：单位负责人为同一人或者存在直接控股、管理关系的不同投标人，不得参加同一招标项目的投标活动。</w:t>
      </w:r>
    </w:p>
    <w:p>
      <w:pPr>
        <w:pStyle w:val="null3"/>
        <w:outlineLvl w:val="2"/>
      </w:pPr>
      <w:r>
        <w:rPr>
          <w:rFonts w:ascii="仿宋_GB2312" w:hAnsi="仿宋_GB2312" w:cs="仿宋_GB2312" w:eastAsia="仿宋_GB2312"/>
          <w:sz w:val="28"/>
          <w:b/>
        </w:rPr>
        <w:t>六、电子化采购相关事项</w:t>
      </w:r>
    </w:p>
    <w:p>
      <w:pPr>
        <w:pStyle w:val="null3"/>
        <w:ind w:firstLine="480"/>
      </w:pPr>
      <w:r>
        <w:rPr>
          <w:rFonts w:ascii="仿宋_GB2312" w:hAnsi="仿宋_GB2312" w:cs="仿宋_GB2312" w:eastAsia="仿宋_GB2312"/>
        </w:rPr>
        <w:t xml:space="preserve"> 本项目实行电子化采购，使用的电子化交易系统为：陕西省政府采购综合管理平台的项目电子化交易系统（以下简称“项目电子化交易系统”），登录方式及地址：通过陕西省政府采购网（http://www.ccgp-shaanxi.gov.cn/）首页供应商用户登录陕西省政府采购综合管理平台（以下简称“政府采购平台”），进入项目电子化交易系统。供应商应当按照以下要求，参与本次电子化采购活动。</w:t>
      </w:r>
    </w:p>
    <w:p>
      <w:pPr>
        <w:pStyle w:val="null3"/>
        <w:ind w:firstLine="480"/>
      </w:pPr>
      <w:r>
        <w:rPr>
          <w:rFonts w:ascii="仿宋_GB2312" w:hAnsi="仿宋_GB2312" w:cs="仿宋_GB2312" w:eastAsia="仿宋_GB2312"/>
        </w:rPr>
        <w:t xml:space="preserve"> (一)供应商应当自行在陕西省政府采购网-办事指南查看相应的系统操作指南，并严格按照操作指南要求进行系统操作。在登录、使用政府采购平台前，应当按照要求完成供应商注册和信息完善，加入政府采购平台供应商库。</w:t>
      </w:r>
    </w:p>
    <w:p>
      <w:pPr>
        <w:pStyle w:val="null3"/>
        <w:ind w:firstLine="480"/>
      </w:pPr>
      <w:r>
        <w:rPr>
          <w:rFonts w:ascii="仿宋_GB2312" w:hAnsi="仿宋_GB2312" w:cs="仿宋_GB2312" w:eastAsia="仿宋_GB2312"/>
        </w:rPr>
        <w:t xml:space="preserve"> (二)供应商应当使用纳入陕西省政府采购综合管理平台数字证书互认范围的数字证书及签章（以下简称“互认的证书及签章”）进行系统操作。供应商使用互认的证书及签章登录政府采购平台进行的一切操作和资料传递，以及加盖电子签章确认采购过程中制作、交换的电子数据，均属于供应商真实意思表示，由供应商对其系统操作行为和电子签章确认的事项承担法律责任。</w:t>
      </w:r>
    </w:p>
    <w:p>
      <w:pPr>
        <w:pStyle w:val="null3"/>
        <w:ind w:firstLine="480"/>
      </w:pPr>
      <w:r>
        <w:rPr>
          <w:rFonts w:ascii="仿宋_GB2312" w:hAnsi="仿宋_GB2312" w:cs="仿宋_GB2312" w:eastAsia="仿宋_GB2312"/>
        </w:rPr>
        <w:t xml:space="preserve"> 已办理互认的证书及签章的供应商，校验互认的证书及签章有效性后，即可按照系统操作要求进行身份信息绑定、权限设置和系统操作；未办理互认的证书及签章的供应商，按要求办理互认的证书及签章并校验有效性后，按照系统操作要求进行身份信息绑定、权限设置和系统操作。互认的证书及签章的办理与校验，可查看陕西省政府采购网-办事指南-CA及签章服务。</w:t>
      </w:r>
    </w:p>
    <w:p>
      <w:pPr>
        <w:pStyle w:val="null3"/>
        <w:ind w:firstLine="480"/>
      </w:pPr>
      <w:r>
        <w:rPr>
          <w:rFonts w:ascii="仿宋_GB2312" w:hAnsi="仿宋_GB2312" w:cs="仿宋_GB2312" w:eastAsia="仿宋_GB2312"/>
        </w:rPr>
        <w:t xml:space="preserve"> 供应商应当加强互认的证书及签章日常校验和妥善保管，确保在参加采购活动期间互认的证书及签章能够正常使用；供应商应当严格互认的证书及签章的内部授权管理，防止非授权操作。</w:t>
      </w:r>
    </w:p>
    <w:p>
      <w:pPr>
        <w:pStyle w:val="null3"/>
        <w:ind w:firstLine="480"/>
      </w:pPr>
      <w:r>
        <w:rPr>
          <w:rFonts w:ascii="仿宋_GB2312" w:hAnsi="仿宋_GB2312" w:cs="仿宋_GB2312" w:eastAsia="仿宋_GB2312"/>
        </w:rPr>
        <w:t xml:space="preserve"> （三）供应商应当自行准备电子化采购所需的计算机终端、软硬件及网络环境，承担因准备不足产生的不利后果。</w:t>
      </w:r>
    </w:p>
    <w:p>
      <w:pPr>
        <w:pStyle w:val="null3"/>
        <w:ind w:firstLine="480"/>
      </w:pPr>
      <w:r>
        <w:rPr>
          <w:rFonts w:ascii="仿宋_GB2312" w:hAnsi="仿宋_GB2312" w:cs="仿宋_GB2312" w:eastAsia="仿宋_GB2312"/>
        </w:rPr>
        <w:t>（四）政府采购平台技术支持：</w:t>
      </w:r>
    </w:p>
    <w:p>
      <w:pPr>
        <w:pStyle w:val="null3"/>
        <w:ind w:firstLine="480"/>
      </w:pPr>
      <w:r>
        <w:rPr>
          <w:rFonts w:ascii="仿宋_GB2312" w:hAnsi="仿宋_GB2312" w:cs="仿宋_GB2312" w:eastAsia="仿宋_GB2312"/>
        </w:rPr>
        <w:t>在线客服：通过陕西省政府采购网-在线客服进行咨询</w:t>
      </w:r>
    </w:p>
    <w:p>
      <w:pPr>
        <w:pStyle w:val="null3"/>
        <w:ind w:firstLine="480"/>
      </w:pPr>
      <w:r>
        <w:rPr>
          <w:rFonts w:ascii="仿宋_GB2312" w:hAnsi="仿宋_GB2312" w:cs="仿宋_GB2312" w:eastAsia="仿宋_GB2312"/>
        </w:rPr>
        <w:t>技术服务电话：029-96702</w:t>
      </w:r>
    </w:p>
    <w:p>
      <w:pPr>
        <w:pStyle w:val="null3"/>
        <w:ind w:firstLine="480"/>
      </w:pPr>
      <w:r>
        <w:rPr>
          <w:rFonts w:ascii="仿宋_GB2312" w:hAnsi="仿宋_GB2312" w:cs="仿宋_GB2312" w:eastAsia="仿宋_GB2312"/>
        </w:rPr>
        <w:t>CA及签章服务：通过陕西省政府采购网-办事指南-CA及签章服务进行查询</w:t>
      </w:r>
    </w:p>
    <w:p>
      <w:pPr>
        <w:pStyle w:val="null3"/>
        <w:outlineLvl w:val="2"/>
      </w:pPr>
      <w:r>
        <w:rPr>
          <w:rFonts w:ascii="仿宋_GB2312" w:hAnsi="仿宋_GB2312" w:cs="仿宋_GB2312" w:eastAsia="仿宋_GB2312"/>
          <w:sz w:val="28"/>
          <w:b/>
        </w:rPr>
        <w:t>七、竞争性磋商文件获取时间、方式及地址</w:t>
      </w:r>
    </w:p>
    <w:p>
      <w:pPr>
        <w:pStyle w:val="null3"/>
        <w:ind w:firstLine="480"/>
      </w:pPr>
      <w:r>
        <w:rPr>
          <w:rFonts w:ascii="仿宋_GB2312" w:hAnsi="仿宋_GB2312" w:cs="仿宋_GB2312" w:eastAsia="仿宋_GB2312"/>
        </w:rPr>
        <w:t>（一）磋商文件获取时间：详见采购公告或邀请书</w:t>
      </w:r>
    </w:p>
    <w:p>
      <w:pPr>
        <w:pStyle w:val="null3"/>
        <w:ind w:firstLine="480"/>
      </w:pPr>
      <w:r>
        <w:rPr>
          <w:rFonts w:ascii="仿宋_GB2312" w:hAnsi="仿宋_GB2312" w:cs="仿宋_GB2312" w:eastAsia="仿宋_GB2312"/>
        </w:rPr>
        <w:t xml:space="preserve"> （二）在磋商文件获取开始时间前，采购人或代理机构将本项目磋商文件上传至项目电子化交易系统，向供应商提供。供应商通过项目电子化交易系统获取磋商文件。成功获取磋商文件的，供应商将收到已获取磋商文件的回执函。未成功获取磋商文件的供应商，不得参与本次采购活动，不得对磋商文件提起质疑。</w:t>
      </w:r>
    </w:p>
    <w:p>
      <w:pPr>
        <w:pStyle w:val="null3"/>
        <w:ind w:firstLine="480"/>
      </w:pPr>
      <w:r>
        <w:rPr>
          <w:rFonts w:ascii="仿宋_GB2312" w:hAnsi="仿宋_GB2312" w:cs="仿宋_GB2312" w:eastAsia="仿宋_GB2312"/>
        </w:rPr>
        <w:t xml:space="preserve"> 成功获取磋商文件后，采购人或代理机构进行澄清或者修改的，澄清或者修改的内容可能影响响应文件编制的，采购人或代理机构将通过项目电子化交易系统发布澄清或者修改后的磋商文件，供应商应当重新获取磋商文件；澄清或者修改后的磋商文件发布日期距提交响应文件截止日期不足5日的，采购人或代理机构顺延提交响应文件的截止时间。供应商未重新获取磋商文件或者未按照澄清或者修改后的磋商文件编制响应文件进行响应的，自行承担不利后果。</w:t>
      </w:r>
    </w:p>
    <w:p>
      <w:pPr>
        <w:pStyle w:val="null3"/>
        <w:ind w:firstLine="480"/>
      </w:pPr>
      <w:r>
        <w:rPr>
          <w:rFonts w:ascii="仿宋_GB2312" w:hAnsi="仿宋_GB2312" w:cs="仿宋_GB2312" w:eastAsia="仿宋_GB2312"/>
        </w:rPr>
        <w:t>注：获取的磋商文件主体格式包括pdf、word两种格式版本，其中以pdf格式为准。</w:t>
      </w:r>
    </w:p>
    <w:p>
      <w:pPr>
        <w:pStyle w:val="null3"/>
        <w:outlineLvl w:val="2"/>
      </w:pPr>
      <w:r>
        <w:rPr>
          <w:rFonts w:ascii="仿宋_GB2312" w:hAnsi="仿宋_GB2312" w:cs="仿宋_GB2312" w:eastAsia="仿宋_GB2312"/>
          <w:sz w:val="28"/>
          <w:b/>
        </w:rPr>
        <w:t>八、提交首次响应文件截止时间及开启时间、地点、方式</w:t>
      </w:r>
    </w:p>
    <w:p>
      <w:pPr>
        <w:pStyle w:val="null3"/>
        <w:ind w:firstLine="480"/>
      </w:pPr>
      <w:r>
        <w:rPr>
          <w:rFonts w:ascii="仿宋_GB2312" w:hAnsi="仿宋_GB2312" w:cs="仿宋_GB2312" w:eastAsia="仿宋_GB2312"/>
        </w:rPr>
        <w:t>（一）提交首次响应文件截止时间及开启时间：详见采购公告或邀请书。</w:t>
      </w:r>
    </w:p>
    <w:p>
      <w:pPr>
        <w:pStyle w:val="null3"/>
        <w:ind w:firstLine="480"/>
      </w:pPr>
      <w:r>
        <w:rPr>
          <w:rFonts w:ascii="仿宋_GB2312" w:hAnsi="仿宋_GB2312" w:cs="仿宋_GB2312" w:eastAsia="仿宋_GB2312"/>
        </w:rPr>
        <w:t xml:space="preserve"> （二）响应文件提交方式、地点：供应商应当在提交首次响应文件截止时间前，通过项目电子化交易系统提交响应文件。成功提交的，供应商将收到已提交响应文件的回执函。</w:t>
      </w:r>
    </w:p>
    <w:p>
      <w:pPr>
        <w:pStyle w:val="null3"/>
        <w:outlineLvl w:val="2"/>
      </w:pPr>
      <w:r>
        <w:rPr>
          <w:rFonts w:ascii="仿宋_GB2312" w:hAnsi="仿宋_GB2312" w:cs="仿宋_GB2312" w:eastAsia="仿宋_GB2312"/>
          <w:sz w:val="28"/>
          <w:b/>
        </w:rPr>
        <w:t>九、磋商方式</w:t>
      </w:r>
    </w:p>
    <w:p>
      <w:pPr>
        <w:pStyle w:val="null3"/>
        <w:ind w:firstLine="480"/>
      </w:pPr>
      <w:r>
        <w:rPr>
          <w:rFonts w:ascii="仿宋_GB2312" w:hAnsi="仿宋_GB2312" w:cs="仿宋_GB2312" w:eastAsia="仿宋_GB2312"/>
        </w:rPr>
        <w:t xml:space="preserve"> 本项目磋商小组与供应商通过项目电子化交易系统以在线方式进行磋商。磋商会议由磋商小组在线主持，供应商代表在线参加。供应商应随时关注项目电子化交易系统信息，及时参与在线磋商。供应商登录项目电子化交易系统，与磋商小组进行在线磋商、提交供应商响应表，供应商响应表应加盖供应商（法定名称）电子印章。</w:t>
      </w:r>
    </w:p>
    <w:p>
      <w:pPr>
        <w:pStyle w:val="null3"/>
        <w:outlineLvl w:val="2"/>
      </w:pPr>
      <w:r>
        <w:rPr>
          <w:rFonts w:ascii="仿宋_GB2312" w:hAnsi="仿宋_GB2312" w:cs="仿宋_GB2312" w:eastAsia="仿宋_GB2312"/>
          <w:sz w:val="28"/>
          <w:b/>
        </w:rPr>
        <w:t>十、供应商信用融资</w:t>
      </w:r>
    </w:p>
    <w:p>
      <w:pPr>
        <w:pStyle w:val="null3"/>
        <w:ind w:firstLine="480"/>
      </w:pPr>
      <w:r>
        <w:rPr>
          <w:rFonts w:ascii="仿宋_GB2312" w:hAnsi="仿宋_GB2312" w:cs="仿宋_GB2312" w:eastAsia="仿宋_GB2312"/>
        </w:rPr>
        <w:t xml:space="preserve"> 根据《陕西省财政厅关于加快推进我省中小企业政府采购信用融资工作的通知》（陕财办采〔2020〕15 号）和《陕西省中小企业政府采购信用融资办法》（陕财办采〔2018〕23 号）文件要求，为助力解决政府采购成交供应商资金不足、融资难、融资贵的困难，促进供应商依法诚信参加政府采购活动，有融资需求的供应商可登录陕西省政府采购网—陕西省政府采购金融服务平台（http://www.ccgp-shaanxi.gov.cn/zcdservice/zcd/shanxi/），选择符合自身情况的“政采贷”银行及其产品，凭项目中标（成交）结果、中标（成交）通知书等信息在线向银行提出贷款意向申请、查看贷款审批情况等。</w:t>
      </w:r>
    </w:p>
    <w:p>
      <w:pPr>
        <w:pStyle w:val="null3"/>
        <w:outlineLvl w:val="2"/>
      </w:pPr>
      <w:r>
        <w:rPr>
          <w:rFonts w:ascii="仿宋_GB2312" w:hAnsi="仿宋_GB2312" w:cs="仿宋_GB2312" w:eastAsia="仿宋_GB2312"/>
          <w:sz w:val="28"/>
          <w:b/>
        </w:rPr>
        <w:t>十一、联系方式</w:t>
      </w:r>
    </w:p>
    <w:p>
      <w:pPr>
        <w:pStyle w:val="null3"/>
        <w:outlineLvl w:val="3"/>
      </w:pPr>
      <w:r>
        <w:rPr>
          <w:rFonts w:ascii="仿宋_GB2312" w:hAnsi="仿宋_GB2312" w:cs="仿宋_GB2312" w:eastAsia="仿宋_GB2312"/>
          <w:sz w:val="24"/>
          <w:b/>
        </w:rPr>
        <w:t xml:space="preserve">采购人： </w:t>
      </w:r>
      <w:r>
        <w:rPr>
          <w:rFonts w:ascii="仿宋_GB2312" w:hAnsi="仿宋_GB2312" w:cs="仿宋_GB2312" w:eastAsia="仿宋_GB2312"/>
          <w:sz w:val="24"/>
          <w:b/>
        </w:rPr>
        <w:t>陕西牛背梁国家级自然保护区管理局</w:t>
      </w:r>
    </w:p>
    <w:p>
      <w:pPr>
        <w:pStyle w:val="null3"/>
      </w:pPr>
      <w:r>
        <w:rPr>
          <w:rFonts w:ascii="仿宋_GB2312" w:hAnsi="仿宋_GB2312" w:cs="仿宋_GB2312" w:eastAsia="仿宋_GB2312"/>
        </w:rPr>
        <w:t xml:space="preserve"> 地址： </w:t>
      </w:r>
      <w:r>
        <w:rPr>
          <w:rFonts w:ascii="仿宋_GB2312" w:hAnsi="仿宋_GB2312" w:cs="仿宋_GB2312" w:eastAsia="仿宋_GB2312"/>
        </w:rPr>
        <w:t>西安长安区航天大道</w:t>
      </w:r>
    </w:p>
    <w:p>
      <w:pPr>
        <w:pStyle w:val="null3"/>
      </w:pPr>
      <w:r>
        <w:rPr>
          <w:rFonts w:ascii="仿宋_GB2312" w:hAnsi="仿宋_GB2312" w:cs="仿宋_GB2312" w:eastAsia="仿宋_GB2312"/>
        </w:rPr>
        <w:t xml:space="preserve"> 邮编： </w:t>
      </w:r>
      <w:r>
        <w:rPr>
          <w:rFonts w:ascii="仿宋_GB2312" w:hAnsi="仿宋_GB2312" w:cs="仿宋_GB2312" w:eastAsia="仿宋_GB2312"/>
        </w:rPr>
        <w:t>710100</w:t>
      </w:r>
    </w:p>
    <w:p>
      <w:pPr>
        <w:pStyle w:val="null3"/>
      </w:pPr>
      <w:r>
        <w:rPr>
          <w:rFonts w:ascii="仿宋_GB2312" w:hAnsi="仿宋_GB2312" w:cs="仿宋_GB2312" w:eastAsia="仿宋_GB2312"/>
        </w:rPr>
        <w:t xml:space="preserve"> 联系人： </w:t>
      </w:r>
      <w:r>
        <w:rPr>
          <w:rFonts w:ascii="仿宋_GB2312" w:hAnsi="仿宋_GB2312" w:cs="仿宋_GB2312" w:eastAsia="仿宋_GB2312"/>
        </w:rPr>
        <w:t>陕西牛背梁国家级自然保护区管理局</w:t>
      </w:r>
    </w:p>
    <w:p>
      <w:pPr>
        <w:pStyle w:val="null3"/>
      </w:pPr>
      <w:r>
        <w:rPr>
          <w:rFonts w:ascii="仿宋_GB2312" w:hAnsi="仿宋_GB2312" w:cs="仿宋_GB2312" w:eastAsia="仿宋_GB2312"/>
        </w:rPr>
        <w:t xml:space="preserve"> 联系电话： </w:t>
      </w:r>
      <w:r>
        <w:rPr>
          <w:rFonts w:ascii="仿宋_GB2312" w:hAnsi="仿宋_GB2312" w:cs="仿宋_GB2312" w:eastAsia="仿宋_GB2312"/>
        </w:rPr>
        <w:t>029-85642482</w:t>
      </w:r>
    </w:p>
    <w:p>
      <w:pPr>
        <w:pStyle w:val="null3"/>
        <w:outlineLvl w:val="3"/>
      </w:pPr>
      <w:r>
        <w:rPr>
          <w:rFonts w:ascii="仿宋_GB2312" w:hAnsi="仿宋_GB2312" w:cs="仿宋_GB2312" w:eastAsia="仿宋_GB2312"/>
          <w:sz w:val="24"/>
          <w:b/>
        </w:rPr>
        <w:t>代理机构：</w:t>
      </w:r>
      <w:r>
        <w:rPr>
          <w:rFonts w:ascii="仿宋_GB2312" w:hAnsi="仿宋_GB2312" w:cs="仿宋_GB2312" w:eastAsia="仿宋_GB2312"/>
          <w:sz w:val="24"/>
          <w:b/>
        </w:rPr>
        <w:t>陕西朗屹恒基项目咨询管理有限公司</w:t>
      </w:r>
    </w:p>
    <w:p>
      <w:pPr>
        <w:pStyle w:val="null3"/>
      </w:pPr>
      <w:r>
        <w:rPr>
          <w:rFonts w:ascii="仿宋_GB2312" w:hAnsi="仿宋_GB2312" w:cs="仿宋_GB2312" w:eastAsia="仿宋_GB2312"/>
        </w:rPr>
        <w:t xml:space="preserve"> 地址： </w:t>
      </w:r>
      <w:r>
        <w:rPr>
          <w:rFonts w:ascii="仿宋_GB2312" w:hAnsi="仿宋_GB2312" w:cs="仿宋_GB2312" w:eastAsia="仿宋_GB2312"/>
        </w:rPr>
        <w:t>陕西省咸阳市秦都区滨河西路5号咸阳非金属矿研究设计院院内办公楼8楼中段中户</w:t>
      </w:r>
    </w:p>
    <w:p>
      <w:pPr>
        <w:pStyle w:val="null3"/>
      </w:pPr>
      <w:r>
        <w:rPr>
          <w:rFonts w:ascii="仿宋_GB2312" w:hAnsi="仿宋_GB2312" w:cs="仿宋_GB2312" w:eastAsia="仿宋_GB2312"/>
        </w:rPr>
        <w:t xml:space="preserve"> 邮编： </w:t>
      </w:r>
      <w:r>
        <w:rPr>
          <w:rFonts w:ascii="仿宋_GB2312" w:hAnsi="仿宋_GB2312" w:cs="仿宋_GB2312" w:eastAsia="仿宋_GB2312"/>
        </w:rPr>
        <w:t>712000</w:t>
      </w:r>
    </w:p>
    <w:p>
      <w:pPr>
        <w:pStyle w:val="null3"/>
      </w:pPr>
      <w:r>
        <w:rPr>
          <w:rFonts w:ascii="仿宋_GB2312" w:hAnsi="仿宋_GB2312" w:cs="仿宋_GB2312" w:eastAsia="仿宋_GB2312"/>
        </w:rPr>
        <w:t xml:space="preserve"> 联系人： </w:t>
      </w:r>
      <w:r>
        <w:rPr>
          <w:rFonts w:ascii="仿宋_GB2312" w:hAnsi="仿宋_GB2312" w:cs="仿宋_GB2312" w:eastAsia="仿宋_GB2312"/>
        </w:rPr>
        <w:t>刘乐</w:t>
      </w:r>
    </w:p>
    <w:p>
      <w:pPr>
        <w:pStyle w:val="null3"/>
      </w:pPr>
      <w:r>
        <w:rPr>
          <w:rFonts w:ascii="仿宋_GB2312" w:hAnsi="仿宋_GB2312" w:cs="仿宋_GB2312" w:eastAsia="仿宋_GB2312"/>
        </w:rPr>
        <w:t xml:space="preserve"> 联系电话： </w:t>
      </w:r>
      <w:r>
        <w:rPr>
          <w:rFonts w:ascii="仿宋_GB2312" w:hAnsi="仿宋_GB2312" w:cs="仿宋_GB2312" w:eastAsia="仿宋_GB2312"/>
        </w:rPr>
        <w:t>19299397951</w:t>
      </w:r>
    </w:p>
    <w:p>
      <w:pPr>
        <w:pStyle w:val="null3"/>
        <w:outlineLvl w:val="3"/>
      </w:pPr>
      <w:r>
        <w:rPr>
          <w:rFonts w:ascii="仿宋_GB2312" w:hAnsi="仿宋_GB2312" w:cs="仿宋_GB2312" w:eastAsia="仿宋_GB2312"/>
          <w:sz w:val="24"/>
          <w:b/>
        </w:rPr>
        <w:t>采购监督机构：</w:t>
      </w:r>
      <w:r>
        <w:rPr>
          <w:rFonts w:ascii="仿宋_GB2312" w:hAnsi="仿宋_GB2312" w:cs="仿宋_GB2312" w:eastAsia="仿宋_GB2312"/>
          <w:sz w:val="24"/>
          <w:b/>
        </w:rPr>
        <w:t>财政厅政府采购管理处</w:t>
      </w:r>
    </w:p>
    <w:p>
      <w:pPr>
        <w:pStyle w:val="null3"/>
        <w:ind w:firstLine="480"/>
      </w:pPr>
      <w:r>
        <w:rPr>
          <w:rFonts w:ascii="仿宋_GB2312" w:hAnsi="仿宋_GB2312" w:cs="仿宋_GB2312" w:eastAsia="仿宋_GB2312"/>
        </w:rPr>
        <w:t>联系人：</w:t>
      </w:r>
      <w:r>
        <w:rPr>
          <w:rFonts w:ascii="仿宋_GB2312" w:hAnsi="仿宋_GB2312" w:cs="仿宋_GB2312" w:eastAsia="仿宋_GB2312"/>
        </w:rPr>
        <w:t>柴老师、杨老师</w:t>
      </w:r>
    </w:p>
    <w:p>
      <w:pPr>
        <w:pStyle w:val="null3"/>
        <w:ind w:firstLine="480"/>
      </w:pPr>
      <w:r>
        <w:rPr>
          <w:rFonts w:ascii="仿宋_GB2312" w:hAnsi="仿宋_GB2312" w:cs="仿宋_GB2312" w:eastAsia="仿宋_GB2312"/>
        </w:rPr>
        <w:t>联系电话：</w:t>
      </w:r>
      <w:r>
        <w:rPr>
          <w:rFonts w:ascii="仿宋_GB2312" w:hAnsi="仿宋_GB2312" w:cs="仿宋_GB2312" w:eastAsia="仿宋_GB2312"/>
        </w:rPr>
        <w:t>029-68936409、029-68936410</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第二章 供应商须知</w:t>
      </w:r>
    </w:p>
    <w:p>
      <w:pPr>
        <w:pStyle w:val="null3"/>
        <w:outlineLvl w:val="2"/>
      </w:pPr>
      <w:r>
        <w:rPr>
          <w:rFonts w:ascii="仿宋_GB2312" w:hAnsi="仿宋_GB2312" w:cs="仿宋_GB2312" w:eastAsia="仿宋_GB2312"/>
          <w:sz w:val="28"/>
          <w:b/>
        </w:rPr>
        <w:t>2.1供应商须知前附表</w:t>
      </w:r>
    </w:p>
    <w:tbl>
      <w:tblPr>
        <w:tblW w:w="0" w:type="auto"/>
        <w:tblBorders>
          <w:top w:val="single"/>
          <w:left w:val="single"/>
          <w:bottom w:val="single"/>
          <w:right w:val="single"/>
          <w:insideH w:val="single"/>
          <w:insideV w:val="single"/>
        </w:tblBorders>
      </w:tblPr>
      <w:tblGrid>
        <w:gridCol w:w="1051"/>
        <w:gridCol w:w="2252"/>
        <w:gridCol w:w="5004"/>
      </w:tblGrid>
      <w:tr>
        <w:tc>
          <w:tcPr>
            <w:tcW w:type="dxa" w:w="1051"/>
          </w:tcPr>
          <w:p>
            <w:pPr>
              <w:pStyle w:val="null3"/>
            </w:pPr>
            <w:r>
              <w:rPr>
                <w:rFonts w:ascii="仿宋_GB2312" w:hAnsi="仿宋_GB2312" w:cs="仿宋_GB2312" w:eastAsia="仿宋_GB2312"/>
              </w:rPr>
              <w:t>序号</w:t>
            </w:r>
          </w:p>
        </w:tc>
        <w:tc>
          <w:tcPr>
            <w:tcW w:type="dxa" w:w="2252"/>
          </w:tcPr>
          <w:p>
            <w:pPr>
              <w:pStyle w:val="null3"/>
            </w:pPr>
            <w:r>
              <w:rPr>
                <w:rFonts w:ascii="仿宋_GB2312" w:hAnsi="仿宋_GB2312" w:cs="仿宋_GB2312" w:eastAsia="仿宋_GB2312"/>
              </w:rPr>
              <w:t>应知事项</w:t>
            </w:r>
          </w:p>
        </w:tc>
        <w:tc>
          <w:tcPr>
            <w:tcW w:type="dxa" w:w="5004"/>
          </w:tcPr>
          <w:p>
            <w:pPr>
              <w:pStyle w:val="null3"/>
            </w:pPr>
            <w:r>
              <w:rPr>
                <w:rFonts w:ascii="仿宋_GB2312" w:hAnsi="仿宋_GB2312" w:cs="仿宋_GB2312" w:eastAsia="仿宋_GB2312"/>
              </w:rPr>
              <w:t>说明和要求</w:t>
            </w:r>
          </w:p>
        </w:tc>
      </w:tr>
      <w:tr>
        <w:tc>
          <w:tcPr>
            <w:tcW w:type="dxa" w:w="1051"/>
          </w:tcPr>
          <w:p>
            <w:pPr>
              <w:pStyle w:val="null3"/>
            </w:pPr>
            <w:r>
              <w:rPr>
                <w:rFonts w:ascii="仿宋_GB2312" w:hAnsi="仿宋_GB2312" w:cs="仿宋_GB2312" w:eastAsia="仿宋_GB2312"/>
              </w:rPr>
              <w:t>1</w:t>
            </w:r>
          </w:p>
        </w:tc>
        <w:tc>
          <w:tcPr>
            <w:tcW w:type="dxa" w:w="2252"/>
          </w:tcPr>
          <w:p>
            <w:pPr>
              <w:pStyle w:val="null3"/>
            </w:pPr>
            <w:r>
              <w:rPr>
                <w:rFonts w:ascii="仿宋_GB2312" w:hAnsi="仿宋_GB2312" w:cs="仿宋_GB2312" w:eastAsia="仿宋_GB2312"/>
              </w:rPr>
              <w:t>采购预算（实质性要求）</w:t>
            </w:r>
          </w:p>
        </w:tc>
        <w:tc>
          <w:tcPr>
            <w:tcW w:type="dxa" w:w="5004"/>
          </w:tcPr>
          <w:p>
            <w:pPr>
              <w:pStyle w:val="null3"/>
            </w:pPr>
            <w:r>
              <w:rPr>
                <w:rFonts w:ascii="仿宋_GB2312" w:hAnsi="仿宋_GB2312" w:cs="仿宋_GB2312" w:eastAsia="仿宋_GB2312"/>
              </w:rPr>
              <w:t>本项目各包采购预算金额如下：</w:t>
            </w:r>
          </w:p>
          <w:p>
            <w:pPr>
              <w:pStyle w:val="null3"/>
            </w:pPr>
            <w:r>
              <w:rPr>
                <w:rFonts w:ascii="仿宋_GB2312" w:hAnsi="仿宋_GB2312" w:cs="仿宋_GB2312" w:eastAsia="仿宋_GB2312"/>
              </w:rPr>
              <w:t>采购包1：1,500,000.00元</w:t>
            </w:r>
            <w:r>
              <w:rPr>
                <w:rFonts w:ascii="仿宋_GB2312" w:hAnsi="仿宋_GB2312" w:cs="仿宋_GB2312" w:eastAsia="仿宋_GB2312"/>
              </w:rPr>
              <w:t xml:space="preserve"> 供应商采购包报价高于采购包采购预算的，其响应文件将按无效处理。</w:t>
            </w:r>
          </w:p>
        </w:tc>
      </w:tr>
      <w:tr>
        <w:tc>
          <w:tcPr>
            <w:tcW w:type="dxa" w:w="1051"/>
          </w:tcPr>
          <w:p>
            <w:pPr>
              <w:pStyle w:val="null3"/>
            </w:pPr>
            <w:r>
              <w:rPr>
                <w:rFonts w:ascii="仿宋_GB2312" w:hAnsi="仿宋_GB2312" w:cs="仿宋_GB2312" w:eastAsia="仿宋_GB2312"/>
              </w:rPr>
              <w:t>2</w:t>
            </w:r>
          </w:p>
        </w:tc>
        <w:tc>
          <w:tcPr>
            <w:tcW w:type="dxa" w:w="2252"/>
          </w:tcPr>
          <w:p>
            <w:pPr>
              <w:pStyle w:val="null3"/>
            </w:pPr>
            <w:r>
              <w:rPr>
                <w:rFonts w:ascii="仿宋_GB2312" w:hAnsi="仿宋_GB2312" w:cs="仿宋_GB2312" w:eastAsia="仿宋_GB2312"/>
              </w:rPr>
              <w:t>最高限价（实质性要求）</w:t>
            </w:r>
          </w:p>
        </w:tc>
        <w:tc>
          <w:tcPr>
            <w:tcW w:type="dxa" w:w="5004"/>
          </w:tcPr>
          <w:p>
            <w:pPr>
              <w:pStyle w:val="null3"/>
            </w:pPr>
            <w:r>
              <w:rPr>
                <w:rFonts w:ascii="仿宋_GB2312" w:hAnsi="仿宋_GB2312" w:cs="仿宋_GB2312" w:eastAsia="仿宋_GB2312"/>
              </w:rPr>
              <w:t>详见第三章。</w:t>
            </w:r>
          </w:p>
          <w:p>
            <w:pPr>
              <w:pStyle w:val="null3"/>
            </w:pPr>
            <w:r>
              <w:rPr>
                <w:rFonts w:ascii="仿宋_GB2312" w:hAnsi="仿宋_GB2312" w:cs="仿宋_GB2312" w:eastAsia="仿宋_GB2312"/>
              </w:rPr>
              <w:t xml:space="preserve"> 供应商的采购包响应报价高于最高限价的，其响应文件将按无效处理。</w:t>
            </w:r>
          </w:p>
        </w:tc>
      </w:tr>
      <w:tr>
        <w:tc>
          <w:tcPr>
            <w:tcW w:type="dxa" w:w="1051"/>
          </w:tcPr>
          <w:p>
            <w:pPr>
              <w:pStyle w:val="null3"/>
            </w:pPr>
            <w:r>
              <w:rPr>
                <w:rFonts w:ascii="仿宋_GB2312" w:hAnsi="仿宋_GB2312" w:cs="仿宋_GB2312" w:eastAsia="仿宋_GB2312"/>
              </w:rPr>
              <w:t>3</w:t>
            </w:r>
          </w:p>
        </w:tc>
        <w:tc>
          <w:tcPr>
            <w:tcW w:type="dxa" w:w="2252"/>
          </w:tcPr>
          <w:p>
            <w:pPr>
              <w:pStyle w:val="null3"/>
            </w:pPr>
            <w:r>
              <w:rPr>
                <w:rFonts w:ascii="仿宋_GB2312" w:hAnsi="仿宋_GB2312" w:cs="仿宋_GB2312" w:eastAsia="仿宋_GB2312"/>
              </w:rPr>
              <w:t>评审方法</w:t>
            </w:r>
          </w:p>
        </w:tc>
        <w:tc>
          <w:tcPr>
            <w:tcW w:type="dxa" w:w="5004"/>
          </w:tcPr>
          <w:p>
            <w:pPr>
              <w:pStyle w:val="null3"/>
            </w:pPr>
            <w:r>
              <w:rPr>
                <w:rFonts w:ascii="仿宋_GB2312" w:hAnsi="仿宋_GB2312" w:cs="仿宋_GB2312" w:eastAsia="仿宋_GB2312"/>
              </w:rPr>
              <w:t>综合评分法(详见第六章)</w:t>
            </w:r>
          </w:p>
        </w:tc>
      </w:tr>
      <w:tr>
        <w:tc>
          <w:tcPr>
            <w:tcW w:type="dxa" w:w="1051"/>
          </w:tcPr>
          <w:p>
            <w:pPr>
              <w:pStyle w:val="null3"/>
            </w:pPr>
            <w:r>
              <w:rPr>
                <w:rFonts w:ascii="仿宋_GB2312" w:hAnsi="仿宋_GB2312" w:cs="仿宋_GB2312" w:eastAsia="仿宋_GB2312"/>
              </w:rPr>
              <w:t>4</w:t>
            </w:r>
          </w:p>
        </w:tc>
        <w:tc>
          <w:tcPr>
            <w:tcW w:type="dxa" w:w="2252"/>
          </w:tcPr>
          <w:p>
            <w:pPr>
              <w:pStyle w:val="null3"/>
            </w:pPr>
            <w:r>
              <w:rPr>
                <w:rFonts w:ascii="仿宋_GB2312" w:hAnsi="仿宋_GB2312" w:cs="仿宋_GB2312" w:eastAsia="仿宋_GB2312"/>
              </w:rPr>
              <w:t>是否接受联合体</w:t>
            </w:r>
          </w:p>
        </w:tc>
        <w:tc>
          <w:tcPr>
            <w:tcW w:type="dxa" w:w="5004"/>
          </w:tcPr>
          <w:p>
            <w:pPr>
              <w:pStyle w:val="null3"/>
            </w:pPr>
            <w:r>
              <w:rPr>
                <w:rFonts w:ascii="仿宋_GB2312" w:hAnsi="仿宋_GB2312" w:cs="仿宋_GB2312" w:eastAsia="仿宋_GB2312"/>
              </w:rPr>
              <w:t>采购包1：不接受</w:t>
            </w:r>
            <w:r>
              <w:rPr>
                <w:rFonts w:ascii="仿宋_GB2312" w:hAnsi="仿宋_GB2312" w:cs="仿宋_GB2312" w:eastAsia="仿宋_GB2312"/>
              </w:rPr>
              <w:t xml:space="preserve"> 如以联合体响应的，联合体各方均应当具备本磋商文件要求的资格条件和能力。</w:t>
            </w:r>
          </w:p>
          <w:p>
            <w:pPr>
              <w:pStyle w:val="null3"/>
            </w:pPr>
            <w:r>
              <w:rPr>
                <w:rFonts w:ascii="仿宋_GB2312" w:hAnsi="仿宋_GB2312" w:cs="仿宋_GB2312" w:eastAsia="仿宋_GB2312"/>
              </w:rPr>
              <w:t xml:space="preserve"> （1）联合体各方均应具有承担本磋商项目必备的条件，如相应的人力、物力、资金等。</w:t>
            </w:r>
          </w:p>
          <w:p>
            <w:pPr>
              <w:pStyle w:val="null3"/>
            </w:pPr>
            <w:r>
              <w:rPr>
                <w:rFonts w:ascii="仿宋_GB2312" w:hAnsi="仿宋_GB2312" w:cs="仿宋_GB2312" w:eastAsia="仿宋_GB2312"/>
              </w:rPr>
              <w:t xml:space="preserve"> （2）磋商文件对供应商资格条件有特殊要求的，联合体各个成员都应当具备规定的相应资格条件。</w:t>
            </w:r>
          </w:p>
          <w:p>
            <w:pPr>
              <w:pStyle w:val="null3"/>
            </w:pPr>
            <w:r>
              <w:rPr>
                <w:rFonts w:ascii="仿宋_GB2312" w:hAnsi="仿宋_GB2312" w:cs="仿宋_GB2312" w:eastAsia="仿宋_GB2312"/>
              </w:rPr>
              <w:t xml:space="preserve"> （3）同一专业的单位组成的联合体，应当按照资质等级较低的单位确定联合体的资质等级。如：某联合体由三个单位组成，其中两个单位资质等级为甲级，另一单位资质等级为乙级，则该联合体资质等级为乙级。</w:t>
            </w:r>
          </w:p>
        </w:tc>
      </w:tr>
      <w:tr>
        <w:tc>
          <w:tcPr>
            <w:tcW w:type="dxa" w:w="1051"/>
          </w:tcPr>
          <w:p>
            <w:pPr>
              <w:pStyle w:val="null3"/>
            </w:pPr>
            <w:r>
              <w:rPr>
                <w:rFonts w:ascii="仿宋_GB2312" w:hAnsi="仿宋_GB2312" w:cs="仿宋_GB2312" w:eastAsia="仿宋_GB2312"/>
              </w:rPr>
              <w:t>5</w:t>
            </w:r>
          </w:p>
        </w:tc>
        <w:tc>
          <w:tcPr>
            <w:tcW w:type="dxa" w:w="2252"/>
          </w:tcPr>
          <w:p>
            <w:pPr>
              <w:pStyle w:val="null3"/>
            </w:pPr>
            <w:r>
              <w:rPr>
                <w:rFonts w:ascii="仿宋_GB2312" w:hAnsi="仿宋_GB2312" w:cs="仿宋_GB2312" w:eastAsia="仿宋_GB2312"/>
              </w:rPr>
              <w:t>落实节能、环保产品政策</w:t>
            </w:r>
          </w:p>
        </w:tc>
        <w:tc>
          <w:tcPr>
            <w:tcW w:type="dxa" w:w="5004"/>
          </w:tcPr>
          <w:p>
            <w:pPr>
              <w:pStyle w:val="null3"/>
            </w:pPr>
            <w:r>
              <w:rPr>
                <w:rFonts w:ascii="仿宋_GB2312" w:hAnsi="仿宋_GB2312" w:cs="仿宋_GB2312" w:eastAsia="仿宋_GB2312"/>
              </w:rPr>
              <w:t>1.根据《财政部 发展改革委 生态环境部 市场监管总局关于调整优化节能产品、环境标志产品政府采购执行机制的通知》（财库〔2019〕9号）相关要求，政府采购节能产品、环境标志产品实施品目清单管理。财政部、发展改革委、生态环境部等部门确定实施政府优先采购和强制采购的产品类别，以品目清单的形式发布并适时调整。</w:t>
            </w:r>
          </w:p>
          <w:p>
            <w:pPr>
              <w:pStyle w:val="null3"/>
            </w:pPr>
            <w:r>
              <w:rPr>
                <w:rFonts w:ascii="仿宋_GB2312" w:hAnsi="仿宋_GB2312" w:cs="仿宋_GB2312" w:eastAsia="仿宋_GB2312"/>
              </w:rPr>
              <w:t>2.本项目采购</w:t>
            </w:r>
            <w:r>
              <w:rPr>
                <w:rFonts w:ascii="仿宋_GB2312" w:hAnsi="仿宋_GB2312" w:cs="仿宋_GB2312" w:eastAsia="仿宋_GB2312"/>
              </w:rPr>
              <w:t>/</w:t>
            </w:r>
            <w:r>
              <w:rPr>
                <w:rFonts w:ascii="仿宋_GB2312" w:hAnsi="仿宋_GB2312" w:cs="仿宋_GB2312" w:eastAsia="仿宋_GB2312"/>
              </w:rPr>
              <w:t>产品属于节能产品政府采购品目清单中应强制采购的产品范围，供应商应当按照第六章强制、优先采购产品承诺函格式进行承诺，否则作无效响应处理。</w:t>
            </w:r>
          </w:p>
          <w:p>
            <w:pPr>
              <w:pStyle w:val="null3"/>
            </w:pPr>
            <w:r>
              <w:rPr>
                <w:rFonts w:ascii="仿宋_GB2312" w:hAnsi="仿宋_GB2312" w:cs="仿宋_GB2312" w:eastAsia="仿宋_GB2312"/>
              </w:rPr>
              <w:t>3.本项目采购</w:t>
            </w:r>
            <w:r>
              <w:rPr>
                <w:rFonts w:ascii="仿宋_GB2312" w:hAnsi="仿宋_GB2312" w:cs="仿宋_GB2312" w:eastAsia="仿宋_GB2312"/>
              </w:rPr>
              <w:t>/</w:t>
            </w:r>
            <w:r>
              <w:rPr>
                <w:rFonts w:ascii="仿宋_GB2312" w:hAnsi="仿宋_GB2312" w:cs="仿宋_GB2312" w:eastAsia="仿宋_GB2312"/>
              </w:rPr>
              <w:t>产品属于节能产品政府采购品目清单中应优先采购的产品范围，本项目采购</w:t>
            </w:r>
            <w:r>
              <w:rPr>
                <w:rFonts w:ascii="仿宋_GB2312" w:hAnsi="仿宋_GB2312" w:cs="仿宋_GB2312" w:eastAsia="仿宋_GB2312"/>
              </w:rPr>
              <w:t>/</w:t>
            </w:r>
            <w:r>
              <w:rPr>
                <w:rFonts w:ascii="仿宋_GB2312" w:hAnsi="仿宋_GB2312" w:cs="仿宋_GB2312" w:eastAsia="仿宋_GB2312"/>
              </w:rPr>
              <w:t>产品属于环境标志产品政府采购品目清单中应优先采购的产品范围，供应商可根据第六章强制、优先采购产品承诺函格式要求承诺提供经认证的节能、环境标志产品。</w:t>
            </w:r>
          </w:p>
        </w:tc>
      </w:tr>
      <w:tr>
        <w:tc>
          <w:tcPr>
            <w:tcW w:type="dxa" w:w="1051"/>
          </w:tcPr>
          <w:p>
            <w:pPr>
              <w:pStyle w:val="null3"/>
            </w:pPr>
            <w:r>
              <w:rPr>
                <w:rFonts w:ascii="仿宋_GB2312" w:hAnsi="仿宋_GB2312" w:cs="仿宋_GB2312" w:eastAsia="仿宋_GB2312"/>
              </w:rPr>
              <w:t>6</w:t>
            </w:r>
          </w:p>
        </w:tc>
        <w:tc>
          <w:tcPr>
            <w:tcW w:type="dxa" w:w="2252"/>
          </w:tcPr>
          <w:p>
            <w:pPr>
              <w:pStyle w:val="null3"/>
            </w:pPr>
            <w:r>
              <w:rPr>
                <w:rFonts w:ascii="仿宋_GB2312" w:hAnsi="仿宋_GB2312" w:cs="仿宋_GB2312" w:eastAsia="仿宋_GB2312"/>
              </w:rPr>
              <w:t>小微企业（监狱企业、残疾人福利性单位视同小微企业）价格扣除（仅非预留份额采购项目或预留份额采购项目中的非预留部分采购包适用）</w:t>
            </w:r>
          </w:p>
        </w:tc>
        <w:tc>
          <w:tcPr>
            <w:tcW w:type="dxa" w:w="5004"/>
          </w:tcPr>
          <w:p>
            <w:pPr>
              <w:pStyle w:val="null3"/>
            </w:pPr>
            <w:r>
              <w:rPr>
                <w:rFonts w:ascii="仿宋_GB2312" w:hAnsi="仿宋_GB2312" w:cs="仿宋_GB2312" w:eastAsia="仿宋_GB2312"/>
              </w:rPr>
              <w:t xml:space="preserve"> （仅非预留份额采购项目或预留份额采购项目中的非预留部分采购包适用）根据《政府采购促进中小企业发展管理办法》（财库〔2020〕46号）第九条和《关于进一步加大政府采购支持中小企业力度的通知》（财库〔2022〕19号）的规定。</w:t>
            </w:r>
          </w:p>
          <w:p>
            <w:pPr>
              <w:pStyle w:val="null3"/>
            </w:pPr>
            <w:r>
              <w:rPr>
                <w:rFonts w:ascii="仿宋_GB2312" w:hAnsi="仿宋_GB2312" w:cs="仿宋_GB2312" w:eastAsia="仿宋_GB2312"/>
              </w:rPr>
              <w:t>关于本项目采购包中执行小微企业（监狱企业、残疾人福利性单位视同小微企业）价格扣除情况、具体扣除比例和规则详见第六章。</w:t>
            </w:r>
          </w:p>
          <w:p>
            <w:pPr>
              <w:pStyle w:val="null3"/>
            </w:pPr>
            <w:r>
              <w:rPr>
                <w:rFonts w:ascii="仿宋_GB2312" w:hAnsi="仿宋_GB2312" w:cs="仿宋_GB2312" w:eastAsia="仿宋_GB2312"/>
              </w:rPr>
              <w:t>（其他情形）不适用。</w:t>
            </w:r>
          </w:p>
        </w:tc>
      </w:tr>
      <w:tr>
        <w:tc>
          <w:tcPr>
            <w:tcW w:type="dxa" w:w="1051"/>
          </w:tcPr>
          <w:p>
            <w:pPr>
              <w:pStyle w:val="null3"/>
            </w:pPr>
            <w:r>
              <w:rPr>
                <w:rFonts w:ascii="仿宋_GB2312" w:hAnsi="仿宋_GB2312" w:cs="仿宋_GB2312" w:eastAsia="仿宋_GB2312"/>
              </w:rPr>
              <w:t>7</w:t>
            </w:r>
          </w:p>
        </w:tc>
        <w:tc>
          <w:tcPr>
            <w:tcW w:type="dxa" w:w="2252"/>
          </w:tcPr>
          <w:p>
            <w:pPr>
              <w:pStyle w:val="null3"/>
            </w:pPr>
            <w:r>
              <w:rPr>
                <w:rFonts w:ascii="仿宋_GB2312" w:hAnsi="仿宋_GB2312" w:cs="仿宋_GB2312" w:eastAsia="仿宋_GB2312"/>
              </w:rPr>
              <w:t>充分、公平竞争保障措施（实质性要求）</w:t>
            </w:r>
          </w:p>
        </w:tc>
        <w:tc>
          <w:tcPr>
            <w:tcW w:type="dxa" w:w="5004"/>
          </w:tcPr>
          <w:p>
            <w:pPr>
              <w:pStyle w:val="null3"/>
            </w:pPr>
            <w:r>
              <w:rPr>
                <w:rFonts w:ascii="仿宋_GB2312" w:hAnsi="仿宋_GB2312" w:cs="仿宋_GB2312" w:eastAsia="仿宋_GB2312"/>
              </w:rPr>
              <w:t>核心产品允许有多个，不同供应商提供了任意一个相同品牌的核心产品，即视为提供相同品牌的供应商。 提供相同品牌产品且通过资格审查、符合性审查的不同供应商参加同一合同项下采购活动的，按一家供应商计算，评审后得分最高的同品牌供应商获得成交供应商推荐资格；最后评审得分相同的，由采购人或者采购人委托磋商小组采取随机抽取方式确定一个供应商获得成交供应商推荐资格，其他同品牌供应商不作为成交候选人。 核心产品清单详见第三章。 在符合性审查、有效报价环节提供核心产品品牌不足3个的，视为有效响应供应商不足3家。</w:t>
            </w:r>
          </w:p>
        </w:tc>
      </w:tr>
      <w:tr>
        <w:tc>
          <w:tcPr>
            <w:tcW w:type="dxa" w:w="1051"/>
          </w:tcPr>
          <w:p>
            <w:pPr>
              <w:pStyle w:val="null3"/>
            </w:pPr>
            <w:r>
              <w:rPr>
                <w:rFonts w:ascii="仿宋_GB2312" w:hAnsi="仿宋_GB2312" w:cs="仿宋_GB2312" w:eastAsia="仿宋_GB2312"/>
              </w:rPr>
              <w:t>8</w:t>
            </w:r>
          </w:p>
        </w:tc>
        <w:tc>
          <w:tcPr>
            <w:tcW w:type="dxa" w:w="2252"/>
          </w:tcPr>
          <w:p>
            <w:pPr>
              <w:pStyle w:val="null3"/>
            </w:pPr>
            <w:r>
              <w:rPr>
                <w:rFonts w:ascii="仿宋_GB2312" w:hAnsi="仿宋_GB2312" w:cs="仿宋_GB2312" w:eastAsia="仿宋_GB2312"/>
              </w:rPr>
              <w:t>不正当竞争预防措施 （实质性要求）</w:t>
            </w:r>
          </w:p>
        </w:tc>
        <w:tc>
          <w:tcPr>
            <w:tcW w:type="dxa" w:w="5004"/>
          </w:tcPr>
          <w:p>
            <w:pPr>
              <w:pStyle w:val="null3"/>
            </w:pPr>
            <w:r>
              <w:rPr>
                <w:rFonts w:ascii="仿宋_GB2312" w:hAnsi="仿宋_GB2312" w:cs="仿宋_GB2312" w:eastAsia="仿宋_GB2312"/>
              </w:rPr>
              <w:t xml:space="preserve"> 在磋商过程中，磋商小组认为供应商报价明显低于其他通过符合性审查供应商的报价，有可能影响产品质量或者不能诚信履约的，磋商小组应当要求其在合理的时间内通过项目电子化交易系统进行书面说明，必要时提交相关证明材料。供应商提交的书面说明和相关证明材料，应当加盖供应商公章，在磋商小组要求的时间内通过项目电子化交易系统进行提交，否则提交的相关材料无效，视为不能证明其响应报价合理性。供应商不能证明其响应报价合理性的，磋商小组应当将其响应文件作为无效处理。</w:t>
            </w:r>
          </w:p>
        </w:tc>
      </w:tr>
      <w:tr>
        <w:tc>
          <w:tcPr>
            <w:tcW w:type="dxa" w:w="1051"/>
          </w:tcPr>
          <w:p>
            <w:pPr>
              <w:pStyle w:val="null3"/>
            </w:pPr>
            <w:r>
              <w:rPr>
                <w:rFonts w:ascii="仿宋_GB2312" w:hAnsi="仿宋_GB2312" w:cs="仿宋_GB2312" w:eastAsia="仿宋_GB2312"/>
              </w:rPr>
              <w:t>9</w:t>
            </w:r>
          </w:p>
        </w:tc>
        <w:tc>
          <w:tcPr>
            <w:tcW w:type="dxa" w:w="2252"/>
          </w:tcPr>
          <w:p>
            <w:pPr>
              <w:pStyle w:val="null3"/>
            </w:pPr>
            <w:r>
              <w:rPr>
                <w:rFonts w:ascii="仿宋_GB2312" w:hAnsi="仿宋_GB2312" w:cs="仿宋_GB2312" w:eastAsia="仿宋_GB2312"/>
              </w:rPr>
              <w:t>磋商保证金</w:t>
            </w:r>
          </w:p>
        </w:tc>
        <w:tc>
          <w:tcPr>
            <w:tcW w:type="dxa" w:w="5004"/>
          </w:tcPr>
          <w:p>
            <w:pPr>
              <w:pStyle w:val="null3"/>
            </w:pPr>
            <w:r>
              <w:rPr>
                <w:rFonts w:ascii="仿宋_GB2312" w:hAnsi="仿宋_GB2312" w:cs="仿宋_GB2312" w:eastAsia="仿宋_GB2312"/>
              </w:rPr>
              <w:t>缴交方式：否</w:t>
            </w:r>
          </w:p>
        </w:tc>
      </w:tr>
      <w:tr>
        <w:tc>
          <w:tcPr>
            <w:tcW w:type="dxa" w:w="1051"/>
          </w:tcPr>
          <w:p>
            <w:pPr>
              <w:pStyle w:val="null3"/>
            </w:pPr>
            <w:r>
              <w:rPr>
                <w:rFonts w:ascii="仿宋_GB2312" w:hAnsi="仿宋_GB2312" w:cs="仿宋_GB2312" w:eastAsia="仿宋_GB2312"/>
              </w:rPr>
              <w:t>10</w:t>
            </w:r>
          </w:p>
        </w:tc>
        <w:tc>
          <w:tcPr>
            <w:tcW w:type="dxa" w:w="2252"/>
          </w:tcPr>
          <w:p>
            <w:pPr>
              <w:pStyle w:val="null3"/>
            </w:pPr>
            <w:r>
              <w:rPr>
                <w:rFonts w:ascii="仿宋_GB2312" w:hAnsi="仿宋_GB2312" w:cs="仿宋_GB2312" w:eastAsia="仿宋_GB2312"/>
              </w:rPr>
              <w:t>标书费信息</w:t>
            </w:r>
          </w:p>
        </w:tc>
        <w:tc>
          <w:tcPr>
            <w:tcW w:type="dxa" w:w="5004"/>
          </w:tcPr>
          <w:p>
            <w:pPr>
              <w:pStyle w:val="null3"/>
            </w:pPr>
            <w:r>
              <w:rPr>
                <w:rFonts w:ascii="仿宋_GB2312" w:hAnsi="仿宋_GB2312" w:cs="仿宋_GB2312" w:eastAsia="仿宋_GB2312"/>
              </w:rPr>
              <w:t>免费获取</w:t>
            </w:r>
          </w:p>
        </w:tc>
      </w:tr>
      <w:tr>
        <w:tc>
          <w:tcPr>
            <w:tcW w:type="dxa" w:w="1051"/>
          </w:tcPr>
          <w:p>
            <w:pPr>
              <w:pStyle w:val="null3"/>
            </w:pPr>
            <w:r>
              <w:rPr>
                <w:rFonts w:ascii="仿宋_GB2312" w:hAnsi="仿宋_GB2312" w:cs="仿宋_GB2312" w:eastAsia="仿宋_GB2312"/>
              </w:rPr>
              <w:t>11</w:t>
            </w:r>
          </w:p>
        </w:tc>
        <w:tc>
          <w:tcPr>
            <w:tcW w:type="dxa" w:w="2252"/>
          </w:tcPr>
          <w:p>
            <w:pPr>
              <w:pStyle w:val="null3"/>
            </w:pPr>
            <w:r>
              <w:rPr>
                <w:rFonts w:ascii="仿宋_GB2312" w:hAnsi="仿宋_GB2312" w:cs="仿宋_GB2312" w:eastAsia="仿宋_GB2312"/>
              </w:rPr>
              <w:t>履约保证金（实质性要求）</w:t>
            </w:r>
          </w:p>
        </w:tc>
        <w:tc>
          <w:tcPr>
            <w:tcW w:type="dxa" w:w="5004"/>
          </w:tcPr>
          <w:p>
            <w:pPr>
              <w:pStyle w:val="null3"/>
            </w:pPr>
            <w:r>
              <w:rPr>
                <w:rFonts w:ascii="仿宋_GB2312" w:hAnsi="仿宋_GB2312" w:cs="仿宋_GB2312" w:eastAsia="仿宋_GB2312"/>
              </w:rPr>
              <w:t>采购包1：缴纳</w:t>
            </w:r>
          </w:p>
          <w:p>
            <w:pPr>
              <w:pStyle w:val="null3"/>
            </w:pPr>
            <w:r>
              <w:rPr>
                <w:rFonts w:ascii="仿宋_GB2312" w:hAnsi="仿宋_GB2312" w:cs="仿宋_GB2312" w:eastAsia="仿宋_GB2312"/>
              </w:rPr>
              <w:t>本采购包履约保证金为合同金额的5%</w:t>
            </w:r>
          </w:p>
          <w:p>
            <w:pPr>
              <w:pStyle w:val="null3"/>
            </w:pPr>
            <w:r>
              <w:rPr>
                <w:rFonts w:ascii="仿宋_GB2312" w:hAnsi="仿宋_GB2312" w:cs="仿宋_GB2312" w:eastAsia="仿宋_GB2312"/>
              </w:rPr>
              <w:t>说明：成交人在合同签订后的15日内支付，具体以合同约定为准。</w:t>
            </w:r>
          </w:p>
        </w:tc>
      </w:tr>
      <w:tr>
        <w:tc>
          <w:tcPr>
            <w:tcW w:type="dxa" w:w="1051"/>
          </w:tcPr>
          <w:p>
            <w:pPr>
              <w:pStyle w:val="null3"/>
            </w:pPr>
            <w:r>
              <w:rPr>
                <w:rFonts w:ascii="仿宋_GB2312" w:hAnsi="仿宋_GB2312" w:cs="仿宋_GB2312" w:eastAsia="仿宋_GB2312"/>
              </w:rPr>
              <w:t>12</w:t>
            </w:r>
          </w:p>
        </w:tc>
        <w:tc>
          <w:tcPr>
            <w:tcW w:type="dxa" w:w="2252"/>
          </w:tcPr>
          <w:p>
            <w:pPr>
              <w:pStyle w:val="null3"/>
            </w:pPr>
            <w:r>
              <w:rPr>
                <w:rFonts w:ascii="仿宋_GB2312" w:hAnsi="仿宋_GB2312" w:cs="仿宋_GB2312" w:eastAsia="仿宋_GB2312"/>
              </w:rPr>
              <w:t>质量保证金</w:t>
            </w:r>
          </w:p>
        </w:tc>
        <w:tc>
          <w:tcPr>
            <w:tcW w:type="dxa" w:w="5004"/>
          </w:tcPr>
          <w:p>
            <w:pPr>
              <w:pStyle w:val="null3"/>
            </w:pPr>
            <w:r>
              <w:rPr>
                <w:rFonts w:ascii="仿宋_GB2312" w:hAnsi="仿宋_GB2312" w:cs="仿宋_GB2312" w:eastAsia="仿宋_GB2312"/>
              </w:rPr>
              <w:t>采购包1：不缴纳</w:t>
            </w:r>
          </w:p>
        </w:tc>
      </w:tr>
      <w:tr>
        <w:tc>
          <w:tcPr>
            <w:tcW w:type="dxa" w:w="1051"/>
          </w:tcPr>
          <w:p>
            <w:pPr>
              <w:pStyle w:val="null3"/>
            </w:pPr>
            <w:r>
              <w:rPr>
                <w:rFonts w:ascii="仿宋_GB2312" w:hAnsi="仿宋_GB2312" w:cs="仿宋_GB2312" w:eastAsia="仿宋_GB2312"/>
              </w:rPr>
              <w:t>13</w:t>
            </w:r>
          </w:p>
        </w:tc>
        <w:tc>
          <w:tcPr>
            <w:tcW w:type="dxa" w:w="2252"/>
          </w:tcPr>
          <w:p>
            <w:pPr>
              <w:pStyle w:val="null3"/>
            </w:pPr>
            <w:r>
              <w:rPr>
                <w:rFonts w:ascii="仿宋_GB2312" w:hAnsi="仿宋_GB2312" w:cs="仿宋_GB2312" w:eastAsia="仿宋_GB2312"/>
              </w:rPr>
              <w:t>响应有效期（实质性要求）</w:t>
            </w:r>
          </w:p>
        </w:tc>
        <w:tc>
          <w:tcPr>
            <w:tcW w:type="dxa" w:w="5004"/>
          </w:tcPr>
          <w:p>
            <w:pPr>
              <w:pStyle w:val="null3"/>
            </w:pPr>
            <w:r>
              <w:rPr>
                <w:rFonts w:ascii="仿宋_GB2312" w:hAnsi="仿宋_GB2312" w:cs="仿宋_GB2312" w:eastAsia="仿宋_GB2312"/>
              </w:rPr>
              <w:t>从提交首次响应文件截止之日起，不少于</w:t>
            </w:r>
            <w:r>
              <w:rPr>
                <w:rFonts w:ascii="仿宋_GB2312" w:hAnsi="仿宋_GB2312" w:cs="仿宋_GB2312" w:eastAsia="仿宋_GB2312"/>
              </w:rPr>
              <w:t>90</w:t>
            </w:r>
            <w:r>
              <w:rPr>
                <w:rFonts w:ascii="仿宋_GB2312" w:hAnsi="仿宋_GB2312" w:cs="仿宋_GB2312" w:eastAsia="仿宋_GB2312"/>
              </w:rPr>
              <w:t>天。</w:t>
            </w:r>
          </w:p>
        </w:tc>
      </w:tr>
      <w:tr>
        <w:tc>
          <w:tcPr>
            <w:tcW w:type="dxa" w:w="1051"/>
          </w:tcPr>
          <w:p>
            <w:pPr>
              <w:pStyle w:val="null3"/>
            </w:pPr>
            <w:r>
              <w:rPr>
                <w:rFonts w:ascii="仿宋_GB2312" w:hAnsi="仿宋_GB2312" w:cs="仿宋_GB2312" w:eastAsia="仿宋_GB2312"/>
              </w:rPr>
              <w:t>14</w:t>
            </w:r>
          </w:p>
        </w:tc>
        <w:tc>
          <w:tcPr>
            <w:tcW w:type="dxa" w:w="2252"/>
          </w:tcPr>
          <w:p>
            <w:pPr>
              <w:pStyle w:val="null3"/>
            </w:pPr>
            <w:r>
              <w:rPr>
                <w:rFonts w:ascii="仿宋_GB2312" w:hAnsi="仿宋_GB2312" w:cs="仿宋_GB2312" w:eastAsia="仿宋_GB2312"/>
              </w:rPr>
              <w:t>代理服务费（实质性要求）</w:t>
            </w:r>
          </w:p>
        </w:tc>
        <w:tc>
          <w:tcPr>
            <w:tcW w:type="dxa" w:w="5004"/>
          </w:tcPr>
          <w:p>
            <w:pPr>
              <w:pStyle w:val="null3"/>
            </w:pPr>
            <w:r>
              <w:rPr>
                <w:rFonts w:ascii="仿宋_GB2312" w:hAnsi="仿宋_GB2312" w:cs="仿宋_GB2312" w:eastAsia="仿宋_GB2312"/>
              </w:rPr>
              <w:t>本项目收取代理服务费</w:t>
            </w:r>
          </w:p>
          <w:p>
            <w:pPr>
              <w:pStyle w:val="null3"/>
            </w:pPr>
            <w:r>
              <w:rPr>
                <w:rFonts w:ascii="仿宋_GB2312" w:hAnsi="仿宋_GB2312" w:cs="仿宋_GB2312" w:eastAsia="仿宋_GB2312"/>
              </w:rPr>
              <w:t>代理服务费用收取对象：中标/成交供应商</w:t>
            </w:r>
          </w:p>
          <w:p>
            <w:pPr>
              <w:pStyle w:val="null3"/>
            </w:pPr>
            <w:r>
              <w:rPr>
                <w:rFonts w:ascii="仿宋_GB2312" w:hAnsi="仿宋_GB2312" w:cs="仿宋_GB2312" w:eastAsia="仿宋_GB2312"/>
              </w:rPr>
              <w:t>代理服务费收费标准：根据成交金额，参照国家计委2002年颁发的《招标代理服务收费管理暂行办法》(计价格〔2002〕1980号)及《调整后的招标代理服务收费标准》(发改价格〔2011〕534号)的规定收取，代理服务费由成交单位在领取成交通知书前向代理公司支付。</w:t>
            </w:r>
          </w:p>
        </w:tc>
      </w:tr>
      <w:tr>
        <w:tc>
          <w:tcPr>
            <w:tcW w:type="dxa" w:w="1051"/>
          </w:tcPr>
          <w:p>
            <w:pPr>
              <w:pStyle w:val="null3"/>
            </w:pPr>
            <w:r>
              <w:rPr>
                <w:rFonts w:ascii="仿宋_GB2312" w:hAnsi="仿宋_GB2312" w:cs="仿宋_GB2312" w:eastAsia="仿宋_GB2312"/>
              </w:rPr>
              <w:t>15</w:t>
            </w:r>
          </w:p>
        </w:tc>
        <w:tc>
          <w:tcPr>
            <w:tcW w:type="dxa" w:w="2252"/>
          </w:tcPr>
          <w:p>
            <w:pPr>
              <w:pStyle w:val="null3"/>
            </w:pPr>
            <w:r>
              <w:rPr>
                <w:rFonts w:ascii="仿宋_GB2312" w:hAnsi="仿宋_GB2312" w:cs="仿宋_GB2312" w:eastAsia="仿宋_GB2312"/>
              </w:rPr>
              <w:t>采购结果公告</w:t>
            </w:r>
          </w:p>
        </w:tc>
        <w:tc>
          <w:tcPr>
            <w:tcW w:type="dxa" w:w="5004"/>
          </w:tcPr>
          <w:p>
            <w:pPr>
              <w:pStyle w:val="null3"/>
            </w:pPr>
            <w:r>
              <w:rPr>
                <w:rFonts w:ascii="仿宋_GB2312" w:hAnsi="仿宋_GB2312" w:cs="仿宋_GB2312" w:eastAsia="仿宋_GB2312"/>
              </w:rPr>
              <w:t>采购结果将在陕西省政府采购网予以公告。</w:t>
            </w:r>
          </w:p>
        </w:tc>
      </w:tr>
      <w:tr>
        <w:tc>
          <w:tcPr>
            <w:tcW w:type="dxa" w:w="1051"/>
          </w:tcPr>
          <w:p>
            <w:pPr>
              <w:pStyle w:val="null3"/>
            </w:pPr>
            <w:r>
              <w:rPr>
                <w:rFonts w:ascii="仿宋_GB2312" w:hAnsi="仿宋_GB2312" w:cs="仿宋_GB2312" w:eastAsia="仿宋_GB2312"/>
              </w:rPr>
              <w:t>16</w:t>
            </w:r>
          </w:p>
        </w:tc>
        <w:tc>
          <w:tcPr>
            <w:tcW w:type="dxa" w:w="2252"/>
          </w:tcPr>
          <w:p>
            <w:pPr>
              <w:pStyle w:val="null3"/>
            </w:pPr>
            <w:r>
              <w:rPr>
                <w:rFonts w:ascii="仿宋_GB2312" w:hAnsi="仿宋_GB2312" w:cs="仿宋_GB2312" w:eastAsia="仿宋_GB2312"/>
              </w:rPr>
              <w:t>成交通知书</w:t>
            </w:r>
          </w:p>
        </w:tc>
        <w:tc>
          <w:tcPr>
            <w:tcW w:type="dxa" w:w="5004"/>
          </w:tcPr>
          <w:p>
            <w:pPr>
              <w:pStyle w:val="null3"/>
            </w:pPr>
            <w:r>
              <w:rPr>
                <w:rFonts w:ascii="仿宋_GB2312" w:hAnsi="仿宋_GB2312" w:cs="仿宋_GB2312" w:eastAsia="仿宋_GB2312"/>
              </w:rPr>
              <w:t xml:space="preserve"> 采购结果公告发布的同时，采购人或代理机构通过项目电子化交易系统向成交供应商发出成交通知书；成交供应商通过项目电子化交易系统获取成交通知书。</w:t>
            </w:r>
          </w:p>
        </w:tc>
      </w:tr>
      <w:tr>
        <w:tc>
          <w:tcPr>
            <w:tcW w:type="dxa" w:w="1051"/>
          </w:tcPr>
          <w:p>
            <w:pPr>
              <w:pStyle w:val="null3"/>
            </w:pPr>
            <w:r>
              <w:rPr>
                <w:rFonts w:ascii="仿宋_GB2312" w:hAnsi="仿宋_GB2312" w:cs="仿宋_GB2312" w:eastAsia="仿宋_GB2312"/>
              </w:rPr>
              <w:t>17</w:t>
            </w:r>
          </w:p>
        </w:tc>
        <w:tc>
          <w:tcPr>
            <w:tcW w:type="dxa" w:w="2252"/>
          </w:tcPr>
          <w:p>
            <w:pPr>
              <w:pStyle w:val="null3"/>
            </w:pPr>
            <w:r>
              <w:rPr>
                <w:rFonts w:ascii="仿宋_GB2312" w:hAnsi="仿宋_GB2312" w:cs="仿宋_GB2312" w:eastAsia="仿宋_GB2312"/>
              </w:rPr>
              <w:t>政府采购合同公告、备案</w:t>
            </w:r>
          </w:p>
        </w:tc>
        <w:tc>
          <w:tcPr>
            <w:tcW w:type="dxa" w:w="5004"/>
          </w:tcPr>
          <w:p>
            <w:pPr>
              <w:pStyle w:val="null3"/>
            </w:pPr>
            <w:r>
              <w:rPr>
                <w:rFonts w:ascii="仿宋_GB2312" w:hAnsi="仿宋_GB2312" w:cs="仿宋_GB2312" w:eastAsia="仿宋_GB2312"/>
              </w:rPr>
              <w:t xml:space="preserve"> 政府采购合同签订之日起2个工作日内，采购人将政府采购合同在陕西省政府采购网予以公告；政府采购合同签订之日起7个工作日内，采购人将本项目采购合同通过政府采购平台进行备案。</w:t>
            </w:r>
          </w:p>
        </w:tc>
      </w:tr>
      <w:tr>
        <w:tc>
          <w:tcPr>
            <w:tcW w:type="dxa" w:w="1051"/>
          </w:tcPr>
          <w:p>
            <w:pPr>
              <w:pStyle w:val="null3"/>
            </w:pPr>
            <w:r>
              <w:rPr>
                <w:rFonts w:ascii="仿宋_GB2312" w:hAnsi="仿宋_GB2312" w:cs="仿宋_GB2312" w:eastAsia="仿宋_GB2312"/>
              </w:rPr>
              <w:t>18</w:t>
            </w:r>
          </w:p>
        </w:tc>
        <w:tc>
          <w:tcPr>
            <w:tcW w:type="dxa" w:w="2252"/>
          </w:tcPr>
          <w:p>
            <w:pPr>
              <w:pStyle w:val="null3"/>
            </w:pPr>
            <w:r>
              <w:rPr>
                <w:rFonts w:ascii="仿宋_GB2312" w:hAnsi="仿宋_GB2312" w:cs="仿宋_GB2312" w:eastAsia="仿宋_GB2312"/>
              </w:rPr>
              <w:t>进口产品</w:t>
            </w:r>
          </w:p>
        </w:tc>
        <w:tc>
          <w:tcPr>
            <w:tcW w:type="dxa" w:w="5004"/>
          </w:tcPr>
          <w:p>
            <w:pPr>
              <w:pStyle w:val="null3"/>
            </w:pPr>
            <w:r>
              <w:rPr>
                <w:rFonts w:ascii="仿宋_GB2312" w:hAnsi="仿宋_GB2312" w:cs="仿宋_GB2312" w:eastAsia="仿宋_GB2312"/>
              </w:rPr>
              <w:t>不允许</w:t>
            </w:r>
          </w:p>
        </w:tc>
      </w:tr>
      <w:tr>
        <w:tc>
          <w:tcPr>
            <w:tcW w:type="dxa" w:w="1051"/>
          </w:tcPr>
          <w:p>
            <w:pPr>
              <w:pStyle w:val="null3"/>
            </w:pPr>
            <w:r>
              <w:rPr>
                <w:rFonts w:ascii="仿宋_GB2312" w:hAnsi="仿宋_GB2312" w:cs="仿宋_GB2312" w:eastAsia="仿宋_GB2312"/>
              </w:rPr>
              <w:t>19</w:t>
            </w:r>
          </w:p>
        </w:tc>
        <w:tc>
          <w:tcPr>
            <w:tcW w:type="dxa" w:w="2252"/>
          </w:tcPr>
          <w:p>
            <w:pPr>
              <w:pStyle w:val="null3"/>
            </w:pPr>
            <w:r>
              <w:rPr>
                <w:rFonts w:ascii="仿宋_GB2312" w:hAnsi="仿宋_GB2312" w:cs="仿宋_GB2312" w:eastAsia="仿宋_GB2312"/>
              </w:rPr>
              <w:t>是否组织潜在供应商现场考察</w:t>
            </w:r>
          </w:p>
        </w:tc>
        <w:tc>
          <w:tcPr>
            <w:tcW w:type="dxa" w:w="5004"/>
          </w:tcPr>
          <w:p>
            <w:pPr>
              <w:pStyle w:val="null3"/>
            </w:pPr>
            <w:r>
              <w:rPr>
                <w:rFonts w:ascii="仿宋_GB2312" w:hAnsi="仿宋_GB2312" w:cs="仿宋_GB2312" w:eastAsia="仿宋_GB2312"/>
              </w:rPr>
              <w:t>采购包1：组织现场踏勘：否</w:t>
            </w:r>
          </w:p>
        </w:tc>
      </w:tr>
      <w:tr>
        <w:tc>
          <w:tcPr>
            <w:tcW w:type="dxa" w:w="1051"/>
          </w:tcPr>
          <w:p>
            <w:pPr>
              <w:pStyle w:val="null3"/>
            </w:pPr>
            <w:r>
              <w:rPr>
                <w:rFonts w:ascii="仿宋_GB2312" w:hAnsi="仿宋_GB2312" w:cs="仿宋_GB2312" w:eastAsia="仿宋_GB2312"/>
              </w:rPr>
              <w:t>20</w:t>
            </w:r>
          </w:p>
        </w:tc>
        <w:tc>
          <w:tcPr>
            <w:tcW w:type="dxa" w:w="2252"/>
          </w:tcPr>
          <w:p>
            <w:pPr>
              <w:pStyle w:val="null3"/>
            </w:pPr>
            <w:r>
              <w:rPr>
                <w:rFonts w:ascii="仿宋_GB2312" w:hAnsi="仿宋_GB2312" w:cs="仿宋_GB2312" w:eastAsia="仿宋_GB2312"/>
              </w:rPr>
              <w:t>特殊情况</w:t>
            </w:r>
          </w:p>
        </w:tc>
        <w:tc>
          <w:tcPr>
            <w:tcW w:type="dxa" w:w="5004"/>
          </w:tcPr>
          <w:p>
            <w:pPr>
              <w:pStyle w:val="null3"/>
            </w:pPr>
            <w:r>
              <w:rPr>
                <w:rFonts w:ascii="仿宋_GB2312" w:hAnsi="仿宋_GB2312" w:cs="仿宋_GB2312" w:eastAsia="仿宋_GB2312"/>
              </w:rPr>
              <w:t xml:space="preserve"> 出现下列情形之一的，采购人或者代理机构应当中止电子化采购活动，并保留相关证明材料备查：</w:t>
            </w:r>
          </w:p>
          <w:p>
            <w:pPr>
              <w:pStyle w:val="null3"/>
            </w:pPr>
            <w:r>
              <w:rPr>
                <w:rFonts w:ascii="仿宋_GB2312" w:hAnsi="仿宋_GB2312" w:cs="仿宋_GB2312" w:eastAsia="仿宋_GB2312"/>
              </w:rPr>
              <w:t xml:space="preserve"> （一）交易系统发生故障（包括感染病毒、应用或数据库出错）而无法正常使用的；</w:t>
            </w:r>
          </w:p>
          <w:p>
            <w:pPr>
              <w:pStyle w:val="null3"/>
            </w:pPr>
            <w:r>
              <w:rPr>
                <w:rFonts w:ascii="仿宋_GB2312" w:hAnsi="仿宋_GB2312" w:cs="仿宋_GB2312" w:eastAsia="仿宋_GB2312"/>
              </w:rPr>
              <w:t xml:space="preserve"> （二）因组织场所停电、断网等原因，导致采购活动无法继续通过交易系统实施的；</w:t>
            </w:r>
          </w:p>
          <w:p>
            <w:pPr>
              <w:pStyle w:val="null3"/>
            </w:pPr>
            <w:r>
              <w:rPr>
                <w:rFonts w:ascii="仿宋_GB2312" w:hAnsi="仿宋_GB2312" w:cs="仿宋_GB2312" w:eastAsia="仿宋_GB2312"/>
              </w:rPr>
              <w:t xml:space="preserve"> （三）其他无法保证电子化交易的公平、公正和安全的情况。</w:t>
            </w:r>
          </w:p>
          <w:p>
            <w:pPr>
              <w:pStyle w:val="null3"/>
            </w:pPr>
            <w:r>
              <w:rPr>
                <w:rFonts w:ascii="仿宋_GB2312" w:hAnsi="仿宋_GB2312" w:cs="仿宋_GB2312" w:eastAsia="仿宋_GB2312"/>
              </w:rPr>
              <w:t xml:space="preserve"> 出现上述的情形，不影响采购公平、公正的，采购人或者代理机构可以待上述情形消除后继续组织采购活动；影响或者可能影响采购公平、公正的，采购人或者代理机构应当依法终止采购活动。</w:t>
            </w:r>
          </w:p>
        </w:tc>
      </w:tr>
    </w:tbl>
    <w:p>
      <w:pPr>
        <w:pStyle w:val="null3"/>
        <w:outlineLvl w:val="2"/>
      </w:pPr>
      <w:r>
        <w:rPr>
          <w:rFonts w:ascii="仿宋_GB2312" w:hAnsi="仿宋_GB2312" w:cs="仿宋_GB2312" w:eastAsia="仿宋_GB2312"/>
          <w:sz w:val="28"/>
          <w:b/>
        </w:rPr>
        <w:t>2.2总则</w:t>
      </w:r>
    </w:p>
    <w:p>
      <w:pPr>
        <w:pStyle w:val="null3"/>
        <w:outlineLvl w:val="3"/>
      </w:pPr>
      <w:r>
        <w:rPr>
          <w:rFonts w:ascii="仿宋_GB2312" w:hAnsi="仿宋_GB2312" w:cs="仿宋_GB2312" w:eastAsia="仿宋_GB2312"/>
          <w:sz w:val="24"/>
          <w:b/>
        </w:rPr>
        <w:t xml:space="preserve"> 2.2.1适用范围</w:t>
      </w:r>
    </w:p>
    <w:p>
      <w:pPr>
        <w:pStyle w:val="null3"/>
        <w:ind w:firstLine="480"/>
      </w:pPr>
      <w:r>
        <w:rPr>
          <w:rFonts w:ascii="仿宋_GB2312" w:hAnsi="仿宋_GB2312" w:cs="仿宋_GB2312" w:eastAsia="仿宋_GB2312"/>
        </w:rPr>
        <w:t>一、本磋商文件仅适用于本次竞争性磋商采购项目。</w:t>
      </w:r>
    </w:p>
    <w:p>
      <w:pPr>
        <w:pStyle w:val="null3"/>
        <w:ind w:firstLine="480"/>
      </w:pPr>
      <w:r>
        <w:rPr>
          <w:rFonts w:ascii="仿宋_GB2312" w:hAnsi="仿宋_GB2312" w:cs="仿宋_GB2312" w:eastAsia="仿宋_GB2312"/>
        </w:rPr>
        <w:t xml:space="preserve"> 二、本磋商文件的最终解释权由</w:t>
      </w:r>
      <w:r>
        <w:rPr>
          <w:rFonts w:ascii="仿宋_GB2312" w:hAnsi="仿宋_GB2312" w:cs="仿宋_GB2312" w:eastAsia="仿宋_GB2312"/>
        </w:rPr>
        <w:t>陕西牛背梁国家级自然保护区管理局</w:t>
      </w:r>
      <w:r>
        <w:rPr>
          <w:rFonts w:ascii="仿宋_GB2312" w:hAnsi="仿宋_GB2312" w:cs="仿宋_GB2312" w:eastAsia="仿宋_GB2312"/>
        </w:rPr>
        <w:t>和</w:t>
      </w:r>
      <w:r>
        <w:rPr>
          <w:rFonts w:ascii="仿宋_GB2312" w:hAnsi="仿宋_GB2312" w:cs="仿宋_GB2312" w:eastAsia="仿宋_GB2312"/>
        </w:rPr>
        <w:t>陕西朗屹恒基项目咨询管理有限公司</w:t>
      </w:r>
      <w:r>
        <w:rPr>
          <w:rFonts w:ascii="仿宋_GB2312" w:hAnsi="仿宋_GB2312" w:cs="仿宋_GB2312" w:eastAsia="仿宋_GB2312"/>
        </w:rPr>
        <w:t>享有。对磋商文件中供应商参加本次政府采购活动应当具备的条件，磋商项目技术、服务、商务及其他要求，评审细则及标准由</w:t>
      </w:r>
      <w:r>
        <w:rPr>
          <w:rFonts w:ascii="仿宋_GB2312" w:hAnsi="仿宋_GB2312" w:cs="仿宋_GB2312" w:eastAsia="仿宋_GB2312"/>
        </w:rPr>
        <w:t>陕西牛背梁国家级自然保护区管理局</w:t>
      </w:r>
      <w:r>
        <w:rPr>
          <w:rFonts w:ascii="仿宋_GB2312" w:hAnsi="仿宋_GB2312" w:cs="仿宋_GB2312" w:eastAsia="仿宋_GB2312"/>
        </w:rPr>
        <w:t>负责解释。除上述磋商文件内容，其他内容由</w:t>
      </w:r>
      <w:r>
        <w:rPr>
          <w:rFonts w:ascii="仿宋_GB2312" w:hAnsi="仿宋_GB2312" w:cs="仿宋_GB2312" w:eastAsia="仿宋_GB2312"/>
        </w:rPr>
        <w:t>陕西朗屹恒基项目咨询管理有限公司</w:t>
      </w:r>
      <w:r>
        <w:rPr>
          <w:rFonts w:ascii="仿宋_GB2312" w:hAnsi="仿宋_GB2312" w:cs="仿宋_GB2312" w:eastAsia="仿宋_GB2312"/>
        </w:rPr>
        <w:t>负责解释。</w:t>
      </w:r>
    </w:p>
    <w:p>
      <w:pPr>
        <w:pStyle w:val="null3"/>
        <w:outlineLvl w:val="3"/>
      </w:pPr>
      <w:r>
        <w:rPr>
          <w:rFonts w:ascii="仿宋_GB2312" w:hAnsi="仿宋_GB2312" w:cs="仿宋_GB2312" w:eastAsia="仿宋_GB2312"/>
          <w:sz w:val="24"/>
          <w:b/>
        </w:rPr>
        <w:t>2.2.2有关定义</w:t>
      </w:r>
    </w:p>
    <w:p>
      <w:pPr>
        <w:pStyle w:val="null3"/>
        <w:ind w:firstLine="480"/>
      </w:pPr>
      <w:r>
        <w:rPr>
          <w:rFonts w:ascii="仿宋_GB2312" w:hAnsi="仿宋_GB2312" w:cs="仿宋_GB2312" w:eastAsia="仿宋_GB2312"/>
        </w:rPr>
        <w:t xml:space="preserve"> 一、“采购人”是指依法进行政府采购的各级国家机关、事业单位、团体组织。本次磋商的采购人是</w:t>
      </w:r>
      <w:r>
        <w:rPr>
          <w:rFonts w:ascii="仿宋_GB2312" w:hAnsi="仿宋_GB2312" w:cs="仿宋_GB2312" w:eastAsia="仿宋_GB2312"/>
        </w:rPr>
        <w:t>陕西牛背梁国家级自然保护区管理局</w:t>
      </w:r>
      <w:r>
        <w:rPr>
          <w:rFonts w:ascii="仿宋_GB2312" w:hAnsi="仿宋_GB2312" w:cs="仿宋_GB2312" w:eastAsia="仿宋_GB2312"/>
        </w:rPr>
        <w:t>。</w:t>
      </w:r>
    </w:p>
    <w:p>
      <w:pPr>
        <w:pStyle w:val="null3"/>
        <w:ind w:firstLine="480"/>
      </w:pPr>
      <w:r>
        <w:rPr>
          <w:rFonts w:ascii="仿宋_GB2312" w:hAnsi="仿宋_GB2312" w:cs="仿宋_GB2312" w:eastAsia="仿宋_GB2312"/>
        </w:rPr>
        <w:t xml:space="preserve"> 二、“供应商”是指在按照磋商公告规定获取磋商文件，拟参加响应和向采购人提供货物、工程或服务的法人、其他组织或自然人。</w:t>
      </w:r>
    </w:p>
    <w:p>
      <w:pPr>
        <w:pStyle w:val="null3"/>
        <w:ind w:firstLine="480"/>
      </w:pPr>
      <w:r>
        <w:rPr>
          <w:rFonts w:ascii="仿宋_GB2312" w:hAnsi="仿宋_GB2312" w:cs="仿宋_GB2312" w:eastAsia="仿宋_GB2312"/>
        </w:rPr>
        <w:t xml:space="preserve"> 三、“代理机构”是指政府采购集中采购机构和从事政府采购代理业务的社会中介机构。本项目的代理机构是</w:t>
      </w:r>
      <w:r>
        <w:rPr>
          <w:rFonts w:ascii="仿宋_GB2312" w:hAnsi="仿宋_GB2312" w:cs="仿宋_GB2312" w:eastAsia="仿宋_GB2312"/>
        </w:rPr>
        <w:t>陕西朗屹恒基项目咨询管理有限公司</w:t>
      </w:r>
      <w:r>
        <w:rPr>
          <w:rFonts w:ascii="仿宋_GB2312" w:hAnsi="仿宋_GB2312" w:cs="仿宋_GB2312" w:eastAsia="仿宋_GB2312"/>
        </w:rPr>
        <w:t>。</w:t>
      </w:r>
    </w:p>
    <w:p>
      <w:pPr>
        <w:pStyle w:val="null3"/>
        <w:ind w:firstLine="480"/>
      </w:pPr>
      <w:r>
        <w:rPr>
          <w:rFonts w:ascii="仿宋_GB2312" w:hAnsi="仿宋_GB2312" w:cs="仿宋_GB2312" w:eastAsia="仿宋_GB2312"/>
        </w:rPr>
        <w:t xml:space="preserve"> 四、“网上开启”是指供应商通过项目电子化交易系统在线完成签到、响应文件解密后，采购人或者采购代理机构通过项目电子化交易系统在线完成已解密响应文件的开启工作。</w:t>
      </w:r>
    </w:p>
    <w:p>
      <w:pPr>
        <w:pStyle w:val="null3"/>
        <w:ind w:firstLine="480"/>
      </w:pPr>
      <w:r>
        <w:rPr>
          <w:rFonts w:ascii="仿宋_GB2312" w:hAnsi="仿宋_GB2312" w:cs="仿宋_GB2312" w:eastAsia="仿宋_GB2312"/>
        </w:rPr>
        <w:t xml:space="preserve"> 五、“电子评审”是指通过项目电子化交易系统在线完成资格审查小组、磋商小组组建，开展资格和符合性审查、比较与评价、出具磋商报告、推荐成交候选供应商等活动。</w:t>
      </w:r>
    </w:p>
    <w:p>
      <w:pPr>
        <w:pStyle w:val="null3"/>
        <w:outlineLvl w:val="2"/>
      </w:pPr>
      <w:r>
        <w:rPr>
          <w:rFonts w:ascii="仿宋_GB2312" w:hAnsi="仿宋_GB2312" w:cs="仿宋_GB2312" w:eastAsia="仿宋_GB2312"/>
          <w:sz w:val="28"/>
          <w:b/>
        </w:rPr>
        <w:t>2.3磋商文件</w:t>
      </w:r>
    </w:p>
    <w:p>
      <w:pPr>
        <w:pStyle w:val="null3"/>
        <w:outlineLvl w:val="3"/>
      </w:pPr>
      <w:r>
        <w:rPr>
          <w:rFonts w:ascii="仿宋_GB2312" w:hAnsi="仿宋_GB2312" w:cs="仿宋_GB2312" w:eastAsia="仿宋_GB2312"/>
          <w:sz w:val="24"/>
          <w:b/>
        </w:rPr>
        <w:t xml:space="preserve"> 2.3.1磋商文件的构成</w:t>
      </w:r>
    </w:p>
    <w:p>
      <w:pPr>
        <w:pStyle w:val="null3"/>
        <w:ind w:firstLine="480"/>
      </w:pPr>
      <w:r>
        <w:rPr>
          <w:rFonts w:ascii="仿宋_GB2312" w:hAnsi="仿宋_GB2312" w:cs="仿宋_GB2312" w:eastAsia="仿宋_GB2312"/>
        </w:rPr>
        <w:t xml:space="preserve"> 一、磋商文件是本次采购活动的基本依据，也是供应商准备响应文件、参加采购活动的依据。磋商文件包括资格预审文件、磋商邀请、采购方式、采购预算、采购需求、政府采购政策要求、评审程序、评审方法、评审标准、价格构成或者报价要求、响应文件编制要求、磋商过程中可能实质性变动内容、响应文件提交的截止时间、开启时间及地点以及合同草案条款等。本磋商文件包括以下内容：</w:t>
      </w:r>
    </w:p>
    <w:p>
      <w:pPr>
        <w:pStyle w:val="null3"/>
        <w:ind w:firstLine="480"/>
      </w:pPr>
      <w:r>
        <w:rPr>
          <w:rFonts w:ascii="仿宋_GB2312" w:hAnsi="仿宋_GB2312" w:cs="仿宋_GB2312" w:eastAsia="仿宋_GB2312"/>
        </w:rPr>
        <w:t>（一）竞争性磋商邀请；</w:t>
      </w:r>
    </w:p>
    <w:p>
      <w:pPr>
        <w:pStyle w:val="null3"/>
        <w:ind w:firstLine="480"/>
      </w:pPr>
      <w:r>
        <w:rPr>
          <w:rFonts w:ascii="仿宋_GB2312" w:hAnsi="仿宋_GB2312" w:cs="仿宋_GB2312" w:eastAsia="仿宋_GB2312"/>
        </w:rPr>
        <w:t>（二）供应商须知；</w:t>
      </w:r>
    </w:p>
    <w:p>
      <w:pPr>
        <w:pStyle w:val="null3"/>
        <w:ind w:firstLine="480"/>
      </w:pPr>
      <w:r>
        <w:rPr>
          <w:rFonts w:ascii="仿宋_GB2312" w:hAnsi="仿宋_GB2312" w:cs="仿宋_GB2312" w:eastAsia="仿宋_GB2312"/>
        </w:rPr>
        <w:t>（三）磋商项目技术、服务、商务及其他要求；</w:t>
      </w:r>
    </w:p>
    <w:p>
      <w:pPr>
        <w:pStyle w:val="null3"/>
        <w:ind w:firstLine="480"/>
      </w:pPr>
      <w:r>
        <w:rPr>
          <w:rFonts w:ascii="仿宋_GB2312" w:hAnsi="仿宋_GB2312" w:cs="仿宋_GB2312" w:eastAsia="仿宋_GB2312"/>
        </w:rPr>
        <w:t>（四）资格审查；</w:t>
      </w:r>
    </w:p>
    <w:p>
      <w:pPr>
        <w:pStyle w:val="null3"/>
        <w:ind w:firstLine="480"/>
      </w:pPr>
      <w:r>
        <w:rPr>
          <w:rFonts w:ascii="仿宋_GB2312" w:hAnsi="仿宋_GB2312" w:cs="仿宋_GB2312" w:eastAsia="仿宋_GB2312"/>
        </w:rPr>
        <w:t>（五）磋商过程中可实质性变动的内容；</w:t>
      </w:r>
    </w:p>
    <w:p>
      <w:pPr>
        <w:pStyle w:val="null3"/>
        <w:ind w:firstLine="480"/>
      </w:pPr>
      <w:r>
        <w:rPr>
          <w:rFonts w:ascii="仿宋_GB2312" w:hAnsi="仿宋_GB2312" w:cs="仿宋_GB2312" w:eastAsia="仿宋_GB2312"/>
        </w:rPr>
        <w:t>（六）磋商办法；</w:t>
      </w:r>
    </w:p>
    <w:p>
      <w:pPr>
        <w:pStyle w:val="null3"/>
        <w:ind w:firstLine="480"/>
      </w:pPr>
      <w:r>
        <w:rPr>
          <w:rFonts w:ascii="仿宋_GB2312" w:hAnsi="仿宋_GB2312" w:cs="仿宋_GB2312" w:eastAsia="仿宋_GB2312"/>
        </w:rPr>
        <w:t>（七）响应文件格式；</w:t>
      </w:r>
    </w:p>
    <w:p>
      <w:pPr>
        <w:pStyle w:val="null3"/>
        <w:ind w:firstLine="480"/>
      </w:pPr>
      <w:r>
        <w:rPr>
          <w:rFonts w:ascii="仿宋_GB2312" w:hAnsi="仿宋_GB2312" w:cs="仿宋_GB2312" w:eastAsia="仿宋_GB2312"/>
        </w:rPr>
        <w:t>（八）拟签订采购合同文本。</w:t>
      </w:r>
    </w:p>
    <w:p>
      <w:pPr>
        <w:pStyle w:val="null3"/>
        <w:ind w:firstLine="480"/>
      </w:pPr>
      <w:r>
        <w:rPr>
          <w:rFonts w:ascii="仿宋_GB2312" w:hAnsi="仿宋_GB2312" w:cs="仿宋_GB2312" w:eastAsia="仿宋_GB2312"/>
        </w:rPr>
        <w:t xml:space="preserve"> 二、供应商应认真阅读和充分理解磋商文件中所有的事项、格式条款和规范要求。供应商没有对磋商文件全面作出实质性响应所产生的风险由供应商承担。</w:t>
      </w:r>
    </w:p>
    <w:p>
      <w:pPr>
        <w:pStyle w:val="null3"/>
        <w:outlineLvl w:val="3"/>
      </w:pPr>
      <w:r>
        <w:rPr>
          <w:rFonts w:ascii="仿宋_GB2312" w:hAnsi="仿宋_GB2312" w:cs="仿宋_GB2312" w:eastAsia="仿宋_GB2312"/>
          <w:sz w:val="24"/>
          <w:b/>
        </w:rPr>
        <w:t xml:space="preserve"> 2.3.2磋商文件的澄清和修改</w:t>
      </w:r>
    </w:p>
    <w:p>
      <w:pPr>
        <w:pStyle w:val="null3"/>
        <w:ind w:firstLine="480"/>
      </w:pPr>
      <w:r>
        <w:rPr>
          <w:rFonts w:ascii="仿宋_GB2312" w:hAnsi="仿宋_GB2312" w:cs="仿宋_GB2312" w:eastAsia="仿宋_GB2312"/>
        </w:rPr>
        <w:t>一、在提交首次响应文件截止时间前，采购人或者代理机构可以对已发出的磋商文件进行必要的澄清或者修改。</w:t>
      </w:r>
    </w:p>
    <w:p>
      <w:pPr>
        <w:pStyle w:val="null3"/>
      </w:pPr>
      <w:r>
        <w:rPr>
          <w:rFonts w:ascii="仿宋_GB2312" w:hAnsi="仿宋_GB2312" w:cs="仿宋_GB2312" w:eastAsia="仿宋_GB2312"/>
        </w:rPr>
        <w:t>二、澄清或者修改的内容为磋商文件的组成部分，采购人或者代理机构将在陕西省政府采购网发布更正公告，供应商应及时关注本项目更正公告信息，按更正后公告要求进行响应。更正内容可能影响响应文件编制的，采购人或者代理机构将通过项目电子化交易系统发布更正后的磋商文件，供应商应依据更正后的磋商文件编制响应文件。若供应商未按前述要求进行响应的，自行承担不利后果。</w:t>
      </w:r>
    </w:p>
    <w:p>
      <w:pPr>
        <w:pStyle w:val="null3"/>
        <w:outlineLvl w:val="2"/>
      </w:pPr>
      <w:r>
        <w:rPr>
          <w:rFonts w:ascii="仿宋_GB2312" w:hAnsi="仿宋_GB2312" w:cs="仿宋_GB2312" w:eastAsia="仿宋_GB2312"/>
          <w:sz w:val="28"/>
          <w:b/>
        </w:rPr>
        <w:t>2.4响应文件</w:t>
      </w:r>
    </w:p>
    <w:p>
      <w:pPr>
        <w:pStyle w:val="null3"/>
        <w:outlineLvl w:val="3"/>
      </w:pPr>
      <w:r>
        <w:rPr>
          <w:rFonts w:ascii="仿宋_GB2312" w:hAnsi="仿宋_GB2312" w:cs="仿宋_GB2312" w:eastAsia="仿宋_GB2312"/>
          <w:sz w:val="24"/>
          <w:b/>
        </w:rPr>
        <w:t xml:space="preserve"> 2.4.1响应文件的语言</w:t>
      </w:r>
    </w:p>
    <w:p>
      <w:pPr>
        <w:pStyle w:val="null3"/>
        <w:ind w:firstLine="480"/>
      </w:pPr>
      <w:r>
        <w:rPr>
          <w:rFonts w:ascii="仿宋_GB2312" w:hAnsi="仿宋_GB2312" w:cs="仿宋_GB2312" w:eastAsia="仿宋_GB2312"/>
        </w:rPr>
        <w:t xml:space="preserve"> 一、供应商提交的响应文件以及供应商与磋商小组在磋商过程中的所有来往书面文件均须使用中文。响应文件中如附有外文资料，主要部分要对应翻译成中文并附在相关外文资料后面。未翻译的外文资料，磋商小组将视其为无效材料。</w:t>
      </w:r>
    </w:p>
    <w:p>
      <w:pPr>
        <w:pStyle w:val="null3"/>
        <w:ind w:firstLine="480"/>
      </w:pPr>
      <w:r>
        <w:rPr>
          <w:rFonts w:ascii="仿宋_GB2312" w:hAnsi="仿宋_GB2312" w:cs="仿宋_GB2312" w:eastAsia="仿宋_GB2312"/>
        </w:rPr>
        <w:t xml:space="preserve"> 二、翻译的中文资料与外文资料如果出现差异和矛盾时，以中文为准。涉嫌提供虚假材料的按照相关法律法规处理。</w:t>
      </w:r>
    </w:p>
    <w:p>
      <w:pPr>
        <w:pStyle w:val="null3"/>
        <w:ind w:firstLine="480"/>
      </w:pPr>
      <w:r>
        <w:rPr>
          <w:rFonts w:ascii="仿宋_GB2312" w:hAnsi="仿宋_GB2312" w:cs="仿宋_GB2312" w:eastAsia="仿宋_GB2312"/>
        </w:rPr>
        <w:t>三、如因未翻译而造成对供应商的不利后果，由供应商承担。</w:t>
      </w:r>
    </w:p>
    <w:p>
      <w:pPr>
        <w:pStyle w:val="null3"/>
        <w:outlineLvl w:val="3"/>
      </w:pPr>
      <w:r>
        <w:rPr>
          <w:rFonts w:ascii="仿宋_GB2312" w:hAnsi="仿宋_GB2312" w:cs="仿宋_GB2312" w:eastAsia="仿宋_GB2312"/>
          <w:sz w:val="24"/>
          <w:b/>
        </w:rPr>
        <w:t>2.4.2计量单位</w:t>
      </w:r>
    </w:p>
    <w:p>
      <w:pPr>
        <w:pStyle w:val="null3"/>
        <w:ind w:firstLine="480"/>
      </w:pPr>
      <w:r>
        <w:rPr>
          <w:rFonts w:ascii="仿宋_GB2312" w:hAnsi="仿宋_GB2312" w:cs="仿宋_GB2312" w:eastAsia="仿宋_GB2312"/>
        </w:rPr>
        <w:t>除磋商文件中另有规定外，本项目均采用国家法定的计量单位。</w:t>
      </w:r>
    </w:p>
    <w:p>
      <w:pPr>
        <w:pStyle w:val="null3"/>
        <w:outlineLvl w:val="3"/>
      </w:pPr>
      <w:r>
        <w:rPr>
          <w:rFonts w:ascii="仿宋_GB2312" w:hAnsi="仿宋_GB2312" w:cs="仿宋_GB2312" w:eastAsia="仿宋_GB2312"/>
          <w:sz w:val="24"/>
          <w:b/>
        </w:rPr>
        <w:t>2.4.3响应货币</w:t>
      </w:r>
    </w:p>
    <w:p>
      <w:pPr>
        <w:pStyle w:val="null3"/>
        <w:ind w:firstLine="480"/>
      </w:pPr>
      <w:r>
        <w:rPr>
          <w:rFonts w:ascii="仿宋_GB2312" w:hAnsi="仿宋_GB2312" w:cs="仿宋_GB2312" w:eastAsia="仿宋_GB2312"/>
        </w:rPr>
        <w:t>本项目均以人民币报价。</w:t>
      </w:r>
    </w:p>
    <w:p>
      <w:pPr>
        <w:pStyle w:val="null3"/>
        <w:outlineLvl w:val="3"/>
      </w:pPr>
      <w:r>
        <w:rPr>
          <w:rFonts w:ascii="仿宋_GB2312" w:hAnsi="仿宋_GB2312" w:cs="仿宋_GB2312" w:eastAsia="仿宋_GB2312"/>
          <w:sz w:val="24"/>
          <w:b/>
        </w:rPr>
        <w:t xml:space="preserve"> 2.4.4知识产权</w:t>
      </w:r>
    </w:p>
    <w:p>
      <w:pPr>
        <w:pStyle w:val="null3"/>
        <w:ind w:firstLine="480"/>
      </w:pPr>
      <w:r>
        <w:rPr>
          <w:rFonts w:ascii="仿宋_GB2312" w:hAnsi="仿宋_GB2312" w:cs="仿宋_GB2312" w:eastAsia="仿宋_GB2312"/>
        </w:rPr>
        <w:t xml:space="preserve"> 一、供应商应保证在本项目中使用的任何技术、产品和服务（包括部分使用），不会产生因第三方提出侵犯其专利权、商标权或其它知识产权而引起的法律和经济纠纷，如因专利权、商标权或其它知识产权而引起法律和经济纠纷，由供应商承担所有相关责任。采购人享有本项目实施过程中产生的知识成果及知识产权。</w:t>
      </w:r>
    </w:p>
    <w:p>
      <w:pPr>
        <w:pStyle w:val="null3"/>
        <w:ind w:firstLine="480"/>
      </w:pPr>
      <w:r>
        <w:rPr>
          <w:rFonts w:ascii="仿宋_GB2312" w:hAnsi="仿宋_GB2312" w:cs="仿宋_GB2312" w:eastAsia="仿宋_GB2312"/>
        </w:rPr>
        <w:t xml:space="preserve"> 二、供应商将在采购项目实施过程中采用自有或者第三方知识成果的，使用该知识成果后，供应商需提供开发接口和开发手册等技术资料，并承诺提供无限期支持，采购人享有使用权（含采购人委托第三方在该项目后续开发的使用权）。</w:t>
      </w:r>
    </w:p>
    <w:p>
      <w:pPr>
        <w:pStyle w:val="null3"/>
        <w:ind w:firstLine="480"/>
      </w:pPr>
      <w:r>
        <w:rPr>
          <w:rFonts w:ascii="仿宋_GB2312" w:hAnsi="仿宋_GB2312" w:cs="仿宋_GB2312" w:eastAsia="仿宋_GB2312"/>
        </w:rPr>
        <w:t>三、如采用供应商所不拥有的知识产权，则在报价中必须包括合法使用该知识产权的相关费用。</w:t>
      </w:r>
    </w:p>
    <w:p>
      <w:pPr>
        <w:pStyle w:val="null3"/>
        <w:ind w:firstLine="480"/>
      </w:pPr>
      <w:r>
        <w:rPr>
          <w:rFonts w:ascii="仿宋_GB2312" w:hAnsi="仿宋_GB2312" w:cs="仿宋_GB2312" w:eastAsia="仿宋_GB2312"/>
        </w:rPr>
        <w:t xml:space="preserve"> 四、构成本磋商文件的各组成部分，未经采购人书面同意，供应商不得擅自复印或用于非本磋商项目所需的其他目的。</w:t>
      </w:r>
    </w:p>
    <w:p>
      <w:pPr>
        <w:pStyle w:val="null3"/>
        <w:outlineLvl w:val="3"/>
      </w:pPr>
      <w:r>
        <w:rPr>
          <w:rFonts w:ascii="仿宋_GB2312" w:hAnsi="仿宋_GB2312" w:cs="仿宋_GB2312" w:eastAsia="仿宋_GB2312"/>
          <w:sz w:val="24"/>
          <w:b/>
        </w:rPr>
        <w:t xml:space="preserve"> 2.4.5响应文件的组成（实质性要求）</w:t>
      </w:r>
    </w:p>
    <w:p>
      <w:pPr>
        <w:pStyle w:val="null3"/>
        <w:ind w:firstLine="480"/>
      </w:pPr>
      <w:r>
        <w:rPr>
          <w:rFonts w:ascii="仿宋_GB2312" w:hAnsi="仿宋_GB2312" w:cs="仿宋_GB2312" w:eastAsia="仿宋_GB2312"/>
        </w:rPr>
        <w:t>供应商应按照磋商文件的规定和要求编制响应文件。</w:t>
      </w:r>
    </w:p>
    <w:p>
      <w:pPr>
        <w:pStyle w:val="null3"/>
        <w:ind w:firstLine="480"/>
      </w:pPr>
      <w:r>
        <w:rPr>
          <w:rFonts w:ascii="仿宋_GB2312" w:hAnsi="仿宋_GB2312" w:cs="仿宋_GB2312" w:eastAsia="仿宋_GB2312"/>
        </w:rPr>
        <w:t>响应文件具体内容详见第七章。</w:t>
      </w:r>
    </w:p>
    <w:p>
      <w:pPr>
        <w:pStyle w:val="null3"/>
        <w:outlineLvl w:val="3"/>
      </w:pPr>
      <w:r>
        <w:rPr>
          <w:rFonts w:ascii="仿宋_GB2312" w:hAnsi="仿宋_GB2312" w:cs="仿宋_GB2312" w:eastAsia="仿宋_GB2312"/>
          <w:sz w:val="24"/>
          <w:b/>
        </w:rPr>
        <w:t xml:space="preserve"> 2.4.6响应文件格式</w:t>
      </w:r>
    </w:p>
    <w:p>
      <w:pPr>
        <w:pStyle w:val="null3"/>
        <w:ind w:firstLine="480"/>
      </w:pPr>
      <w:r>
        <w:rPr>
          <w:rFonts w:ascii="仿宋_GB2312" w:hAnsi="仿宋_GB2312" w:cs="仿宋_GB2312" w:eastAsia="仿宋_GB2312"/>
        </w:rPr>
        <w:t>一、供应商应按照磋商文件第七章中提供的“响应文件格式”填写相关内容。</w:t>
      </w:r>
    </w:p>
    <w:p>
      <w:pPr>
        <w:pStyle w:val="null3"/>
        <w:ind w:firstLine="480"/>
      </w:pPr>
      <w:r>
        <w:rPr>
          <w:rFonts w:ascii="仿宋_GB2312" w:hAnsi="仿宋_GB2312" w:cs="仿宋_GB2312" w:eastAsia="仿宋_GB2312"/>
        </w:rPr>
        <w:t>二、对于没有格式要求的响应文件由供应商自行编写。</w:t>
      </w:r>
    </w:p>
    <w:p>
      <w:pPr>
        <w:pStyle w:val="null3"/>
        <w:outlineLvl w:val="3"/>
      </w:pPr>
      <w:r>
        <w:rPr>
          <w:rFonts w:ascii="仿宋_GB2312" w:hAnsi="仿宋_GB2312" w:cs="仿宋_GB2312" w:eastAsia="仿宋_GB2312"/>
          <w:sz w:val="24"/>
          <w:b/>
        </w:rPr>
        <w:t>2.4.7响应报价（实质性要求）</w:t>
      </w:r>
    </w:p>
    <w:p>
      <w:pPr>
        <w:pStyle w:val="null3"/>
        <w:ind w:firstLine="480"/>
      </w:pPr>
      <w:r>
        <w:rPr>
          <w:rFonts w:ascii="仿宋_GB2312" w:hAnsi="仿宋_GB2312" w:cs="仿宋_GB2312" w:eastAsia="仿宋_GB2312"/>
        </w:rPr>
        <w:t>一、供应商应认真核实本项目的工程量清单。</w:t>
      </w:r>
    </w:p>
    <w:p>
      <w:pPr>
        <w:pStyle w:val="null3"/>
        <w:ind w:firstLine="480"/>
      </w:pPr>
      <w:r>
        <w:rPr>
          <w:rFonts w:ascii="仿宋_GB2312" w:hAnsi="仿宋_GB2312" w:cs="仿宋_GB2312" w:eastAsia="仿宋_GB2312"/>
        </w:rPr>
        <w:t>二、供应商的报价是其响应本项目要求的全部工作内容的价格体现，包括供应商完成本项目所需的一切费用。</w:t>
      </w:r>
    </w:p>
    <w:p>
      <w:pPr>
        <w:pStyle w:val="null3"/>
        <w:ind w:firstLine="480"/>
      </w:pPr>
      <w:r>
        <w:rPr>
          <w:rFonts w:ascii="仿宋_GB2312" w:hAnsi="仿宋_GB2312" w:cs="仿宋_GB2312" w:eastAsia="仿宋_GB2312"/>
        </w:rPr>
        <w:t>三、本项目合同价格形式为如下：</w:t>
      </w:r>
    </w:p>
    <w:p>
      <w:pPr>
        <w:pStyle w:val="null3"/>
      </w:pPr>
      <w:r>
        <w:rPr>
          <w:rFonts w:ascii="仿宋_GB2312" w:hAnsi="仿宋_GB2312" w:cs="仿宋_GB2312" w:eastAsia="仿宋_GB2312"/>
        </w:rPr>
        <w:t>采购包1：项目包干价</w:t>
      </w:r>
    </w:p>
    <w:p>
      <w:pPr>
        <w:pStyle w:val="null3"/>
      </w:pPr>
      <w:r>
        <w:rPr>
          <w:rFonts w:ascii="仿宋_GB2312" w:hAnsi="仿宋_GB2312" w:cs="仿宋_GB2312" w:eastAsia="仿宋_GB2312"/>
        </w:rPr>
        <w:t>项目包干价。适用于设计施工图纸详尽完善（即工程量固定），投资规模较小、施工工期较短且施工内容相对简单的工程项目。</w:t>
      </w:r>
    </w:p>
    <w:p>
      <w:pPr>
        <w:pStyle w:val="null3"/>
      </w:pPr>
      <w:r>
        <w:rPr>
          <w:rFonts w:ascii="仿宋_GB2312" w:hAnsi="仿宋_GB2312" w:cs="仿宋_GB2312" w:eastAsia="仿宋_GB2312"/>
        </w:rPr>
        <w:t>参加采购活动的供应商应当全部响应采购人提供的工程量清单，供应商直接给出其完成本项目全部工作内容所需的总价，不再提供已标价工程量清单。</w:t>
      </w:r>
    </w:p>
    <w:p>
      <w:pPr>
        <w:pStyle w:val="null3"/>
      </w:pPr>
      <w:r>
        <w:rPr>
          <w:rFonts w:ascii="仿宋_GB2312" w:hAnsi="仿宋_GB2312" w:cs="仿宋_GB2312" w:eastAsia="仿宋_GB2312"/>
        </w:rPr>
        <w:t>说明：采购人选择采用此种报价方式的，应当科学测算项目工程量，避免工程量调整造成履约纠纷。</w:t>
      </w:r>
    </w:p>
    <w:p>
      <w:pPr>
        <w:pStyle w:val="null3"/>
        <w:outlineLvl w:val="3"/>
      </w:pPr>
      <w:r>
        <w:rPr>
          <w:rFonts w:ascii="仿宋_GB2312" w:hAnsi="仿宋_GB2312" w:cs="仿宋_GB2312" w:eastAsia="仿宋_GB2312"/>
          <w:sz w:val="24"/>
          <w:b/>
        </w:rPr>
        <w:t>2.4.8响应有效期（实质性要求）</w:t>
      </w:r>
    </w:p>
    <w:p>
      <w:pPr>
        <w:pStyle w:val="null3"/>
        <w:ind w:firstLine="480"/>
      </w:pPr>
      <w:r>
        <w:rPr>
          <w:rFonts w:ascii="仿宋_GB2312" w:hAnsi="仿宋_GB2312" w:cs="仿宋_GB2312" w:eastAsia="仿宋_GB2312"/>
        </w:rPr>
        <w:t xml:space="preserve"> 响应有效期详见第二章“供应商须知前附表”，响应文件未明确响应有效期或者响应有效期小于“供应商须知前附表”中响应有效期要求的，其响应文件按无效处理。</w:t>
      </w:r>
    </w:p>
    <w:p>
      <w:pPr>
        <w:pStyle w:val="null3"/>
        <w:outlineLvl w:val="3"/>
      </w:pPr>
      <w:r>
        <w:rPr>
          <w:rFonts w:ascii="仿宋_GB2312" w:hAnsi="仿宋_GB2312" w:cs="仿宋_GB2312" w:eastAsia="仿宋_GB2312"/>
          <w:sz w:val="24"/>
          <w:b/>
        </w:rPr>
        <w:t xml:space="preserve"> 2.4.9响应文件的制作、签章和加密（实质性要求）</w:t>
      </w:r>
    </w:p>
    <w:p>
      <w:pPr>
        <w:pStyle w:val="null3"/>
        <w:ind w:firstLine="480"/>
      </w:pPr>
      <w:r>
        <w:rPr>
          <w:rFonts w:ascii="仿宋_GB2312" w:hAnsi="仿宋_GB2312" w:cs="仿宋_GB2312" w:eastAsia="仿宋_GB2312"/>
        </w:rPr>
        <w:t xml:space="preserve"> 一、投标文件应当根据招标文件进行编制，投标人应通过陕西省政府采购网-办事指南-CA及签章服务下载投标（响应）客户端，使用客户端编制投标文件。</w:t>
      </w:r>
    </w:p>
    <w:p>
      <w:pPr>
        <w:pStyle w:val="null3"/>
        <w:ind w:firstLine="480"/>
      </w:pPr>
      <w:r>
        <w:rPr>
          <w:rFonts w:ascii="仿宋_GB2312" w:hAnsi="仿宋_GB2312" w:cs="仿宋_GB2312" w:eastAsia="仿宋_GB2312"/>
        </w:rPr>
        <w:t xml:space="preserve"> 二、供应商应按照客户端操作要求，对应磋商文件的每项实质性要求，逐一如实响应；未如实响应或者响应内容不符合磋商文件对应项的要求的，其响应文件作无效处理。</w:t>
      </w:r>
    </w:p>
    <w:p>
      <w:pPr>
        <w:pStyle w:val="null3"/>
        <w:ind w:firstLine="480"/>
      </w:pPr>
      <w:r>
        <w:rPr>
          <w:rFonts w:ascii="仿宋_GB2312" w:hAnsi="仿宋_GB2312" w:cs="仿宋_GB2312" w:eastAsia="仿宋_GB2312"/>
        </w:rPr>
        <w:t xml:space="preserve"> 三、供应商完成响应文件编制后，应按照磋商文件第1章明确的签章要求，使用互认的证书及签章对响应文件进行电子签章和加密。</w:t>
      </w:r>
    </w:p>
    <w:p>
      <w:pPr>
        <w:pStyle w:val="null3"/>
        <w:ind w:firstLine="480"/>
      </w:pPr>
      <w:r>
        <w:rPr>
          <w:rFonts w:ascii="仿宋_GB2312" w:hAnsi="仿宋_GB2312" w:cs="仿宋_GB2312" w:eastAsia="仿宋_GB2312"/>
        </w:rPr>
        <w:t xml:space="preserve"> 四、磋商文件澄清或者修改的内容可能影响响应文件编制的，代理机构将重新发布澄清或者修改后的磋商文件，供应商应重新获取澄清或者修改后的磋商文件，按照澄清或者修改后的磋商文件进行响应文件编制、签章和加密。</w:t>
      </w:r>
    </w:p>
    <w:p>
      <w:pPr>
        <w:pStyle w:val="null3"/>
        <w:outlineLvl w:val="3"/>
      </w:pPr>
      <w:r>
        <w:rPr>
          <w:rFonts w:ascii="仿宋_GB2312" w:hAnsi="仿宋_GB2312" w:cs="仿宋_GB2312" w:eastAsia="仿宋_GB2312"/>
          <w:sz w:val="24"/>
          <w:b/>
        </w:rPr>
        <w:t>2.4.10响应文件的提交（实质性要求）</w:t>
      </w:r>
    </w:p>
    <w:p>
      <w:pPr>
        <w:pStyle w:val="null3"/>
        <w:ind w:firstLine="480"/>
      </w:pPr>
      <w:r>
        <w:rPr>
          <w:rFonts w:ascii="仿宋_GB2312" w:hAnsi="仿宋_GB2312" w:cs="仿宋_GB2312" w:eastAsia="仿宋_GB2312"/>
        </w:rPr>
        <w:t>一、供应商应当在提交首次响应文件截止时间前，通过项目电子化交易系统完成响应文件提交。</w:t>
      </w:r>
    </w:p>
    <w:p>
      <w:pPr>
        <w:pStyle w:val="null3"/>
        <w:ind w:firstLine="480"/>
      </w:pPr>
      <w:r>
        <w:rPr>
          <w:rFonts w:ascii="仿宋_GB2312" w:hAnsi="仿宋_GB2312" w:cs="仿宋_GB2312" w:eastAsia="仿宋_GB2312"/>
        </w:rPr>
        <w:t xml:space="preserve"> 二、在提交首次响应文件截止时间后，代理机构不再接受供应商提交响应文件。供应商应充分考虑影响响应文件提交的各种因素，确保在提交首次响应文件截止时间前完成提交。</w:t>
      </w:r>
    </w:p>
    <w:p>
      <w:pPr>
        <w:pStyle w:val="null3"/>
        <w:outlineLvl w:val="3"/>
      </w:pPr>
      <w:r>
        <w:rPr>
          <w:rFonts w:ascii="仿宋_GB2312" w:hAnsi="仿宋_GB2312" w:cs="仿宋_GB2312" w:eastAsia="仿宋_GB2312"/>
          <w:sz w:val="24"/>
          <w:b/>
        </w:rPr>
        <w:t xml:space="preserve"> 2.4.11响应文件的补充、修改（实质性要求）</w:t>
      </w:r>
    </w:p>
    <w:p>
      <w:pPr>
        <w:pStyle w:val="null3"/>
        <w:ind w:firstLine="480"/>
      </w:pPr>
      <w:r>
        <w:rPr>
          <w:rFonts w:ascii="仿宋_GB2312" w:hAnsi="仿宋_GB2312" w:cs="仿宋_GB2312" w:eastAsia="仿宋_GB2312"/>
        </w:rPr>
        <w:t xml:space="preserve"> 响应文件提交截止时间前，供应商可以补充、修改或者撤回已成功提交的响应文件；对响应文件进行补充、修改的，应当先行撤回已提交的响应文件，补充、修改后重新提交。</w:t>
      </w:r>
    </w:p>
    <w:p>
      <w:pPr>
        <w:pStyle w:val="null3"/>
        <w:ind w:firstLine="480"/>
      </w:pPr>
      <w:r>
        <w:rPr>
          <w:rFonts w:ascii="仿宋_GB2312" w:hAnsi="仿宋_GB2312" w:cs="仿宋_GB2312" w:eastAsia="仿宋_GB2312"/>
        </w:rPr>
        <w:t>供应商响应文件撤回后，视为未提交过响应文件。</w:t>
      </w:r>
    </w:p>
    <w:p>
      <w:pPr>
        <w:pStyle w:val="null3"/>
        <w:outlineLvl w:val="2"/>
      </w:pPr>
      <w:r>
        <w:rPr>
          <w:rFonts w:ascii="仿宋_GB2312" w:hAnsi="仿宋_GB2312" w:cs="仿宋_GB2312" w:eastAsia="仿宋_GB2312"/>
          <w:sz w:val="28"/>
          <w:b/>
        </w:rPr>
        <w:t>2.5开启、资格审查、磋商和确定成交供应商</w:t>
      </w:r>
    </w:p>
    <w:p>
      <w:pPr>
        <w:pStyle w:val="null3"/>
        <w:outlineLvl w:val="3"/>
      </w:pPr>
      <w:r>
        <w:rPr>
          <w:rFonts w:ascii="仿宋_GB2312" w:hAnsi="仿宋_GB2312" w:cs="仿宋_GB2312" w:eastAsia="仿宋_GB2312"/>
          <w:sz w:val="24"/>
          <w:b/>
        </w:rPr>
        <w:t>2.5.1磋商开启程序</w:t>
      </w:r>
    </w:p>
    <w:p>
      <w:pPr>
        <w:pStyle w:val="null3"/>
        <w:ind w:firstLine="480"/>
      </w:pPr>
      <w:r>
        <w:rPr>
          <w:rFonts w:ascii="仿宋_GB2312" w:hAnsi="仿宋_GB2312" w:cs="仿宋_GB2312" w:eastAsia="仿宋_GB2312"/>
        </w:rPr>
        <w:t xml:space="preserve"> 一、本项目为竞争性磋商项目。网上开启的开始时间为响应文件提交截止时间。成功提交或解密电子响应文件的供应商不足3家的，不予开启，采购人或代理机构将终止采购活动。</w:t>
      </w:r>
    </w:p>
    <w:p>
      <w:pPr>
        <w:pStyle w:val="null3"/>
        <w:ind w:firstLine="480"/>
      </w:pPr>
      <w:r>
        <w:rPr>
          <w:rFonts w:ascii="仿宋_GB2312" w:hAnsi="仿宋_GB2312" w:cs="仿宋_GB2312" w:eastAsia="仿宋_GB2312"/>
        </w:rPr>
        <w:t>二、磋商开启准备工作</w:t>
      </w:r>
    </w:p>
    <w:p>
      <w:pPr>
        <w:pStyle w:val="null3"/>
        <w:ind w:firstLine="480"/>
      </w:pPr>
      <w:r>
        <w:rPr>
          <w:rFonts w:ascii="仿宋_GB2312" w:hAnsi="仿宋_GB2312" w:cs="仿宋_GB2312" w:eastAsia="仿宋_GB2312"/>
        </w:rPr>
        <w:t>响应文件开启时间前，供应商登录项目电子化交易系统-“开标/开启大厅”，等待代理机构开启磋商。</w:t>
      </w:r>
    </w:p>
    <w:p>
      <w:pPr>
        <w:pStyle w:val="null3"/>
        <w:ind w:firstLine="480"/>
      </w:pPr>
      <w:r>
        <w:rPr>
          <w:rFonts w:ascii="仿宋_GB2312" w:hAnsi="仿宋_GB2312" w:cs="仿宋_GB2312" w:eastAsia="仿宋_GB2312"/>
        </w:rPr>
        <w:t>三、解密响应文件（实质性要求）</w:t>
      </w:r>
    </w:p>
    <w:p>
      <w:pPr>
        <w:pStyle w:val="null3"/>
        <w:ind w:firstLine="480"/>
      </w:pPr>
      <w:r>
        <w:rPr>
          <w:rFonts w:ascii="仿宋_GB2312" w:hAnsi="仿宋_GB2312" w:cs="仿宋_GB2312" w:eastAsia="仿宋_GB2312"/>
        </w:rPr>
        <w:t xml:space="preserve"> 响应文件提交截止时间后，成功提交响应文件的供应商符合响应文件规定数量的，代理机构将启动响应文件解密程序，解密时间为</w:t>
      </w:r>
      <w:r>
        <w:rPr>
          <w:rFonts w:ascii="仿宋_GB2312" w:hAnsi="仿宋_GB2312" w:cs="仿宋_GB2312" w:eastAsia="仿宋_GB2312"/>
        </w:rPr>
        <w:t>30</w:t>
      </w:r>
      <w:r>
        <w:rPr>
          <w:rFonts w:ascii="仿宋_GB2312" w:hAnsi="仿宋_GB2312" w:cs="仿宋_GB2312" w:eastAsia="仿宋_GB2312"/>
        </w:rPr>
        <w:t>分钟；供应商应在规定的解密时间内，使用互认的证书及签章通过项目电子化交易系统进行响应文件解密。供应商未在规定的解密时间内完成解密的，按无效响应处理。</w:t>
      </w:r>
    </w:p>
    <w:p>
      <w:pPr>
        <w:pStyle w:val="null3"/>
        <w:ind w:firstLine="480"/>
      </w:pPr>
      <w:r>
        <w:rPr>
          <w:rFonts w:ascii="仿宋_GB2312" w:hAnsi="仿宋_GB2312" w:cs="仿宋_GB2312" w:eastAsia="仿宋_GB2312"/>
        </w:rPr>
        <w:t xml:space="preserve"> 开启过程中，各方主体均应遵守互联网有关规定，不得发表与采购活动无关的言论。供应商对开启过程和开启记录有疑义，以及认为采购人或代理机构相关工作人员有需要回避的情形的，及时向工作人员提出询问或者回避申请。采购人或代理机构对供应商提出的询问或者回避申请应当及时处理。</w:t>
      </w:r>
    </w:p>
    <w:p>
      <w:pPr>
        <w:pStyle w:val="null3"/>
        <w:outlineLvl w:val="3"/>
      </w:pPr>
      <w:r>
        <w:rPr>
          <w:rFonts w:ascii="仿宋_GB2312" w:hAnsi="仿宋_GB2312" w:cs="仿宋_GB2312" w:eastAsia="仿宋_GB2312"/>
          <w:sz w:val="24"/>
          <w:b/>
        </w:rPr>
        <w:t>2.5.2查询及使用信用记录</w:t>
      </w:r>
    </w:p>
    <w:p>
      <w:pPr>
        <w:pStyle w:val="null3"/>
        <w:ind w:firstLine="480"/>
      </w:pPr>
      <w:r>
        <w:rPr>
          <w:rFonts w:ascii="仿宋_GB2312" w:hAnsi="仿宋_GB2312" w:cs="仿宋_GB2312" w:eastAsia="仿宋_GB2312"/>
        </w:rPr>
        <w:t xml:space="preserve"> 开启结束后，采购人或代理机构根据《关于在政府采购活动中查询及使用信用记录有关问题的通知》（财库〔2016〕125号）的要求，通过“信用中国”网站（www.creditchina.gov.cn）、“中国政府采购网”网站（www.ccgp.gov.cn）等渠道，查询供应商在响应文件提交截止时间前的信用记录并保存信用记录结果网页截图，拒绝列入失信被执行人名单、重大税收违法案件当事人名单、政府采购严重违法失信行为记录名单中的供应商参加本项目的采购活动。</w:t>
      </w:r>
    </w:p>
    <w:p>
      <w:pPr>
        <w:pStyle w:val="null3"/>
        <w:ind w:firstLine="480"/>
      </w:pPr>
      <w:r>
        <w:rPr>
          <w:rFonts w:ascii="仿宋_GB2312" w:hAnsi="仿宋_GB2312" w:cs="仿宋_GB2312" w:eastAsia="仿宋_GB2312"/>
        </w:rPr>
        <w:t xml:space="preserve"> 两个以上的自然人、法人或者其他组织组成一个联合体，以一个供应商的身份共同参加政府采购活动的，将对所有联合体成员进行信用记录查询，联合体成员存在不良信用记录的，视同联合体存在不良信用记录。</w:t>
      </w:r>
    </w:p>
    <w:p>
      <w:pPr>
        <w:pStyle w:val="null3"/>
        <w:outlineLvl w:val="3"/>
      </w:pPr>
      <w:r>
        <w:rPr>
          <w:rFonts w:ascii="仿宋_GB2312" w:hAnsi="仿宋_GB2312" w:cs="仿宋_GB2312" w:eastAsia="仿宋_GB2312"/>
          <w:sz w:val="24"/>
          <w:b/>
        </w:rPr>
        <w:t>2.5.3资格审查</w:t>
      </w:r>
    </w:p>
    <w:p>
      <w:pPr>
        <w:pStyle w:val="null3"/>
        <w:ind w:firstLine="480"/>
      </w:pPr>
      <w:r>
        <w:rPr>
          <w:rFonts w:ascii="仿宋_GB2312" w:hAnsi="仿宋_GB2312" w:cs="仿宋_GB2312" w:eastAsia="仿宋_GB2312"/>
        </w:rPr>
        <w:t>详见磋商文件第四章。</w:t>
      </w:r>
    </w:p>
    <w:p>
      <w:pPr>
        <w:pStyle w:val="null3"/>
        <w:outlineLvl w:val="3"/>
      </w:pPr>
      <w:r>
        <w:rPr>
          <w:rFonts w:ascii="仿宋_GB2312" w:hAnsi="仿宋_GB2312" w:cs="仿宋_GB2312" w:eastAsia="仿宋_GB2312"/>
          <w:sz w:val="24"/>
          <w:b/>
        </w:rPr>
        <w:t>2.5.4磋商</w:t>
      </w:r>
    </w:p>
    <w:p>
      <w:pPr>
        <w:pStyle w:val="null3"/>
        <w:ind w:firstLine="480"/>
      </w:pPr>
      <w:r>
        <w:rPr>
          <w:rFonts w:ascii="仿宋_GB2312" w:hAnsi="仿宋_GB2312" w:cs="仿宋_GB2312" w:eastAsia="仿宋_GB2312"/>
        </w:rPr>
        <w:t>详见磋商文件第六章</w:t>
      </w:r>
    </w:p>
    <w:p>
      <w:pPr>
        <w:pStyle w:val="null3"/>
        <w:outlineLvl w:val="3"/>
      </w:pPr>
      <w:r>
        <w:rPr>
          <w:rFonts w:ascii="仿宋_GB2312" w:hAnsi="仿宋_GB2312" w:cs="仿宋_GB2312" w:eastAsia="仿宋_GB2312"/>
          <w:sz w:val="24"/>
          <w:b/>
        </w:rPr>
        <w:t>2.5.5成交通知书</w:t>
      </w:r>
    </w:p>
    <w:p>
      <w:pPr>
        <w:pStyle w:val="null3"/>
        <w:ind w:firstLine="480"/>
      </w:pPr>
      <w:r>
        <w:rPr>
          <w:rFonts w:ascii="仿宋_GB2312" w:hAnsi="仿宋_GB2312" w:cs="仿宋_GB2312" w:eastAsia="仿宋_GB2312"/>
        </w:rPr>
        <w:t xml:space="preserve"> 一、采购人或者磋商小组确认成交供应商后，代理机构在陕西省政府采购网发布成交结果公告、通过项目电子化交易系统发出成交通知书，成交供应商通过项目电子化交易系统获取成交通知书。</w:t>
      </w:r>
    </w:p>
    <w:p>
      <w:pPr>
        <w:pStyle w:val="null3"/>
        <w:ind w:firstLine="480"/>
      </w:pPr>
      <w:r>
        <w:rPr>
          <w:rFonts w:ascii="仿宋_GB2312" w:hAnsi="仿宋_GB2312" w:cs="仿宋_GB2312" w:eastAsia="仿宋_GB2312"/>
        </w:rPr>
        <w:t xml:space="preserve"> 二、成交通知书是采购人和成交供应商签订政府采购合同的依据，是合同的有效组成部分。如果出现政府采购法律法规、规章制度规定的成交无效情形的，将以公告形式宣布发出的成交通知书无效，成交通知书将自动失效，并依法重新确定成交供应商或者重新开展采购活动。</w:t>
      </w:r>
    </w:p>
    <w:p>
      <w:pPr>
        <w:pStyle w:val="null3"/>
        <w:ind w:firstLine="480"/>
      </w:pPr>
      <w:r>
        <w:rPr>
          <w:rFonts w:ascii="仿宋_GB2312" w:hAnsi="仿宋_GB2312" w:cs="仿宋_GB2312" w:eastAsia="仿宋_GB2312"/>
        </w:rPr>
        <w:t>三、成交通知书对采购人和成交供应商均具有法律效力。</w:t>
      </w:r>
    </w:p>
    <w:p>
      <w:pPr>
        <w:pStyle w:val="null3"/>
        <w:outlineLvl w:val="2"/>
      </w:pPr>
      <w:r>
        <w:rPr>
          <w:rFonts w:ascii="仿宋_GB2312" w:hAnsi="仿宋_GB2312" w:cs="仿宋_GB2312" w:eastAsia="仿宋_GB2312"/>
          <w:sz w:val="28"/>
          <w:b/>
        </w:rPr>
        <w:t>2.6签订及履行合同和验收</w:t>
      </w:r>
    </w:p>
    <w:p>
      <w:pPr>
        <w:pStyle w:val="null3"/>
        <w:outlineLvl w:val="3"/>
      </w:pPr>
      <w:r>
        <w:rPr>
          <w:rFonts w:ascii="仿宋_GB2312" w:hAnsi="仿宋_GB2312" w:cs="仿宋_GB2312" w:eastAsia="仿宋_GB2312"/>
          <w:sz w:val="24"/>
          <w:b/>
        </w:rPr>
        <w:t xml:space="preserve"> 2.6.1签订合同</w:t>
      </w:r>
    </w:p>
    <w:p>
      <w:pPr>
        <w:pStyle w:val="null3"/>
        <w:ind w:firstLine="480"/>
      </w:pPr>
      <w:r>
        <w:rPr>
          <w:rFonts w:ascii="仿宋_GB2312" w:hAnsi="仿宋_GB2312" w:cs="仿宋_GB2312" w:eastAsia="仿宋_GB2312"/>
        </w:rPr>
        <w:t>一、采购人应在成交通知书发出之日起三十日内与成交供应商签订采购合同。</w:t>
      </w:r>
    </w:p>
    <w:p>
      <w:pPr>
        <w:pStyle w:val="null3"/>
        <w:ind w:firstLine="480"/>
      </w:pPr>
      <w:r>
        <w:rPr>
          <w:rFonts w:ascii="仿宋_GB2312" w:hAnsi="仿宋_GB2312" w:cs="仿宋_GB2312" w:eastAsia="仿宋_GB2312"/>
        </w:rPr>
        <w:t>二、采购人和成交供应商签订的采购合同不得对磋商文件确定的事项以及成交供应商的响应文件作实质性修改。</w:t>
      </w:r>
    </w:p>
    <w:p>
      <w:pPr>
        <w:pStyle w:val="null3"/>
        <w:outlineLvl w:val="3"/>
      </w:pPr>
      <w:r>
        <w:rPr>
          <w:rFonts w:ascii="仿宋_GB2312" w:hAnsi="仿宋_GB2312" w:cs="仿宋_GB2312" w:eastAsia="仿宋_GB2312"/>
          <w:sz w:val="24"/>
          <w:b/>
        </w:rPr>
        <w:t>2.6.2合同分包和转包（实质性要求）</w:t>
      </w:r>
    </w:p>
    <w:p>
      <w:pPr>
        <w:pStyle w:val="null3"/>
        <w:outlineLvl w:val="3"/>
      </w:pPr>
      <w:r>
        <w:rPr>
          <w:rFonts w:ascii="仿宋_GB2312" w:hAnsi="仿宋_GB2312" w:cs="仿宋_GB2312" w:eastAsia="仿宋_GB2312"/>
          <w:sz w:val="24"/>
          <w:b/>
        </w:rPr>
        <w:t>2.6.2.1合同分包</w:t>
      </w:r>
    </w:p>
    <w:p>
      <w:pPr>
        <w:pStyle w:val="null3"/>
        <w:ind w:firstLine="480"/>
      </w:pPr>
      <w:r>
        <w:rPr>
          <w:rFonts w:ascii="仿宋_GB2312" w:hAnsi="仿宋_GB2312" w:cs="仿宋_GB2312" w:eastAsia="仿宋_GB2312"/>
        </w:rPr>
        <w:t xml:space="preserve"> 一、供应商根据磋商文件的规定和采购项目的实际情况，拟在成交后将采购项目的非主体、非关键性工作分包的，应当在响应文件中载明分包承担主体，分包承担主体应当具备相应资质条件且不得再次分包。分包供应商履行的分包项目的品牌、规格型号及技术要求等，必须与成交的一致。</w:t>
      </w:r>
    </w:p>
    <w:p>
      <w:pPr>
        <w:pStyle w:val="null3"/>
        <w:ind w:firstLine="480"/>
      </w:pPr>
      <w:r>
        <w:rPr>
          <w:rFonts w:ascii="仿宋_GB2312" w:hAnsi="仿宋_GB2312" w:cs="仿宋_GB2312" w:eastAsia="仿宋_GB2312"/>
        </w:rPr>
        <w:t>二、分包履行合同的部分应当为采购项目的非主体、非关键性工作，不属于成交供应商的主要合同义务。</w:t>
      </w:r>
    </w:p>
    <w:p>
      <w:pPr>
        <w:pStyle w:val="null3"/>
        <w:ind w:firstLine="480"/>
      </w:pPr>
      <w:r>
        <w:rPr>
          <w:rFonts w:ascii="仿宋_GB2312" w:hAnsi="仿宋_GB2312" w:cs="仿宋_GB2312" w:eastAsia="仿宋_GB2312"/>
        </w:rPr>
        <w:t xml:space="preserve"> 三、采购合同实行分包履行的，成交供应商就采购项目和分包项目向采购人负责，分包供应商就分包项目承担责任。履行分包项目事项应当具备法定资质规定要求的，分包供应商应当具备相应资质。</w:t>
      </w:r>
    </w:p>
    <w:p>
      <w:pPr>
        <w:pStyle w:val="null3"/>
        <w:ind w:firstLine="480"/>
      </w:pPr>
      <w:r>
        <w:rPr>
          <w:rFonts w:ascii="仿宋_GB2312" w:hAnsi="仿宋_GB2312" w:cs="仿宋_GB2312" w:eastAsia="仿宋_GB2312"/>
        </w:rPr>
        <w:t xml:space="preserve"> 四、中小企业依据《政府采购促进中小企业发展管理办法》（财库〔2020〕46号）规定的政策获取政府采购合同后，小型、微型企业不得将合同分包或转包给大型、中型企业，中型企业不得将合同分包或转包给大型企业。</w:t>
      </w:r>
    </w:p>
    <w:p>
      <w:pPr>
        <w:pStyle w:val="null3"/>
      </w:pPr>
      <w:r>
        <w:rPr>
          <w:rFonts w:ascii="仿宋_GB2312" w:hAnsi="仿宋_GB2312" w:cs="仿宋_GB2312" w:eastAsia="仿宋_GB2312"/>
        </w:rPr>
        <w:t>采购包1：不允许合同分包。</w:t>
      </w:r>
    </w:p>
    <w:p>
      <w:pPr>
        <w:pStyle w:val="null3"/>
        <w:outlineLvl w:val="3"/>
      </w:pPr>
      <w:r>
        <w:rPr>
          <w:rFonts w:ascii="仿宋_GB2312" w:hAnsi="仿宋_GB2312" w:cs="仿宋_GB2312" w:eastAsia="仿宋_GB2312"/>
          <w:sz w:val="24"/>
          <w:b/>
        </w:rPr>
        <w:t>2.6.2.2合同转包</w:t>
      </w:r>
    </w:p>
    <w:p>
      <w:pPr>
        <w:pStyle w:val="null3"/>
        <w:ind w:firstLine="480"/>
      </w:pPr>
      <w:r>
        <w:rPr>
          <w:rFonts w:ascii="仿宋_GB2312" w:hAnsi="仿宋_GB2312" w:cs="仿宋_GB2312" w:eastAsia="仿宋_GB2312"/>
        </w:rPr>
        <w:t xml:space="preserve"> 一、严禁成交供应商将本采购项目采购合同转包。本项目所称转包，是指成交供应商签订政府采购合同后，不履行合同约定的责任和义务，将其全部工程转给他人或者将其全部工程肢解以后以分包的名义分别转给其他单位承包的行为。</w:t>
      </w:r>
    </w:p>
    <w:p>
      <w:pPr>
        <w:pStyle w:val="null3"/>
        <w:ind w:firstLine="480"/>
      </w:pPr>
      <w:r>
        <w:rPr>
          <w:rFonts w:ascii="仿宋_GB2312" w:hAnsi="仿宋_GB2312" w:cs="仿宋_GB2312" w:eastAsia="仿宋_GB2312"/>
        </w:rPr>
        <w:t>二、成交供应商转包的，视同拒绝履行政府采购合同，将依法追究法律责任。</w:t>
      </w:r>
    </w:p>
    <w:p>
      <w:pPr>
        <w:pStyle w:val="null3"/>
        <w:outlineLvl w:val="3"/>
      </w:pPr>
      <w:r>
        <w:rPr>
          <w:rFonts w:ascii="仿宋_GB2312" w:hAnsi="仿宋_GB2312" w:cs="仿宋_GB2312" w:eastAsia="仿宋_GB2312"/>
          <w:sz w:val="24"/>
          <w:b/>
        </w:rPr>
        <w:t xml:space="preserve"> 2.6.3合同公告</w:t>
      </w:r>
    </w:p>
    <w:p>
      <w:pPr>
        <w:pStyle w:val="null3"/>
        <w:ind w:firstLine="480"/>
      </w:pPr>
      <w:r>
        <w:rPr>
          <w:rFonts w:ascii="仿宋_GB2312" w:hAnsi="仿宋_GB2312" w:cs="仿宋_GB2312" w:eastAsia="仿宋_GB2312"/>
        </w:rPr>
        <w:t xml:space="preserve"> 采购人应当自政府采购合同签订（双方当事人均已完成盖章）之日起2个工作日内，在陕西省政府采购网公告本项目采购合同，但合同中涉及国家秘密、商业秘密的内容除外。</w:t>
      </w:r>
    </w:p>
    <w:p>
      <w:pPr>
        <w:pStyle w:val="null3"/>
        <w:outlineLvl w:val="3"/>
      </w:pPr>
      <w:r>
        <w:rPr>
          <w:rFonts w:ascii="仿宋_GB2312" w:hAnsi="仿宋_GB2312" w:cs="仿宋_GB2312" w:eastAsia="仿宋_GB2312"/>
          <w:sz w:val="24"/>
          <w:b/>
        </w:rPr>
        <w:t xml:space="preserve"> 2.6.4合同备案</w:t>
      </w:r>
    </w:p>
    <w:p>
      <w:pPr>
        <w:pStyle w:val="null3"/>
        <w:ind w:firstLine="480"/>
      </w:pPr>
      <w:r>
        <w:rPr>
          <w:rFonts w:ascii="仿宋_GB2312" w:hAnsi="仿宋_GB2312" w:cs="仿宋_GB2312" w:eastAsia="仿宋_GB2312"/>
        </w:rPr>
        <w:t xml:space="preserve"> 采购人自政府采购合同签订（双方当事人均已完成盖章）之日起7个工作日内，将本项目采购合同通过报同级财政部门备案。</w:t>
      </w:r>
    </w:p>
    <w:p>
      <w:pPr>
        <w:pStyle w:val="null3"/>
        <w:outlineLvl w:val="3"/>
      </w:pPr>
      <w:r>
        <w:rPr>
          <w:rFonts w:ascii="仿宋_GB2312" w:hAnsi="仿宋_GB2312" w:cs="仿宋_GB2312" w:eastAsia="仿宋_GB2312"/>
          <w:sz w:val="24"/>
          <w:b/>
        </w:rPr>
        <w:t xml:space="preserve"> 2.6.5采购人增加合同标的的权利</w:t>
      </w:r>
    </w:p>
    <w:p>
      <w:pPr>
        <w:pStyle w:val="null3"/>
        <w:ind w:firstLine="480"/>
      </w:pPr>
      <w:r>
        <w:rPr>
          <w:rFonts w:ascii="仿宋_GB2312" w:hAnsi="仿宋_GB2312" w:cs="仿宋_GB2312" w:eastAsia="仿宋_GB2312"/>
        </w:rPr>
        <w:t xml:space="preserve"> 采购合同履行过程中，采购人需要追加与合同标的相同的货物、工程或者服务的，在不改变合同其他条款的前提下，可以与成交供应商协商签订补充合同，但所有补充合同的采购金额不得超过原合同采购金额的百分之十。</w:t>
      </w:r>
    </w:p>
    <w:p>
      <w:pPr>
        <w:pStyle w:val="null3"/>
        <w:outlineLvl w:val="3"/>
      </w:pPr>
      <w:r>
        <w:rPr>
          <w:rFonts w:ascii="仿宋_GB2312" w:hAnsi="仿宋_GB2312" w:cs="仿宋_GB2312" w:eastAsia="仿宋_GB2312"/>
          <w:sz w:val="24"/>
          <w:b/>
        </w:rPr>
        <w:t>2.6.6履行合同</w:t>
      </w:r>
    </w:p>
    <w:p>
      <w:pPr>
        <w:pStyle w:val="null3"/>
        <w:ind w:firstLine="480"/>
      </w:pPr>
      <w:r>
        <w:rPr>
          <w:rFonts w:ascii="仿宋_GB2312" w:hAnsi="仿宋_GB2312" w:cs="仿宋_GB2312" w:eastAsia="仿宋_GB2312"/>
        </w:rPr>
        <w:t xml:space="preserve"> 一、成交供应商与采购人签订合同后，合同双方应严格执行合同条款，履行合同规定的义务，保证合同的顺利完成。</w:t>
      </w:r>
    </w:p>
    <w:p>
      <w:pPr>
        <w:pStyle w:val="null3"/>
        <w:ind w:firstLine="480"/>
      </w:pPr>
      <w:r>
        <w:rPr>
          <w:rFonts w:ascii="仿宋_GB2312" w:hAnsi="仿宋_GB2312" w:cs="仿宋_GB2312" w:eastAsia="仿宋_GB2312"/>
        </w:rPr>
        <w:t xml:space="preserve"> 二、在合同履行过程中，如发生合同纠纷，合同双方应按照《中华人民共和国民法典》规定及合同条款约定进行处理。</w:t>
      </w:r>
    </w:p>
    <w:p>
      <w:pPr>
        <w:pStyle w:val="null3"/>
        <w:outlineLvl w:val="3"/>
      </w:pPr>
      <w:r>
        <w:rPr>
          <w:rFonts w:ascii="仿宋_GB2312" w:hAnsi="仿宋_GB2312" w:cs="仿宋_GB2312" w:eastAsia="仿宋_GB2312"/>
          <w:sz w:val="24"/>
          <w:b/>
        </w:rPr>
        <w:t xml:space="preserve"> 2.6.7履约验收方案</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符合磋商文件要求、合同及国家相关标准。</w:t>
      </w:r>
    </w:p>
    <w:p>
      <w:pPr>
        <w:pStyle w:val="null3"/>
        <w:ind w:firstLine="480"/>
      </w:pPr>
      <w:r>
        <w:rPr>
          <w:rFonts w:ascii="仿宋_GB2312" w:hAnsi="仿宋_GB2312" w:cs="仿宋_GB2312" w:eastAsia="仿宋_GB2312"/>
        </w:rPr>
        <w:t xml:space="preserve"> 二、交付竣工验收的工程，必须符合规定的工程质量标准，有完整的工程技术经济资料和经签署的工程保修书，并具备国家规定的其他竣工条件。 工程竣工经验收合格后，方可交付使用；未经验收或者验收不合格的，不得交付使用</w:t>
      </w:r>
    </w:p>
    <w:p>
      <w:pPr>
        <w:pStyle w:val="null3"/>
        <w:ind w:firstLine="480"/>
      </w:pPr>
      <w:r>
        <w:rPr>
          <w:rFonts w:ascii="仿宋_GB2312" w:hAnsi="仿宋_GB2312" w:cs="仿宋_GB2312" w:eastAsia="仿宋_GB2312"/>
        </w:rPr>
        <w:t>三、验收结果合格的，采购人应向成交供应商出具履约验收报告，成交供应商凭验收报告办理相关手续。</w:t>
      </w:r>
    </w:p>
    <w:p>
      <w:pPr>
        <w:pStyle w:val="null3"/>
        <w:ind w:firstLine="480"/>
      </w:pPr>
      <w:r>
        <w:rPr>
          <w:rFonts w:ascii="仿宋_GB2312" w:hAnsi="仿宋_GB2312" w:cs="仿宋_GB2312" w:eastAsia="仿宋_GB2312"/>
        </w:rPr>
        <w:t xml:space="preserve"> 四、验收结果不合格的，履约保证金将不予退还，给采购人造成的损失超过履约保证金数额的，还应当对超过部分予以赔偿；没有提交履约保证金的，应当对采购人的损失承担赔偿责任。</w:t>
      </w:r>
    </w:p>
    <w:p>
      <w:pPr>
        <w:pStyle w:val="null3"/>
        <w:outlineLvl w:val="3"/>
      </w:pPr>
      <w:r>
        <w:rPr>
          <w:rFonts w:ascii="仿宋_GB2312" w:hAnsi="仿宋_GB2312" w:cs="仿宋_GB2312" w:eastAsia="仿宋_GB2312"/>
          <w:sz w:val="24"/>
          <w:b/>
        </w:rPr>
        <w:t>2.6.8资金支付</w:t>
      </w:r>
    </w:p>
    <w:p>
      <w:pPr>
        <w:pStyle w:val="null3"/>
        <w:ind w:firstLine="480"/>
      </w:pPr>
      <w:r>
        <w:rPr>
          <w:rFonts w:ascii="仿宋_GB2312" w:hAnsi="仿宋_GB2312" w:cs="仿宋_GB2312" w:eastAsia="仿宋_GB2312"/>
        </w:rPr>
        <w:t>采购人将按照政府采购合同规定，及时向成交供应商支付采购资金。</w:t>
      </w:r>
    </w:p>
    <w:p>
      <w:pPr>
        <w:pStyle w:val="null3"/>
        <w:outlineLvl w:val="2"/>
      </w:pPr>
      <w:r>
        <w:rPr>
          <w:rFonts w:ascii="仿宋_GB2312" w:hAnsi="仿宋_GB2312" w:cs="仿宋_GB2312" w:eastAsia="仿宋_GB2312"/>
          <w:sz w:val="28"/>
          <w:b/>
        </w:rPr>
        <w:t>2.7纪律要求</w:t>
      </w:r>
    </w:p>
    <w:p>
      <w:pPr>
        <w:pStyle w:val="null3"/>
        <w:outlineLvl w:val="3"/>
      </w:pPr>
      <w:r>
        <w:rPr>
          <w:rFonts w:ascii="仿宋_GB2312" w:hAnsi="仿宋_GB2312" w:cs="仿宋_GB2312" w:eastAsia="仿宋_GB2312"/>
          <w:sz w:val="24"/>
          <w:b/>
        </w:rPr>
        <w:t xml:space="preserve"> 2.7.1磋商活动纪律要求</w:t>
      </w:r>
    </w:p>
    <w:p>
      <w:pPr>
        <w:pStyle w:val="null3"/>
        <w:ind w:firstLine="480"/>
      </w:pPr>
      <w:r>
        <w:rPr>
          <w:rFonts w:ascii="仿宋_GB2312" w:hAnsi="仿宋_GB2312" w:cs="仿宋_GB2312" w:eastAsia="仿宋_GB2312"/>
        </w:rPr>
        <w:t xml:space="preserve"> 采购人、代理机构应保证磋商活动在严格保密的情况下进行，采购人、代理机构、供应商和磋商小组成员应当严格遵守政府采购法律法规规章制度和本项目磋商文件以及代理机构现场管理规定，接受采购人委派的监督人员的监督，任何单位和个人不得非法干预和影响磋商过程和结果。</w:t>
      </w:r>
    </w:p>
    <w:p>
      <w:pPr>
        <w:pStyle w:val="null3"/>
        <w:ind w:firstLine="480"/>
      </w:pPr>
      <w:r>
        <w:rPr>
          <w:rFonts w:ascii="仿宋_GB2312" w:hAnsi="仿宋_GB2312" w:cs="仿宋_GB2312" w:eastAsia="仿宋_GB2312"/>
        </w:rPr>
        <w:t>对各供应商的商业秘密，磋商小组成员应予以保密，不得泄露给其他供应商。</w:t>
      </w:r>
    </w:p>
    <w:p>
      <w:pPr>
        <w:pStyle w:val="null3"/>
        <w:outlineLvl w:val="3"/>
      </w:pPr>
      <w:r>
        <w:rPr>
          <w:rFonts w:ascii="仿宋_GB2312" w:hAnsi="仿宋_GB2312" w:cs="仿宋_GB2312" w:eastAsia="仿宋_GB2312"/>
          <w:sz w:val="24"/>
          <w:b/>
        </w:rPr>
        <w:t>2.7.2供应商不得具有的情形（实质性要求）</w:t>
      </w:r>
    </w:p>
    <w:p>
      <w:pPr>
        <w:pStyle w:val="null3"/>
        <w:ind w:firstLine="480"/>
      </w:pPr>
      <w:r>
        <w:rPr>
          <w:rFonts w:ascii="仿宋_GB2312" w:hAnsi="仿宋_GB2312" w:cs="仿宋_GB2312" w:eastAsia="仿宋_GB2312"/>
        </w:rPr>
        <w:t>供应商参加响应不得有下列情形：</w:t>
      </w:r>
    </w:p>
    <w:p>
      <w:pPr>
        <w:pStyle w:val="null3"/>
        <w:ind w:firstLine="480"/>
      </w:pPr>
      <w:r>
        <w:rPr>
          <w:rFonts w:ascii="仿宋_GB2312" w:hAnsi="仿宋_GB2312" w:cs="仿宋_GB2312" w:eastAsia="仿宋_GB2312"/>
        </w:rPr>
        <w:t>一、有下列情形之一的，视为供应商串通响应：</w:t>
      </w:r>
    </w:p>
    <w:p>
      <w:pPr>
        <w:pStyle w:val="null3"/>
        <w:ind w:firstLine="480"/>
      </w:pPr>
      <w:r>
        <w:rPr>
          <w:rFonts w:ascii="仿宋_GB2312" w:hAnsi="仿宋_GB2312" w:cs="仿宋_GB2312" w:eastAsia="仿宋_GB2312"/>
        </w:rPr>
        <w:t>（一）不同供应商的响应文件由同一单位或者个人编制；</w:t>
      </w:r>
    </w:p>
    <w:p>
      <w:pPr>
        <w:pStyle w:val="null3"/>
        <w:ind w:firstLine="480"/>
      </w:pPr>
      <w:r>
        <w:rPr>
          <w:rFonts w:ascii="仿宋_GB2312" w:hAnsi="仿宋_GB2312" w:cs="仿宋_GB2312" w:eastAsia="仿宋_GB2312"/>
        </w:rPr>
        <w:t>（二）不同供应商委托同一单位或者个人办理磋商事宜；</w:t>
      </w:r>
    </w:p>
    <w:p>
      <w:pPr>
        <w:pStyle w:val="null3"/>
        <w:ind w:firstLine="480"/>
      </w:pPr>
      <w:r>
        <w:rPr>
          <w:rFonts w:ascii="仿宋_GB2312" w:hAnsi="仿宋_GB2312" w:cs="仿宋_GB2312" w:eastAsia="仿宋_GB2312"/>
        </w:rPr>
        <w:t>（三）不同供应商的响应文件载明的项目管理成员或者联系人员为同一人；</w:t>
      </w:r>
    </w:p>
    <w:p>
      <w:pPr>
        <w:pStyle w:val="null3"/>
        <w:ind w:firstLine="480"/>
      </w:pPr>
      <w:r>
        <w:rPr>
          <w:rFonts w:ascii="仿宋_GB2312" w:hAnsi="仿宋_GB2312" w:cs="仿宋_GB2312" w:eastAsia="仿宋_GB2312"/>
        </w:rPr>
        <w:t>（四）不同供应商的响应文件异常一致或者响应报价呈规律性差异；</w:t>
      </w:r>
    </w:p>
    <w:p>
      <w:pPr>
        <w:pStyle w:val="null3"/>
        <w:ind w:firstLine="480"/>
      </w:pPr>
      <w:r>
        <w:rPr>
          <w:rFonts w:ascii="仿宋_GB2312" w:hAnsi="仿宋_GB2312" w:cs="仿宋_GB2312" w:eastAsia="仿宋_GB2312"/>
        </w:rPr>
        <w:t>（五）不同供应商的响应文件相互混装。</w:t>
      </w:r>
    </w:p>
    <w:p>
      <w:pPr>
        <w:pStyle w:val="null3"/>
        <w:ind w:firstLine="480"/>
      </w:pPr>
      <w:r>
        <w:rPr>
          <w:rFonts w:ascii="仿宋_GB2312" w:hAnsi="仿宋_GB2312" w:cs="仿宋_GB2312" w:eastAsia="仿宋_GB2312"/>
        </w:rPr>
        <w:t>二、提供虚假材料谋取成交；</w:t>
      </w:r>
    </w:p>
    <w:p>
      <w:pPr>
        <w:pStyle w:val="null3"/>
        <w:ind w:firstLine="480"/>
      </w:pPr>
      <w:r>
        <w:rPr>
          <w:rFonts w:ascii="仿宋_GB2312" w:hAnsi="仿宋_GB2312" w:cs="仿宋_GB2312" w:eastAsia="仿宋_GB2312"/>
        </w:rPr>
        <w:t>三、采取不正当手段诋毁、排挤其他供应商；</w:t>
      </w:r>
    </w:p>
    <w:p>
      <w:pPr>
        <w:pStyle w:val="null3"/>
        <w:ind w:firstLine="480"/>
      </w:pPr>
      <w:r>
        <w:rPr>
          <w:rFonts w:ascii="仿宋_GB2312" w:hAnsi="仿宋_GB2312" w:cs="仿宋_GB2312" w:eastAsia="仿宋_GB2312"/>
        </w:rPr>
        <w:t>四、与采购人或代理机构、其他供应商恶意串通；</w:t>
      </w:r>
    </w:p>
    <w:p>
      <w:pPr>
        <w:pStyle w:val="null3"/>
        <w:ind w:firstLine="480"/>
      </w:pPr>
      <w:r>
        <w:rPr>
          <w:rFonts w:ascii="仿宋_GB2312" w:hAnsi="仿宋_GB2312" w:cs="仿宋_GB2312" w:eastAsia="仿宋_GB2312"/>
        </w:rPr>
        <w:t>五、向采购人或代理机构、磋商小组成员行贿或者提供其他不正当利益；</w:t>
      </w:r>
    </w:p>
    <w:p>
      <w:pPr>
        <w:pStyle w:val="null3"/>
        <w:ind w:firstLine="480"/>
      </w:pPr>
      <w:r>
        <w:rPr>
          <w:rFonts w:ascii="仿宋_GB2312" w:hAnsi="仿宋_GB2312" w:cs="仿宋_GB2312" w:eastAsia="仿宋_GB2312"/>
        </w:rPr>
        <w:t>六、在磋商过程中与采购人或代理机构进行协商磋商；</w:t>
      </w:r>
    </w:p>
    <w:p>
      <w:pPr>
        <w:pStyle w:val="null3"/>
        <w:ind w:firstLine="480"/>
      </w:pPr>
      <w:r>
        <w:rPr>
          <w:rFonts w:ascii="仿宋_GB2312" w:hAnsi="仿宋_GB2312" w:cs="仿宋_GB2312" w:eastAsia="仿宋_GB2312"/>
        </w:rPr>
        <w:t>七、成交后无正当理由拒不与采购人签订政府采购合同；</w:t>
      </w:r>
    </w:p>
    <w:p>
      <w:pPr>
        <w:pStyle w:val="null3"/>
        <w:ind w:firstLine="480"/>
      </w:pPr>
      <w:r>
        <w:rPr>
          <w:rFonts w:ascii="仿宋_GB2312" w:hAnsi="仿宋_GB2312" w:cs="仿宋_GB2312" w:eastAsia="仿宋_GB2312"/>
        </w:rPr>
        <w:t>八、未按照采购文件确定的事项签订政府采购合同；</w:t>
      </w:r>
    </w:p>
    <w:p>
      <w:pPr>
        <w:pStyle w:val="null3"/>
        <w:ind w:firstLine="480"/>
      </w:pPr>
      <w:r>
        <w:rPr>
          <w:rFonts w:ascii="仿宋_GB2312" w:hAnsi="仿宋_GB2312" w:cs="仿宋_GB2312" w:eastAsia="仿宋_GB2312"/>
        </w:rPr>
        <w:t>九、将政府采购合同转包或者违规分包；</w:t>
      </w:r>
    </w:p>
    <w:p>
      <w:pPr>
        <w:pStyle w:val="null3"/>
        <w:ind w:firstLine="480"/>
      </w:pPr>
      <w:r>
        <w:rPr>
          <w:rFonts w:ascii="仿宋_GB2312" w:hAnsi="仿宋_GB2312" w:cs="仿宋_GB2312" w:eastAsia="仿宋_GB2312"/>
        </w:rPr>
        <w:t>十、提供假冒伪劣产品；</w:t>
      </w:r>
    </w:p>
    <w:p>
      <w:pPr>
        <w:pStyle w:val="null3"/>
        <w:ind w:firstLine="480"/>
      </w:pPr>
      <w:r>
        <w:rPr>
          <w:rFonts w:ascii="仿宋_GB2312" w:hAnsi="仿宋_GB2312" w:cs="仿宋_GB2312" w:eastAsia="仿宋_GB2312"/>
        </w:rPr>
        <w:t>十一、擅自变更、中止或者终止政府采购合同；</w:t>
      </w:r>
    </w:p>
    <w:p>
      <w:pPr>
        <w:pStyle w:val="null3"/>
        <w:ind w:firstLine="480"/>
      </w:pPr>
      <w:r>
        <w:rPr>
          <w:rFonts w:ascii="仿宋_GB2312" w:hAnsi="仿宋_GB2312" w:cs="仿宋_GB2312" w:eastAsia="仿宋_GB2312"/>
        </w:rPr>
        <w:t>十二、拒绝有关部门的监督检查或者向监督检查部门提供虚假情况；</w:t>
      </w:r>
    </w:p>
    <w:p>
      <w:pPr>
        <w:pStyle w:val="null3"/>
        <w:ind w:firstLine="480"/>
      </w:pPr>
      <w:r>
        <w:rPr>
          <w:rFonts w:ascii="仿宋_GB2312" w:hAnsi="仿宋_GB2312" w:cs="仿宋_GB2312" w:eastAsia="仿宋_GB2312"/>
        </w:rPr>
        <w:t>十三、法律法规规定的其他禁止情形。</w:t>
      </w:r>
    </w:p>
    <w:p>
      <w:pPr>
        <w:pStyle w:val="null3"/>
        <w:ind w:firstLine="480"/>
      </w:pPr>
      <w:r>
        <w:rPr>
          <w:rFonts w:ascii="仿宋_GB2312" w:hAnsi="仿宋_GB2312" w:cs="仿宋_GB2312" w:eastAsia="仿宋_GB2312"/>
        </w:rPr>
        <w:t xml:space="preserve"> 供应商有上述情形的，按照规定追究法律责任，具有前述一至十三条情形之一的，其响应文件无效，或取消被确认为成交供应商的资格或认定成交无效。</w:t>
      </w:r>
    </w:p>
    <w:p>
      <w:pPr>
        <w:pStyle w:val="null3"/>
        <w:outlineLvl w:val="3"/>
      </w:pPr>
      <w:r>
        <w:rPr>
          <w:rFonts w:ascii="仿宋_GB2312" w:hAnsi="仿宋_GB2312" w:cs="仿宋_GB2312" w:eastAsia="仿宋_GB2312"/>
          <w:sz w:val="24"/>
          <w:b/>
        </w:rPr>
        <w:t xml:space="preserve"> 2.7.3采购人员及相关人员回避要求</w:t>
      </w:r>
    </w:p>
    <w:p>
      <w:pPr>
        <w:pStyle w:val="null3"/>
        <w:ind w:firstLine="480"/>
      </w:pPr>
      <w:r>
        <w:rPr>
          <w:rFonts w:ascii="仿宋_GB2312" w:hAnsi="仿宋_GB2312" w:cs="仿宋_GB2312" w:eastAsia="仿宋_GB2312"/>
        </w:rPr>
        <w:t>政府采购活动中，采购人员及相关人员与供应商有下列利害关系之一的，应当回避：</w:t>
      </w:r>
    </w:p>
    <w:p>
      <w:pPr>
        <w:pStyle w:val="null3"/>
        <w:ind w:firstLine="480"/>
      </w:pPr>
      <w:r>
        <w:rPr>
          <w:rFonts w:ascii="仿宋_GB2312" w:hAnsi="仿宋_GB2312" w:cs="仿宋_GB2312" w:eastAsia="仿宋_GB2312"/>
        </w:rPr>
        <w:t>（一）参加采购活动前3年内与供应商存在劳动关系；</w:t>
      </w:r>
    </w:p>
    <w:p>
      <w:pPr>
        <w:pStyle w:val="null3"/>
        <w:ind w:firstLine="480"/>
      </w:pPr>
      <w:r>
        <w:rPr>
          <w:rFonts w:ascii="仿宋_GB2312" w:hAnsi="仿宋_GB2312" w:cs="仿宋_GB2312" w:eastAsia="仿宋_GB2312"/>
        </w:rPr>
        <w:t>（二）参加采购活动前3年内担任供应商的董事、监事；</w:t>
      </w:r>
    </w:p>
    <w:p>
      <w:pPr>
        <w:pStyle w:val="null3"/>
        <w:ind w:firstLine="480"/>
      </w:pPr>
      <w:r>
        <w:rPr>
          <w:rFonts w:ascii="仿宋_GB2312" w:hAnsi="仿宋_GB2312" w:cs="仿宋_GB2312" w:eastAsia="仿宋_GB2312"/>
        </w:rPr>
        <w:t>（三）参加采购活动前3年内是供应商的控股股东或者实际控制人；</w:t>
      </w:r>
    </w:p>
    <w:p>
      <w:pPr>
        <w:pStyle w:val="null3"/>
        <w:ind w:firstLine="480"/>
      </w:pPr>
      <w:r>
        <w:rPr>
          <w:rFonts w:ascii="仿宋_GB2312" w:hAnsi="仿宋_GB2312" w:cs="仿宋_GB2312" w:eastAsia="仿宋_GB2312"/>
        </w:rPr>
        <w:t>（四）与供应商的法定代表人或者负责人有夫妻、直系血亲、三代以内旁系血亲或者近姻亲关系；</w:t>
      </w:r>
    </w:p>
    <w:p>
      <w:pPr>
        <w:pStyle w:val="null3"/>
        <w:ind w:firstLine="480"/>
      </w:pPr>
      <w:r>
        <w:rPr>
          <w:rFonts w:ascii="仿宋_GB2312" w:hAnsi="仿宋_GB2312" w:cs="仿宋_GB2312" w:eastAsia="仿宋_GB2312"/>
        </w:rPr>
        <w:t>（五）与供应商有其他可能影响政府采购活动公平、公正进行的关系。</w:t>
      </w:r>
    </w:p>
    <w:p>
      <w:pPr>
        <w:pStyle w:val="null3"/>
        <w:ind w:firstLine="480"/>
      </w:pPr>
      <w:r>
        <w:rPr>
          <w:rFonts w:ascii="仿宋_GB2312" w:hAnsi="仿宋_GB2312" w:cs="仿宋_GB2312" w:eastAsia="仿宋_GB2312"/>
        </w:rPr>
        <w:t xml:space="preserve"> 供应商认为采购人员及相关人员与其他供应商有利害关系的，可以向代理机构书面提出回避申请，并说明理由。代理机构将及时询问被申请回避人员，有利害关系的被申请回避人员应当回避。</w:t>
      </w:r>
    </w:p>
    <w:p>
      <w:pPr>
        <w:pStyle w:val="null3"/>
        <w:outlineLvl w:val="2"/>
      </w:pPr>
      <w:r>
        <w:rPr>
          <w:rFonts w:ascii="仿宋_GB2312" w:hAnsi="仿宋_GB2312" w:cs="仿宋_GB2312" w:eastAsia="仿宋_GB2312"/>
          <w:sz w:val="28"/>
          <w:b/>
        </w:rPr>
        <w:t>2.8询问、质疑和投诉</w:t>
      </w:r>
    </w:p>
    <w:p>
      <w:pPr>
        <w:pStyle w:val="null3"/>
        <w:ind w:firstLine="480"/>
      </w:pPr>
      <w:r>
        <w:rPr>
          <w:rFonts w:ascii="仿宋_GB2312" w:hAnsi="仿宋_GB2312" w:cs="仿宋_GB2312" w:eastAsia="仿宋_GB2312"/>
        </w:rPr>
        <w:t xml:space="preserve"> 一、询问、质疑、投诉的接收和处理严格按照《中华人民共和国政府采购法》《中华人民共和国政府采购法实施条例》《政府采购质疑和投诉办法》等规定办理。</w:t>
      </w:r>
    </w:p>
    <w:p>
      <w:pPr>
        <w:pStyle w:val="null3"/>
        <w:ind w:firstLine="480"/>
      </w:pPr>
      <w:r>
        <w:rPr>
          <w:rFonts w:ascii="仿宋_GB2312" w:hAnsi="仿宋_GB2312" w:cs="仿宋_GB2312" w:eastAsia="仿宋_GB2312"/>
        </w:rPr>
        <w:t>二、供应商询问、质疑的答复主体：</w:t>
      </w:r>
    </w:p>
    <w:p>
      <w:pPr>
        <w:pStyle w:val="null3"/>
        <w:ind w:firstLine="480"/>
      </w:pPr>
      <w:r>
        <w:rPr>
          <w:rFonts w:ascii="仿宋_GB2312" w:hAnsi="仿宋_GB2312" w:cs="仿宋_GB2312" w:eastAsia="仿宋_GB2312"/>
        </w:rPr>
        <w:t xml:space="preserve"> 根据委托代理协议约定，供应商对采购文件的询问、质疑由 </w:t>
      </w:r>
      <w:r>
        <w:rPr>
          <w:rFonts w:ascii="仿宋_GB2312" w:hAnsi="仿宋_GB2312" w:cs="仿宋_GB2312" w:eastAsia="仿宋_GB2312"/>
        </w:rPr>
        <w:t>陕西朗屹恒基项目咨询管理有限公司</w:t>
      </w:r>
      <w:r>
        <w:rPr>
          <w:rFonts w:ascii="仿宋_GB2312" w:hAnsi="仿宋_GB2312" w:cs="仿宋_GB2312" w:eastAsia="仿宋_GB2312"/>
        </w:rPr>
        <w:t xml:space="preserve"> 负责答复；供应商对采购过程的询问、质疑由</w:t>
      </w:r>
      <w:r>
        <w:rPr>
          <w:rFonts w:ascii="仿宋_GB2312" w:hAnsi="仿宋_GB2312" w:cs="仿宋_GB2312" w:eastAsia="仿宋_GB2312"/>
        </w:rPr>
        <w:t>陕西朗屹恒基项目咨询管理有限公司</w:t>
      </w:r>
      <w:r>
        <w:rPr>
          <w:rFonts w:ascii="仿宋_GB2312" w:hAnsi="仿宋_GB2312" w:cs="仿宋_GB2312" w:eastAsia="仿宋_GB2312"/>
        </w:rPr>
        <w:t xml:space="preserve"> 负责答复；供应商对采购结果的询问、质疑由 </w:t>
      </w:r>
      <w:r>
        <w:rPr>
          <w:rFonts w:ascii="仿宋_GB2312" w:hAnsi="仿宋_GB2312" w:cs="仿宋_GB2312" w:eastAsia="仿宋_GB2312"/>
        </w:rPr>
        <w:t>陕西朗屹恒基项目咨询管理有限公司</w:t>
      </w:r>
      <w:r>
        <w:rPr>
          <w:rFonts w:ascii="仿宋_GB2312" w:hAnsi="仿宋_GB2312" w:cs="仿宋_GB2312" w:eastAsia="仿宋_GB2312"/>
        </w:rPr>
        <w:t xml:space="preserve"> 负责答复。</w:t>
      </w:r>
    </w:p>
    <w:p>
      <w:pPr>
        <w:pStyle w:val="null3"/>
        <w:ind w:firstLine="480"/>
      </w:pPr>
      <w:r>
        <w:rPr>
          <w:rFonts w:ascii="仿宋_GB2312" w:hAnsi="仿宋_GB2312" w:cs="仿宋_GB2312" w:eastAsia="仿宋_GB2312"/>
        </w:rPr>
        <w:t>三、供应商提出的询问，应当明确询问事项，如以书面形式提出的，应由供应商签字并加盖公章。</w:t>
      </w:r>
    </w:p>
    <w:p>
      <w:pPr>
        <w:pStyle w:val="null3"/>
        <w:ind w:firstLine="480"/>
      </w:pPr>
      <w:r>
        <w:rPr>
          <w:rFonts w:ascii="仿宋_GB2312" w:hAnsi="仿宋_GB2312" w:cs="仿宋_GB2312" w:eastAsia="仿宋_GB2312"/>
        </w:rPr>
        <w:t xml:space="preserve"> 为提高采购效率，降低社会成本，鼓励询问主体对于不损害国家及社会利益或自身合法权益的问题或情形采用询问方式处理解决（包含但不限于文字错误、标点符号、不影响响应文件的编制的情形）。</w:t>
      </w:r>
    </w:p>
    <w:p>
      <w:pPr>
        <w:pStyle w:val="null3"/>
        <w:ind w:firstLine="480"/>
      </w:pPr>
      <w:r>
        <w:rPr>
          <w:rFonts w:ascii="仿宋_GB2312" w:hAnsi="仿宋_GB2312" w:cs="仿宋_GB2312" w:eastAsia="仿宋_GB2312"/>
        </w:rPr>
        <w:t xml:space="preserve"> 四、供应商认为采购文件、采购过程、成交或者成交结果使自己的权益受到损害的，可以在知道或者应知其权益受到损害之日起7个工作日内，以书面形式向采购人、代理机构提出质疑。供应商应在法定质疑期内一次性提出针对同一采购程序环节的质疑。供应商应知其权益受到损害之日，是指：</w:t>
      </w:r>
    </w:p>
    <w:p>
      <w:pPr>
        <w:pStyle w:val="null3"/>
        <w:ind w:firstLine="480"/>
      </w:pPr>
      <w:r>
        <w:rPr>
          <w:rFonts w:ascii="仿宋_GB2312" w:hAnsi="仿宋_GB2312" w:cs="仿宋_GB2312" w:eastAsia="仿宋_GB2312"/>
        </w:rPr>
        <w:t>（一）对可以质疑的采购文件提出质疑的，为收到采购文件之日或者采购文件公告期限届满之日；</w:t>
      </w:r>
    </w:p>
    <w:p>
      <w:pPr>
        <w:pStyle w:val="null3"/>
        <w:ind w:firstLine="480"/>
      </w:pPr>
      <w:r>
        <w:rPr>
          <w:rFonts w:ascii="仿宋_GB2312" w:hAnsi="仿宋_GB2312" w:cs="仿宋_GB2312" w:eastAsia="仿宋_GB2312"/>
        </w:rPr>
        <w:t>（二）对采购过程提出质疑的，为各采购程序环节结束之日；</w:t>
      </w:r>
    </w:p>
    <w:p>
      <w:pPr>
        <w:pStyle w:val="null3"/>
        <w:ind w:firstLine="480"/>
      </w:pPr>
      <w:r>
        <w:rPr>
          <w:rFonts w:ascii="仿宋_GB2312" w:hAnsi="仿宋_GB2312" w:cs="仿宋_GB2312" w:eastAsia="仿宋_GB2312"/>
        </w:rPr>
        <w:t>（三）对中标或者成交结果提出质疑的，为中标或者成交结果公告期限届满之日。</w:t>
      </w:r>
    </w:p>
    <w:p>
      <w:pPr>
        <w:pStyle w:val="null3"/>
        <w:ind w:firstLine="480"/>
      </w:pPr>
      <w:r>
        <w:rPr>
          <w:rFonts w:ascii="仿宋_GB2312" w:hAnsi="仿宋_GB2312" w:cs="仿宋_GB2312" w:eastAsia="仿宋_GB2312"/>
        </w:rPr>
        <w:t>五、本项目不接受在线提交质疑，供应商通过书面形式线下向采购人或代理机构提交质疑资料。</w:t>
      </w:r>
    </w:p>
    <w:p>
      <w:pPr>
        <w:pStyle w:val="null3"/>
        <w:ind w:firstLine="480"/>
      </w:pPr>
      <w:r>
        <w:rPr>
          <w:rFonts w:ascii="仿宋_GB2312" w:hAnsi="仿宋_GB2312" w:cs="仿宋_GB2312" w:eastAsia="仿宋_GB2312"/>
        </w:rPr>
        <w:t>六、供应商提出质疑时应当准备的资料：</w:t>
      </w:r>
    </w:p>
    <w:p>
      <w:pPr>
        <w:pStyle w:val="null3"/>
        <w:ind w:firstLine="480"/>
      </w:pPr>
      <w:r>
        <w:rPr>
          <w:rFonts w:ascii="仿宋_GB2312" w:hAnsi="仿宋_GB2312" w:cs="仿宋_GB2312" w:eastAsia="仿宋_GB2312"/>
        </w:rPr>
        <w:t>（一）质疑函正本1份；（政府采购供应商质疑函范本详见附件一）</w:t>
      </w:r>
    </w:p>
    <w:p>
      <w:pPr>
        <w:pStyle w:val="null3"/>
        <w:ind w:firstLine="480"/>
      </w:pPr>
      <w:r>
        <w:rPr>
          <w:rFonts w:ascii="仿宋_GB2312" w:hAnsi="仿宋_GB2312" w:cs="仿宋_GB2312" w:eastAsia="仿宋_GB2312"/>
        </w:rPr>
        <w:t>（二）法定代表人或主要负责人授权委托书1份（委托代理人办理质疑事宜的需提供）；</w:t>
      </w:r>
    </w:p>
    <w:p>
      <w:pPr>
        <w:pStyle w:val="null3"/>
        <w:ind w:firstLine="480"/>
      </w:pPr>
      <w:r>
        <w:rPr>
          <w:rFonts w:ascii="仿宋_GB2312" w:hAnsi="仿宋_GB2312" w:cs="仿宋_GB2312" w:eastAsia="仿宋_GB2312"/>
        </w:rPr>
        <w:t>（三）法定代表人或主要负责人身份证复印件1份；</w:t>
      </w:r>
    </w:p>
    <w:p>
      <w:pPr>
        <w:pStyle w:val="null3"/>
        <w:ind w:firstLine="480"/>
      </w:pPr>
      <w:r>
        <w:rPr>
          <w:rFonts w:ascii="仿宋_GB2312" w:hAnsi="仿宋_GB2312" w:cs="仿宋_GB2312" w:eastAsia="仿宋_GB2312"/>
        </w:rPr>
        <w:t>（四）委托代理人身份证复印件1份（委托代理人办理质疑事宜的需提供）；</w:t>
      </w:r>
    </w:p>
    <w:p>
      <w:pPr>
        <w:pStyle w:val="null3"/>
        <w:ind w:firstLine="480"/>
      </w:pPr>
      <w:r>
        <w:rPr>
          <w:rFonts w:ascii="仿宋_GB2312" w:hAnsi="仿宋_GB2312" w:cs="仿宋_GB2312" w:eastAsia="仿宋_GB2312"/>
        </w:rPr>
        <w:t xml:space="preserve"> （五）针对质疑事项必要的证明材料（针对磋商文件提出的质疑，需提交从项目电子化交易系统获取的磋商文件回执单）。</w:t>
      </w:r>
    </w:p>
    <w:p>
      <w:pPr>
        <w:pStyle w:val="null3"/>
      </w:pPr>
      <w:r>
        <w:rPr>
          <w:rFonts w:ascii="仿宋_GB2312" w:hAnsi="仿宋_GB2312" w:cs="仿宋_GB2312" w:eastAsia="仿宋_GB2312"/>
        </w:rPr>
        <w:t>答复主体：代理机构</w:t>
      </w:r>
    </w:p>
    <w:p>
      <w:pPr>
        <w:pStyle w:val="null3"/>
      </w:pPr>
      <w:r>
        <w:rPr>
          <w:rFonts w:ascii="仿宋_GB2312" w:hAnsi="仿宋_GB2312" w:cs="仿宋_GB2312" w:eastAsia="仿宋_GB2312"/>
        </w:rPr>
        <w:t>联系人：刘乐</w:t>
      </w:r>
    </w:p>
    <w:p>
      <w:pPr>
        <w:pStyle w:val="null3"/>
      </w:pPr>
      <w:r>
        <w:rPr>
          <w:rFonts w:ascii="仿宋_GB2312" w:hAnsi="仿宋_GB2312" w:cs="仿宋_GB2312" w:eastAsia="仿宋_GB2312"/>
        </w:rPr>
        <w:t>联系电话：19299397951</w:t>
      </w:r>
    </w:p>
    <w:p>
      <w:pPr>
        <w:pStyle w:val="null3"/>
      </w:pPr>
      <w:r>
        <w:rPr>
          <w:rFonts w:ascii="仿宋_GB2312" w:hAnsi="仿宋_GB2312" w:cs="仿宋_GB2312" w:eastAsia="仿宋_GB2312"/>
        </w:rPr>
        <w:t>地址：陕西省咸阳市秦都区滨河西路5号咸阳非金属矿研究设计院院内办公楼8楼中段中户</w:t>
      </w:r>
    </w:p>
    <w:p>
      <w:pPr>
        <w:pStyle w:val="null3"/>
      </w:pPr>
      <w:r>
        <w:rPr>
          <w:rFonts w:ascii="仿宋_GB2312" w:hAnsi="仿宋_GB2312" w:cs="仿宋_GB2312" w:eastAsia="仿宋_GB2312"/>
        </w:rPr>
        <w:t>邮编：712000</w:t>
      </w:r>
    </w:p>
    <w:p>
      <w:pPr>
        <w:pStyle w:val="null3"/>
        <w:ind w:firstLine="480"/>
      </w:pPr>
      <w:r>
        <w:rPr>
          <w:rFonts w:ascii="仿宋_GB2312" w:hAnsi="仿宋_GB2312" w:cs="仿宋_GB2312" w:eastAsia="仿宋_GB2312"/>
        </w:rPr>
        <w:t>注：根据《中华人民共和国政府采购法》的规定，供应商质疑不得超出采购文件、采购过程、采购结果的范围。</w:t>
      </w:r>
    </w:p>
    <w:p>
      <w:pPr>
        <w:pStyle w:val="null3"/>
        <w:ind w:firstLine="480"/>
      </w:pPr>
      <w:r>
        <w:rPr>
          <w:rFonts w:ascii="仿宋_GB2312" w:hAnsi="仿宋_GB2312" w:cs="仿宋_GB2312" w:eastAsia="仿宋_GB2312"/>
        </w:rPr>
        <w:t xml:space="preserve"> 七、供应商对采购人或代理机构的质疑答复不满意，或者采购人或代理机构未在规定期限内作出答复的，供应商可以在答复期满后15个工作日内向同级财政部门提起投诉。</w:t>
      </w:r>
    </w:p>
    <w:p>
      <w:pPr>
        <w:pStyle w:val="null3"/>
        <w:ind w:firstLine="480"/>
      </w:pPr>
      <w:r>
        <w:rPr>
          <w:rFonts w:ascii="仿宋_GB2312" w:hAnsi="仿宋_GB2312" w:cs="仿宋_GB2312" w:eastAsia="仿宋_GB2312"/>
        </w:rPr>
        <w:t>投诉受理单位：本采购项目同级财政部门。（政府采购供应商投诉书范本详见附件二）</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第三章 磋商项目技术、服务、商务及其他要求</w:t>
      </w:r>
    </w:p>
    <w:p>
      <w:pPr>
        <w:pStyle w:val="null3"/>
        <w:ind w:firstLine="480"/>
      </w:pPr>
      <w:r>
        <w:rPr>
          <w:rFonts w:ascii="仿宋_GB2312" w:hAnsi="仿宋_GB2312" w:cs="仿宋_GB2312" w:eastAsia="仿宋_GB2312"/>
        </w:rPr>
        <w:t xml:space="preserve"> （注：带“★”的参数需求为实质性要求，供应商必须响应并满足的参数需求，采购人、采购代理机构应当根据项目实际需求合理设定，并明确具体要求。带“▲”号条款为允许负偏离的参数需求，若未响应或者不满足，将在综合评审中予以扣分处理。）</w:t>
      </w:r>
    </w:p>
    <w:p>
      <w:pPr>
        <w:pStyle w:val="null3"/>
        <w:outlineLvl w:val="2"/>
      </w:pPr>
      <w:r>
        <w:rPr>
          <w:rFonts w:ascii="仿宋_GB2312" w:hAnsi="仿宋_GB2312" w:cs="仿宋_GB2312" w:eastAsia="仿宋_GB2312"/>
          <w:sz w:val="28"/>
          <w:b/>
        </w:rPr>
        <w:t>3.1技术、服务标准和要求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采购包预算金额（元）: 1,500,000.00</w:t>
      </w:r>
    </w:p>
    <w:p>
      <w:pPr>
        <w:pStyle w:val="null3"/>
      </w:pPr>
      <w:r>
        <w:rPr>
          <w:rFonts w:ascii="仿宋_GB2312" w:hAnsi="仿宋_GB2312" w:cs="仿宋_GB2312" w:eastAsia="仿宋_GB2312"/>
        </w:rPr>
        <w:t>采购包最高限价（元）: 1,500,000.00</w:t>
      </w:r>
    </w:p>
    <w:tbl>
      <w:tblPr>
        <w:tblW w:w="0" w:type="auto"/>
        <w:tblBorders>
          <w:top w:val="single"/>
          <w:left w:val="single"/>
          <w:bottom w:val="single"/>
          <w:right w:val="single"/>
          <w:insideH w:val="single"/>
          <w:insideV w:val="single"/>
        </w:tblBorders>
      </w:tblPr>
      <w:tblGrid>
        <w:gridCol w:w="1384"/>
        <w:gridCol w:w="1384"/>
        <w:gridCol w:w="1384"/>
        <w:gridCol w:w="1384"/>
        <w:gridCol w:w="1384"/>
        <w:gridCol w:w="1384"/>
      </w:tblGrid>
      <w:tr>
        <w:tc>
          <w:tcPr>
            <w:tcW w:type="dxa" w:w="1384"/>
          </w:tcPr>
          <w:p>
            <w:pPr>
              <w:pStyle w:val="null3"/>
            </w:pPr>
            <w:r>
              <w:rPr>
                <w:rFonts w:ascii="仿宋_GB2312" w:hAnsi="仿宋_GB2312" w:cs="仿宋_GB2312" w:eastAsia="仿宋_GB2312"/>
              </w:rPr>
              <w:t>序号</w:t>
            </w:r>
          </w:p>
        </w:tc>
        <w:tc>
          <w:tcPr>
            <w:tcW w:type="dxa" w:w="1384"/>
          </w:tcPr>
          <w:p>
            <w:pPr>
              <w:pStyle w:val="null3"/>
            </w:pPr>
            <w:r>
              <w:rPr>
                <w:rFonts w:ascii="仿宋_GB2312" w:hAnsi="仿宋_GB2312" w:cs="仿宋_GB2312" w:eastAsia="仿宋_GB2312"/>
              </w:rPr>
              <w:t>标的名称</w:t>
            </w:r>
          </w:p>
        </w:tc>
        <w:tc>
          <w:tcPr>
            <w:tcW w:type="dxa" w:w="1384"/>
          </w:tcPr>
          <w:p>
            <w:pPr>
              <w:pStyle w:val="null3"/>
            </w:pPr>
            <w:r>
              <w:rPr>
                <w:rFonts w:ascii="仿宋_GB2312" w:hAnsi="仿宋_GB2312" w:cs="仿宋_GB2312" w:eastAsia="仿宋_GB2312"/>
              </w:rPr>
              <w:t>数量</w:t>
            </w:r>
          </w:p>
        </w:tc>
        <w:tc>
          <w:tcPr>
            <w:tcW w:type="dxa" w:w="1384"/>
          </w:tcPr>
          <w:p>
            <w:pPr>
              <w:pStyle w:val="null3"/>
            </w:pPr>
            <w:r>
              <w:rPr>
                <w:rFonts w:ascii="仿宋_GB2312" w:hAnsi="仿宋_GB2312" w:cs="仿宋_GB2312" w:eastAsia="仿宋_GB2312"/>
              </w:rPr>
              <w:t>标的金额 （元）</w:t>
            </w:r>
          </w:p>
        </w:tc>
        <w:tc>
          <w:tcPr>
            <w:tcW w:type="dxa" w:w="1384"/>
          </w:tcPr>
          <w:p>
            <w:pPr>
              <w:pStyle w:val="null3"/>
            </w:pPr>
            <w:r>
              <w:rPr>
                <w:rFonts w:ascii="仿宋_GB2312" w:hAnsi="仿宋_GB2312" w:cs="仿宋_GB2312" w:eastAsia="仿宋_GB2312"/>
              </w:rPr>
              <w:t>计量单位</w:t>
            </w:r>
          </w:p>
        </w:tc>
        <w:tc>
          <w:tcPr>
            <w:tcW w:type="dxa" w:w="1384"/>
          </w:tcPr>
          <w:p>
            <w:pPr>
              <w:pStyle w:val="null3"/>
            </w:pPr>
            <w:r>
              <w:rPr>
                <w:rFonts w:ascii="仿宋_GB2312" w:hAnsi="仿宋_GB2312" w:cs="仿宋_GB2312" w:eastAsia="仿宋_GB2312"/>
              </w:rPr>
              <w:t>所属行业</w:t>
            </w:r>
          </w:p>
        </w:tc>
      </w:tr>
      <w:tr>
        <w:tc>
          <w:tcPr>
            <w:tcW w:type="dxa" w:w="1384"/>
          </w:tcPr>
          <w:p>
            <w:pPr>
              <w:pStyle w:val="null3"/>
            </w:pPr>
            <w:r>
              <w:rPr>
                <w:rFonts w:ascii="仿宋_GB2312" w:hAnsi="仿宋_GB2312" w:cs="仿宋_GB2312" w:eastAsia="仿宋_GB2312"/>
              </w:rPr>
              <w:t>1</w:t>
            </w:r>
          </w:p>
        </w:tc>
        <w:tc>
          <w:tcPr>
            <w:tcW w:type="dxa" w:w="1384"/>
          </w:tcPr>
          <w:p>
            <w:pPr>
              <w:pStyle w:val="null3"/>
            </w:pPr>
            <w:r>
              <w:rPr>
                <w:rFonts w:ascii="仿宋_GB2312" w:hAnsi="仿宋_GB2312" w:cs="仿宋_GB2312" w:eastAsia="仿宋_GB2312"/>
              </w:rPr>
              <w:t>1300000</w:t>
            </w:r>
          </w:p>
        </w:tc>
        <w:tc>
          <w:tcPr>
            <w:tcW w:type="dxa" w:w="1384"/>
          </w:tcPr>
          <w:p>
            <w:pPr>
              <w:pStyle w:val="null3"/>
              <w:jc w:val="right"/>
            </w:pPr>
            <w:r>
              <w:rPr>
                <w:rFonts w:ascii="仿宋_GB2312" w:hAnsi="仿宋_GB2312" w:cs="仿宋_GB2312" w:eastAsia="仿宋_GB2312"/>
              </w:rPr>
              <w:t>1.00</w:t>
            </w:r>
          </w:p>
        </w:tc>
        <w:tc>
          <w:tcPr>
            <w:tcW w:type="dxa" w:w="1384"/>
          </w:tcPr>
          <w:p>
            <w:pPr>
              <w:pStyle w:val="null3"/>
              <w:jc w:val="right"/>
            </w:pPr>
            <w:r>
              <w:rPr>
                <w:rFonts w:ascii="仿宋_GB2312" w:hAnsi="仿宋_GB2312" w:cs="仿宋_GB2312" w:eastAsia="仿宋_GB2312"/>
              </w:rPr>
              <w:t>1,300,000.00</w:t>
            </w:r>
          </w:p>
        </w:tc>
        <w:tc>
          <w:tcPr>
            <w:tcW w:type="dxa" w:w="1384"/>
          </w:tcPr>
          <w:p>
            <w:pPr>
              <w:pStyle w:val="null3"/>
            </w:pPr>
            <w:r>
              <w:rPr>
                <w:rFonts w:ascii="仿宋_GB2312" w:hAnsi="仿宋_GB2312" w:cs="仿宋_GB2312" w:eastAsia="仿宋_GB2312"/>
              </w:rPr>
              <w:t>项</w:t>
            </w:r>
          </w:p>
        </w:tc>
        <w:tc>
          <w:tcPr>
            <w:tcW w:type="dxa" w:w="1384"/>
          </w:tcPr>
          <w:p>
            <w:pPr>
              <w:pStyle w:val="null3"/>
            </w:pPr>
            <w:r>
              <w:rPr>
                <w:rFonts w:ascii="仿宋_GB2312" w:hAnsi="仿宋_GB2312" w:cs="仿宋_GB2312" w:eastAsia="仿宋_GB2312"/>
              </w:rPr>
              <w:t>建筑业</w:t>
            </w:r>
          </w:p>
        </w:tc>
      </w:tr>
      <w:tr>
        <w:tc>
          <w:tcPr>
            <w:tcW w:type="dxa" w:w="1384"/>
          </w:tcPr>
          <w:p>
            <w:pPr>
              <w:pStyle w:val="null3"/>
            </w:pPr>
            <w:r>
              <w:rPr>
                <w:rFonts w:ascii="仿宋_GB2312" w:hAnsi="仿宋_GB2312" w:cs="仿宋_GB2312" w:eastAsia="仿宋_GB2312"/>
              </w:rPr>
              <w:t>2</w:t>
            </w:r>
          </w:p>
        </w:tc>
        <w:tc>
          <w:tcPr>
            <w:tcW w:type="dxa" w:w="1384"/>
          </w:tcPr>
          <w:p>
            <w:pPr>
              <w:pStyle w:val="null3"/>
            </w:pPr>
            <w:r>
              <w:rPr>
                <w:rFonts w:ascii="仿宋_GB2312" w:hAnsi="仿宋_GB2312" w:cs="仿宋_GB2312" w:eastAsia="仿宋_GB2312"/>
              </w:rPr>
              <w:t>200000</w:t>
            </w:r>
          </w:p>
        </w:tc>
        <w:tc>
          <w:tcPr>
            <w:tcW w:type="dxa" w:w="1384"/>
          </w:tcPr>
          <w:p>
            <w:pPr>
              <w:pStyle w:val="null3"/>
              <w:jc w:val="right"/>
            </w:pPr>
            <w:r>
              <w:rPr>
                <w:rFonts w:ascii="仿宋_GB2312" w:hAnsi="仿宋_GB2312" w:cs="仿宋_GB2312" w:eastAsia="仿宋_GB2312"/>
              </w:rPr>
              <w:t>1.00</w:t>
            </w:r>
          </w:p>
        </w:tc>
        <w:tc>
          <w:tcPr>
            <w:tcW w:type="dxa" w:w="1384"/>
          </w:tcPr>
          <w:p>
            <w:pPr>
              <w:pStyle w:val="null3"/>
              <w:jc w:val="right"/>
            </w:pPr>
            <w:r>
              <w:rPr>
                <w:rFonts w:ascii="仿宋_GB2312" w:hAnsi="仿宋_GB2312" w:cs="仿宋_GB2312" w:eastAsia="仿宋_GB2312"/>
              </w:rPr>
              <w:t>200,000.00</w:t>
            </w:r>
          </w:p>
        </w:tc>
        <w:tc>
          <w:tcPr>
            <w:tcW w:type="dxa" w:w="1384"/>
          </w:tcPr>
          <w:p>
            <w:pPr>
              <w:pStyle w:val="null3"/>
            </w:pPr>
            <w:r>
              <w:rPr>
                <w:rFonts w:ascii="仿宋_GB2312" w:hAnsi="仿宋_GB2312" w:cs="仿宋_GB2312" w:eastAsia="仿宋_GB2312"/>
              </w:rPr>
              <w:t>项</w:t>
            </w:r>
          </w:p>
        </w:tc>
        <w:tc>
          <w:tcPr>
            <w:tcW w:type="dxa" w:w="1384"/>
          </w:tcPr>
          <w:p>
            <w:pPr>
              <w:pStyle w:val="null3"/>
            </w:pPr>
            <w:r>
              <w:rPr>
                <w:rFonts w:ascii="仿宋_GB2312" w:hAnsi="仿宋_GB2312" w:cs="仿宋_GB2312" w:eastAsia="仿宋_GB2312"/>
              </w:rPr>
              <w:t>农、林、牧、渔业</w:t>
            </w:r>
          </w:p>
        </w:tc>
      </w:tr>
    </w:tbl>
    <w:p>
      <w:pPr>
        <w:pStyle w:val="null3"/>
        <w:ind w:firstLine="480"/>
      </w:pPr>
      <w:r>
        <w:rPr>
          <w:rFonts w:ascii="仿宋_GB2312" w:hAnsi="仿宋_GB2312" w:cs="仿宋_GB2312" w:eastAsia="仿宋_GB2312"/>
        </w:rPr>
        <w:t>一、技术、服务标准和要求：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标的名称：1300000</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pPr>
            <w:r>
              <w:rPr>
                <w:rFonts w:ascii="仿宋_GB2312" w:hAnsi="仿宋_GB2312" w:cs="仿宋_GB2312" w:eastAsia="仿宋_GB2312"/>
              </w:rPr>
              <w:t xml:space="preserve"> 序号</w:t>
            </w:r>
          </w:p>
        </w:tc>
        <w:tc>
          <w:tcPr>
            <w:tcW w:type="dxa" w:w="2769"/>
          </w:tcPr>
          <w:p>
            <w:pPr>
              <w:pStyle w:val="null3"/>
            </w:pPr>
            <w:r>
              <w:rPr>
                <w:rFonts w:ascii="仿宋_GB2312" w:hAnsi="仿宋_GB2312" w:cs="仿宋_GB2312" w:eastAsia="仿宋_GB2312"/>
              </w:rPr>
              <w:t xml:space="preserve"> 参数性质</w:t>
            </w:r>
          </w:p>
        </w:tc>
        <w:tc>
          <w:tcPr>
            <w:tcW w:type="dxa" w:w="2769"/>
          </w:tcPr>
          <w:p>
            <w:pPr>
              <w:pStyle w:val="null3"/>
            </w:pPr>
            <w:r>
              <w:rPr>
                <w:rFonts w:ascii="仿宋_GB2312" w:hAnsi="仿宋_GB2312" w:cs="仿宋_GB2312" w:eastAsia="仿宋_GB2312"/>
              </w:rPr>
              <w:t xml:space="preserve"> 技术参数与性能指标</w:t>
            </w:r>
          </w:p>
        </w:tc>
      </w:tr>
      <w:tr>
        <w:tc>
          <w:tcPr>
            <w:tcW w:type="dxa" w:w="2769"/>
          </w:tcPr>
          <w:p>
            <w:pPr>
              <w:pStyle w:val="null3"/>
            </w:pPr>
            <w:r>
              <w:rPr>
                <w:rFonts w:ascii="仿宋_GB2312" w:hAnsi="仿宋_GB2312" w:cs="仿宋_GB2312" w:eastAsia="仿宋_GB2312"/>
              </w:rPr>
              <w:t>1</w:t>
            </w:r>
          </w:p>
        </w:tc>
        <w:tc>
          <w:tcPr>
            <w:tcW w:type="dxa" w:w="2769"/>
          </w:tcPr>
          <w:p/>
        </w:tc>
        <w:tc>
          <w:tcPr>
            <w:tcW w:type="dxa" w:w="2769"/>
          </w:tcPr>
          <w:p>
            <w:pPr>
              <w:pStyle w:val="null3"/>
            </w:pPr>
            <w:r>
              <w:rPr>
                <w:rFonts w:ascii="仿宋_GB2312" w:hAnsi="仿宋_GB2312" w:cs="仿宋_GB2312" w:eastAsia="仿宋_GB2312"/>
              </w:rPr>
              <w:t>一、建设内容：建设8套人为活动监测系统，分别部署于人员活动频繁、登山口等地区，对主要登山口、道路卡口经过的行人，车辆进行全天候 24 小时监测。发现人为活动情况时后端要能实时预警、工作人员可以远程对其采取宣传教育、劝返劝离等措施。</w:t>
            </w:r>
          </w:p>
          <w:p>
            <w:pPr>
              <w:pStyle w:val="null3"/>
            </w:pPr>
            <w:r>
              <w:rPr>
                <w:rFonts w:ascii="仿宋_GB2312" w:hAnsi="仿宋_GB2312" w:cs="仿宋_GB2312" w:eastAsia="仿宋_GB2312"/>
              </w:rPr>
              <w:t>二、建设规模：主要包含监测立杆 8 根、双光谱球机 8 台、全局摄像机 8 台、IP 音柱 8 台、太阳能供电系统 8 套（每套 4 块太阳能板，8 块蓄电池）、无线网桥 16 台、物联网控制箱 8 台以及基础施工 8 处。分别部署于人员活动频繁、登山口等地区，该系统供电采取太阳能供电，传输采用无线网桥传输至已建防火塔上，在通过已建防火塔已建传输系统进行数据回传。</w:t>
            </w:r>
          </w:p>
          <w:p>
            <w:pPr>
              <w:pStyle w:val="null3"/>
            </w:pPr>
            <w:r>
              <w:rPr>
                <w:rFonts w:ascii="仿宋_GB2312" w:hAnsi="仿宋_GB2312" w:cs="仿宋_GB2312" w:eastAsia="仿宋_GB2312"/>
              </w:rPr>
              <w:t>三、建设目标：通过人为活动监测系统的建设，可实现对监测区域内的人为活动、车辆等活动进行检测、预警、事件的记录。能够让保护区工作人员及时了解保护区人为活动等情况，并且能够在发现非法入山、破坏、人为活动等紧急事件，管理人员不能及时到达现场的情况下，进行远程进行宣传、教育、警示、驱离等活动。极大的提高了提升工作人员管理能力。。</w:t>
            </w:r>
          </w:p>
          <w:p>
            <w:pPr>
              <w:pStyle w:val="null3"/>
            </w:pPr>
            <w:r>
              <w:rPr>
                <w:rFonts w:ascii="仿宋_GB2312" w:hAnsi="仿宋_GB2312" w:cs="仿宋_GB2312" w:eastAsia="仿宋_GB2312"/>
              </w:rPr>
              <w:t>四、建设依据：</w:t>
            </w:r>
          </w:p>
          <w:p>
            <w:pPr>
              <w:pStyle w:val="null3"/>
            </w:pPr>
            <w:r>
              <w:rPr>
                <w:rFonts w:ascii="仿宋_GB2312" w:hAnsi="仿宋_GB2312" w:cs="仿宋_GB2312" w:eastAsia="仿宋_GB2312"/>
              </w:rPr>
              <w:t>1.法律法规： 1.《中华人民共和国森林法》（2019 年修订）； 2.《中华人民共和国野生动物保护法》（2022 年修正）； 3.《中华人民共和国环境保护法》（2014 年修订）； 4.《中华人民共和国陆生野生动物保护实施条例》（2016 年修订）； 5.《中华人民共和国自然保护区条例》（2017 年修正）； 6.《陕西省秦岭生态环境保护条例》（2019 年修订）；</w:t>
            </w:r>
          </w:p>
          <w:p>
            <w:pPr>
              <w:pStyle w:val="null3"/>
            </w:pPr>
            <w:r>
              <w:rPr>
                <w:rFonts w:ascii="仿宋_GB2312" w:hAnsi="仿宋_GB2312" w:cs="仿宋_GB2312" w:eastAsia="仿宋_GB2312"/>
              </w:rPr>
              <w:t>2.标准规范 ：1. 《自然保护区总体规划技术规程》（GB/T20399-2006）； 2. 《自然保护区工程设计规范》（LY/T5126-04）； 3. 《自然保护区功能区划技术规程》）（GB/T 35822-2018）； 4. 《自然保护区工程项目建设标准》（建标 195-2018）； 5. 《电子计算机系统设备的性能表示》（GB3874-83）； 6. 《信息技术设备（包括电气事务设备）的安全》（GB4943-1995）； 7. 《 微 波 电 路传 输 继 电 保 护信 息 设 计 技 术 规定 》 （ DL/T 5062-1996）； 8. 《 森 林 生 态 系 统 生 物 多 样 性 监 测 与 评 估 规 范 》 （ LY/T 2241-2014）； 9. 《IP 网络技术要求网络性能测量方法》（YD/T1381-2022）； 10. 《视频监 控无线传输设备射频技术指标与测试方法》 （GB/T33778-2017）； 11. 《林业信息化网络系统建设规范》（LY/T2172-2013）； 12. 《陕西牛背梁国家级自然保护区总体规划（2021-2030）》 13. 《野生动物疫源疫病监测技术规程》（LY/T 2845-2023） 14. 其他与本项目有关的国家现行设计规范、技术标准及技术规程 等。</w:t>
            </w:r>
          </w:p>
          <w:p>
            <w:pPr>
              <w:pStyle w:val="null3"/>
            </w:pPr>
            <w:r>
              <w:rPr>
                <w:rFonts w:ascii="仿宋_GB2312" w:hAnsi="仿宋_GB2312" w:cs="仿宋_GB2312" w:eastAsia="仿宋_GB2312"/>
              </w:rPr>
              <w:t>3.其他 ：1. 陕西省林业局 陕西省财政厅关于印发《中央财政国家公园和林 业草原项目入库指南的通知》（陕林财发〔2023〕87 号）； 2. 《林业草原生态保护恢复资金管理办法》（财资环〔2024〕159 号）； 3. 《中央财政林业草原项目实施方案编制大纲（试行）》（2023 年 6 月 ）； 4. 陕西省林业局《关于提前下达2025 年林业草原生态保护恢复资 金计划通知》（陕林财字〔2024〕477 号）。</w:t>
            </w:r>
          </w:p>
          <w:p>
            <w:pPr>
              <w:pStyle w:val="null3"/>
            </w:pPr>
            <w:r>
              <w:rPr>
                <w:rFonts w:ascii="仿宋_GB2312" w:hAnsi="仿宋_GB2312" w:cs="仿宋_GB2312" w:eastAsia="仿宋_GB2312"/>
              </w:rPr>
              <w:t>五、详细参数要求及图表</w:t>
            </w:r>
          </w:p>
          <w:p>
            <w:pPr>
              <w:pStyle w:val="null3"/>
              <w:jc w:val="center"/>
            </w:pPr>
            <w:r>
              <w:rPr>
                <w:rFonts w:ascii="仿宋_GB2312" w:hAnsi="仿宋_GB2312" w:cs="仿宋_GB2312" w:eastAsia="仿宋_GB2312"/>
                <w:sz w:val="21"/>
                <w:b/>
                <w:color w:val="000000"/>
              </w:rPr>
              <w:t>表</w:t>
            </w:r>
            <w:r>
              <w:rPr>
                <w:rFonts w:ascii="仿宋_GB2312" w:hAnsi="仿宋_GB2312" w:cs="仿宋_GB2312" w:eastAsia="仿宋_GB2312"/>
                <w:sz w:val="21"/>
                <w:b/>
                <w:color w:val="000000"/>
              </w:rPr>
              <w:t>1-</w:t>
            </w:r>
            <w:r>
              <w:rPr>
                <w:rFonts w:ascii="仿宋_GB2312" w:hAnsi="仿宋_GB2312" w:cs="仿宋_GB2312" w:eastAsia="仿宋_GB2312"/>
                <w:sz w:val="21"/>
                <w:b/>
                <w:color w:val="000000"/>
              </w:rPr>
              <w:t>人为活动监测系统点位坐标</w:t>
            </w:r>
          </w:p>
          <w:tbl>
            <w:tblPr>
              <w:tblInd w:type="dxa" w:w="105"/>
              <w:tblBorders>
                <w:top w:val="none" w:color="000000" w:sz="4"/>
                <w:left w:val="none" w:color="000000" w:sz="4"/>
                <w:bottom w:val="none" w:color="000000" w:sz="4"/>
                <w:right w:val="none" w:color="000000" w:sz="4"/>
                <w:insideH w:val="none"/>
                <w:insideV w:val="none"/>
              </w:tblBorders>
            </w:tblPr>
            <w:tblGrid>
              <w:gridCol w:w="293"/>
              <w:gridCol w:w="412"/>
              <w:gridCol w:w="420"/>
              <w:gridCol w:w="429"/>
              <w:gridCol w:w="399"/>
              <w:gridCol w:w="327"/>
              <w:gridCol w:w="250"/>
            </w:tblGrid>
            <w:tr>
              <w:tc>
                <w:tcPr>
                  <w:tcW w:type="dxa" w:w="293"/>
                  <w:tcBorders>
                    <w:top w:val="singl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b/>
                      <w:color w:val="000000"/>
                    </w:rPr>
                    <w:t>序号</w:t>
                  </w:r>
                </w:p>
              </w:tc>
              <w:tc>
                <w:tcPr>
                  <w:tcW w:type="dxa" w:w="412"/>
                  <w:tcBorders>
                    <w:top w:val="singl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b/>
                      <w:color w:val="000000"/>
                    </w:rPr>
                    <w:t>点位名称</w:t>
                  </w:r>
                </w:p>
              </w:tc>
              <w:tc>
                <w:tcPr>
                  <w:tcW w:type="dxa" w:w="420"/>
                  <w:tcBorders>
                    <w:top w:val="singl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b/>
                      <w:color w:val="000000"/>
                    </w:rPr>
                    <w:t>隶属保护站</w:t>
                  </w:r>
                </w:p>
              </w:tc>
              <w:tc>
                <w:tcPr>
                  <w:tcW w:type="dxa" w:w="429"/>
                  <w:tcBorders>
                    <w:top w:val="singl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b/>
                      <w:color w:val="000000"/>
                    </w:rPr>
                    <w:t>经度</w:t>
                  </w:r>
                </w:p>
              </w:tc>
              <w:tc>
                <w:tcPr>
                  <w:tcW w:type="dxa" w:w="399"/>
                  <w:tcBorders>
                    <w:top w:val="singl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b/>
                      <w:color w:val="000000"/>
                    </w:rPr>
                    <w:t>纬度</w:t>
                  </w:r>
                </w:p>
              </w:tc>
              <w:tc>
                <w:tcPr>
                  <w:tcW w:type="dxa" w:w="327"/>
                  <w:tcBorders>
                    <w:top w:val="singl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b/>
                      <w:color w:val="000000"/>
                    </w:rPr>
                    <w:t>海拔（</w:t>
                  </w:r>
                  <w:r>
                    <w:rPr>
                      <w:rFonts w:ascii="仿宋_GB2312" w:hAnsi="仿宋_GB2312" w:cs="仿宋_GB2312" w:eastAsia="仿宋_GB2312"/>
                      <w:sz w:val="21"/>
                      <w:b/>
                      <w:color w:val="000000"/>
                    </w:rPr>
                    <w:t>M）</w:t>
                  </w:r>
                </w:p>
              </w:tc>
              <w:tc>
                <w:tcPr>
                  <w:tcW w:type="dxa" w:w="250"/>
                  <w:tcBorders>
                    <w:top w:val="singl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b/>
                      <w:color w:val="000000"/>
                    </w:rPr>
                    <w:t>备注</w:t>
                  </w:r>
                </w:p>
              </w:tc>
            </w:tr>
            <w:tr>
              <w:tc>
                <w:tcPr>
                  <w:tcW w:type="dxa" w:w="293"/>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1</w:t>
                  </w:r>
                </w:p>
              </w:tc>
              <w:tc>
                <w:tcPr>
                  <w:tcW w:type="dxa" w:w="412"/>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1 号监测点</w:t>
                  </w:r>
                </w:p>
              </w:tc>
              <w:tc>
                <w:tcPr>
                  <w:tcW w:type="dxa" w:w="42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老林保护站</w:t>
                  </w:r>
                </w:p>
              </w:tc>
              <w:tc>
                <w:tcPr>
                  <w:tcW w:type="dxa" w:w="429"/>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108.965163</w:t>
                  </w:r>
                </w:p>
              </w:tc>
              <w:tc>
                <w:tcPr>
                  <w:tcW w:type="dxa" w:w="399"/>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33.826091</w:t>
                  </w:r>
                </w:p>
              </w:tc>
              <w:tc>
                <w:tcPr>
                  <w:tcW w:type="dxa" w:w="327"/>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1244</w:t>
                  </w:r>
                </w:p>
              </w:tc>
              <w:tc>
                <w:tcPr>
                  <w:tcW w:type="dxa" w:w="25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p>
              </w:tc>
            </w:tr>
            <w:tr>
              <w:tc>
                <w:tcPr>
                  <w:tcW w:type="dxa" w:w="293"/>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2</w:t>
                  </w:r>
                </w:p>
              </w:tc>
              <w:tc>
                <w:tcPr>
                  <w:tcW w:type="dxa" w:w="412"/>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2 号监测点</w:t>
                  </w:r>
                </w:p>
              </w:tc>
              <w:tc>
                <w:tcPr>
                  <w:tcW w:type="dxa" w:w="42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老林保护站</w:t>
                  </w:r>
                </w:p>
              </w:tc>
              <w:tc>
                <w:tcPr>
                  <w:tcW w:type="dxa" w:w="429"/>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109.009894</w:t>
                  </w:r>
                </w:p>
              </w:tc>
              <w:tc>
                <w:tcPr>
                  <w:tcW w:type="dxa" w:w="399"/>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33.865941</w:t>
                  </w:r>
                </w:p>
              </w:tc>
              <w:tc>
                <w:tcPr>
                  <w:tcW w:type="dxa" w:w="327"/>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1435</w:t>
                  </w:r>
                </w:p>
              </w:tc>
              <w:tc>
                <w:tcPr>
                  <w:tcW w:type="dxa" w:w="25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p>
              </w:tc>
            </w:tr>
            <w:tr>
              <w:tc>
                <w:tcPr>
                  <w:tcW w:type="dxa" w:w="293"/>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3</w:t>
                  </w:r>
                </w:p>
              </w:tc>
              <w:tc>
                <w:tcPr>
                  <w:tcW w:type="dxa" w:w="412"/>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3 号监测点</w:t>
                  </w:r>
                </w:p>
              </w:tc>
              <w:tc>
                <w:tcPr>
                  <w:tcW w:type="dxa" w:w="42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广货街保护</w:t>
                  </w:r>
                </w:p>
                <w:p>
                  <w:pPr>
                    <w:pStyle w:val="null3"/>
                    <w:jc w:val="center"/>
                  </w:pPr>
                  <w:r>
                    <w:rPr>
                      <w:rFonts w:ascii="仿宋_GB2312" w:hAnsi="仿宋_GB2312" w:cs="仿宋_GB2312" w:eastAsia="仿宋_GB2312"/>
                      <w:sz w:val="21"/>
                      <w:color w:val="000000"/>
                    </w:rPr>
                    <w:t>站</w:t>
                  </w:r>
                </w:p>
              </w:tc>
              <w:tc>
                <w:tcPr>
                  <w:tcW w:type="dxa" w:w="429"/>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108.811531</w:t>
                  </w:r>
                </w:p>
              </w:tc>
              <w:tc>
                <w:tcPr>
                  <w:tcW w:type="dxa" w:w="399"/>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33.833853</w:t>
                  </w:r>
                </w:p>
              </w:tc>
              <w:tc>
                <w:tcPr>
                  <w:tcW w:type="dxa" w:w="327"/>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2073</w:t>
                  </w:r>
                </w:p>
              </w:tc>
              <w:tc>
                <w:tcPr>
                  <w:tcW w:type="dxa" w:w="25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p>
              </w:tc>
            </w:tr>
            <w:tr>
              <w:tc>
                <w:tcPr>
                  <w:tcW w:type="dxa" w:w="293"/>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4</w:t>
                  </w:r>
                </w:p>
              </w:tc>
              <w:tc>
                <w:tcPr>
                  <w:tcW w:type="dxa" w:w="412"/>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4 号监测点</w:t>
                  </w:r>
                </w:p>
              </w:tc>
              <w:tc>
                <w:tcPr>
                  <w:tcW w:type="dxa" w:w="42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老林保护站</w:t>
                  </w:r>
                </w:p>
              </w:tc>
              <w:tc>
                <w:tcPr>
                  <w:tcW w:type="dxa" w:w="429"/>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108.950537</w:t>
                  </w:r>
                </w:p>
              </w:tc>
              <w:tc>
                <w:tcPr>
                  <w:tcW w:type="dxa" w:w="399"/>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33.812426</w:t>
                  </w:r>
                </w:p>
              </w:tc>
              <w:tc>
                <w:tcPr>
                  <w:tcW w:type="dxa" w:w="327"/>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1255</w:t>
                  </w:r>
                </w:p>
              </w:tc>
              <w:tc>
                <w:tcPr>
                  <w:tcW w:type="dxa" w:w="25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p>
              </w:tc>
            </w:tr>
            <w:tr>
              <w:tc>
                <w:tcPr>
                  <w:tcW w:type="dxa" w:w="293"/>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5</w:t>
                  </w:r>
                </w:p>
              </w:tc>
              <w:tc>
                <w:tcPr>
                  <w:tcW w:type="dxa" w:w="412"/>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5 号监测点</w:t>
                  </w:r>
                </w:p>
              </w:tc>
              <w:tc>
                <w:tcPr>
                  <w:tcW w:type="dxa" w:w="42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北沟保护站</w:t>
                  </w:r>
                </w:p>
              </w:tc>
              <w:tc>
                <w:tcPr>
                  <w:tcW w:type="dxa" w:w="429"/>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108.849069</w:t>
                  </w:r>
                </w:p>
              </w:tc>
              <w:tc>
                <w:tcPr>
                  <w:tcW w:type="dxa" w:w="399"/>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33.793171</w:t>
                  </w:r>
                </w:p>
              </w:tc>
              <w:tc>
                <w:tcPr>
                  <w:tcW w:type="dxa" w:w="327"/>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1634</w:t>
                  </w:r>
                </w:p>
              </w:tc>
              <w:tc>
                <w:tcPr>
                  <w:tcW w:type="dxa" w:w="25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p>
              </w:tc>
            </w:tr>
            <w:tr>
              <w:tc>
                <w:tcPr>
                  <w:tcW w:type="dxa" w:w="293"/>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6</w:t>
                  </w:r>
                </w:p>
              </w:tc>
              <w:tc>
                <w:tcPr>
                  <w:tcW w:type="dxa" w:w="412"/>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6 号监测点</w:t>
                  </w:r>
                </w:p>
              </w:tc>
              <w:tc>
                <w:tcPr>
                  <w:tcW w:type="dxa" w:w="42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广货街保护</w:t>
                  </w:r>
                </w:p>
                <w:p>
                  <w:pPr>
                    <w:pStyle w:val="null3"/>
                    <w:jc w:val="center"/>
                  </w:pPr>
                  <w:r>
                    <w:rPr>
                      <w:rFonts w:ascii="仿宋_GB2312" w:hAnsi="仿宋_GB2312" w:cs="仿宋_GB2312" w:eastAsia="仿宋_GB2312"/>
                      <w:sz w:val="21"/>
                      <w:color w:val="000000"/>
                    </w:rPr>
                    <w:t>站</w:t>
                  </w:r>
                </w:p>
              </w:tc>
              <w:tc>
                <w:tcPr>
                  <w:tcW w:type="dxa" w:w="429"/>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108.790315</w:t>
                  </w:r>
                </w:p>
              </w:tc>
              <w:tc>
                <w:tcPr>
                  <w:tcW w:type="dxa" w:w="399"/>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33.788433</w:t>
                  </w:r>
                </w:p>
              </w:tc>
              <w:tc>
                <w:tcPr>
                  <w:tcW w:type="dxa" w:w="327"/>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1447</w:t>
                  </w:r>
                </w:p>
              </w:tc>
              <w:tc>
                <w:tcPr>
                  <w:tcW w:type="dxa" w:w="25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p>
              </w:tc>
            </w:tr>
            <w:tr>
              <w:tc>
                <w:tcPr>
                  <w:tcW w:type="dxa" w:w="293"/>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7</w:t>
                  </w:r>
                </w:p>
              </w:tc>
              <w:tc>
                <w:tcPr>
                  <w:tcW w:type="dxa" w:w="412"/>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7 号监测点</w:t>
                  </w:r>
                </w:p>
              </w:tc>
              <w:tc>
                <w:tcPr>
                  <w:tcW w:type="dxa" w:w="42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北沟保护站</w:t>
                  </w:r>
                </w:p>
              </w:tc>
              <w:tc>
                <w:tcPr>
                  <w:tcW w:type="dxa" w:w="429"/>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108.779665</w:t>
                  </w:r>
                </w:p>
              </w:tc>
              <w:tc>
                <w:tcPr>
                  <w:tcW w:type="dxa" w:w="399"/>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33.813707</w:t>
                  </w:r>
                </w:p>
              </w:tc>
              <w:tc>
                <w:tcPr>
                  <w:tcW w:type="dxa" w:w="327"/>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1613</w:t>
                  </w:r>
                </w:p>
              </w:tc>
              <w:tc>
                <w:tcPr>
                  <w:tcW w:type="dxa" w:w="25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p>
              </w:tc>
            </w:tr>
            <w:tr>
              <w:tc>
                <w:tcPr>
                  <w:tcW w:type="dxa" w:w="293"/>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8</w:t>
                  </w:r>
                </w:p>
              </w:tc>
              <w:tc>
                <w:tcPr>
                  <w:tcW w:type="dxa" w:w="412"/>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8 号监测点</w:t>
                  </w:r>
                </w:p>
              </w:tc>
              <w:tc>
                <w:tcPr>
                  <w:tcW w:type="dxa" w:w="42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北沟保护站</w:t>
                  </w:r>
                </w:p>
              </w:tc>
              <w:tc>
                <w:tcPr>
                  <w:tcW w:type="dxa" w:w="429"/>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108.787008</w:t>
                  </w:r>
                </w:p>
              </w:tc>
              <w:tc>
                <w:tcPr>
                  <w:tcW w:type="dxa" w:w="399"/>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33.826062</w:t>
                  </w:r>
                </w:p>
              </w:tc>
              <w:tc>
                <w:tcPr>
                  <w:tcW w:type="dxa" w:w="327"/>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1780</w:t>
                  </w:r>
                </w:p>
              </w:tc>
              <w:tc>
                <w:tcPr>
                  <w:tcW w:type="dxa" w:w="25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p>
              </w:tc>
            </w:tr>
          </w:tbl>
          <w:p>
            <w:pPr>
              <w:pStyle w:val="null3"/>
              <w:jc w:val="left"/>
            </w:pPr>
            <w:r>
              <w:rPr>
                <w:rFonts w:ascii="仿宋_GB2312" w:hAnsi="仿宋_GB2312" w:cs="仿宋_GB2312" w:eastAsia="仿宋_GB2312"/>
                <w:sz w:val="21"/>
                <w:b/>
                <w:color w:val="000000"/>
              </w:rPr>
              <w:t>表</w:t>
            </w:r>
            <w:r>
              <w:rPr>
                <w:rFonts w:ascii="仿宋_GB2312" w:hAnsi="仿宋_GB2312" w:cs="仿宋_GB2312" w:eastAsia="仿宋_GB2312"/>
                <w:sz w:val="28"/>
                <w:color w:val="000000"/>
              </w:rPr>
              <w:t xml:space="preserve"> </w:t>
            </w:r>
            <w:r>
              <w:rPr>
                <w:rFonts w:ascii="仿宋_GB2312" w:hAnsi="仿宋_GB2312" w:cs="仿宋_GB2312" w:eastAsia="仿宋_GB2312"/>
                <w:sz w:val="21"/>
                <w:b/>
                <w:color w:val="000000"/>
              </w:rPr>
              <w:t>2</w:t>
            </w:r>
            <w:r>
              <w:rPr>
                <w:rFonts w:ascii="仿宋_GB2312" w:hAnsi="仿宋_GB2312" w:cs="仿宋_GB2312" w:eastAsia="仿宋_GB2312"/>
                <w:sz w:val="21"/>
                <w:color w:val="000000"/>
              </w:rPr>
              <w:t>-</w:t>
            </w:r>
            <w:r>
              <w:rPr>
                <w:rFonts w:ascii="仿宋_GB2312" w:hAnsi="仿宋_GB2312" w:cs="仿宋_GB2312" w:eastAsia="仿宋_GB2312"/>
                <w:sz w:val="21"/>
                <w:b/>
                <w:color w:val="000000"/>
              </w:rPr>
              <w:t>人为活动监测系统主要设备技术参数</w:t>
            </w:r>
          </w:p>
          <w:tbl>
            <w:tblPr>
              <w:tblInd w:type="dxa" w:w="105"/>
              <w:tblBorders>
                <w:top w:val="none" w:color="000000" w:sz="4"/>
                <w:left w:val="none" w:color="000000" w:sz="4"/>
                <w:bottom w:val="none" w:color="000000" w:sz="4"/>
                <w:right w:val="none" w:color="000000" w:sz="4"/>
                <w:insideH w:val="none"/>
                <w:insideV w:val="none"/>
              </w:tblBorders>
            </w:tblPr>
            <w:tblGrid>
              <w:gridCol w:w="220"/>
              <w:gridCol w:w="416"/>
              <w:gridCol w:w="1355"/>
              <w:gridCol w:w="169"/>
              <w:gridCol w:w="148"/>
              <w:gridCol w:w="233"/>
            </w:tblGrid>
            <w:tr>
              <w:tc>
                <w:tcPr>
                  <w:tcW w:type="dxa" w:w="220"/>
                  <w:tcBorders>
                    <w:top w:val="singl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b/>
                      <w:color w:val="000000"/>
                    </w:rPr>
                    <w:t>序号</w:t>
                  </w:r>
                </w:p>
              </w:tc>
              <w:tc>
                <w:tcPr>
                  <w:tcW w:type="dxa" w:w="416"/>
                  <w:tcBorders>
                    <w:top w:val="singl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b/>
                      <w:color w:val="000000"/>
                    </w:rPr>
                    <w:t>建设内容</w:t>
                  </w:r>
                </w:p>
              </w:tc>
              <w:tc>
                <w:tcPr>
                  <w:tcW w:type="dxa" w:w="1355"/>
                  <w:tcBorders>
                    <w:top w:val="singl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b/>
                      <w:color w:val="000000"/>
                    </w:rPr>
                    <w:t>规格、参数</w:t>
                  </w:r>
                </w:p>
              </w:tc>
              <w:tc>
                <w:tcPr>
                  <w:tcW w:type="dxa" w:w="169"/>
                  <w:tcBorders>
                    <w:top w:val="singl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b/>
                      <w:color w:val="000000"/>
                    </w:rPr>
                    <w:t>单位</w:t>
                  </w:r>
                </w:p>
              </w:tc>
              <w:tc>
                <w:tcPr>
                  <w:tcW w:type="dxa" w:w="148"/>
                  <w:tcBorders>
                    <w:top w:val="singl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b/>
                      <w:color w:val="000000"/>
                    </w:rPr>
                    <w:t>数量</w:t>
                  </w:r>
                </w:p>
              </w:tc>
              <w:tc>
                <w:tcPr>
                  <w:tcW w:type="dxa" w:w="233"/>
                  <w:tcBorders>
                    <w:top w:val="singl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b/>
                      <w:color w:val="000000"/>
                    </w:rPr>
                    <w:t>备注</w:t>
                  </w:r>
                </w:p>
              </w:tc>
            </w:tr>
            <w:tr>
              <w:tc>
                <w:tcPr>
                  <w:tcW w:type="dxa" w:w="22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1</w:t>
                  </w:r>
                </w:p>
              </w:tc>
              <w:tc>
                <w:tcPr>
                  <w:tcW w:type="dxa" w:w="416"/>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监测立杆</w:t>
                  </w:r>
                </w:p>
              </w:tc>
              <w:tc>
                <w:tcPr>
                  <w:tcW w:type="dxa" w:w="1355"/>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ind w:left="45"/>
                    <w:jc w:val="both"/>
                  </w:pPr>
                  <w:r>
                    <w:rPr>
                      <w:rFonts w:ascii="仿宋_GB2312" w:hAnsi="仿宋_GB2312" w:cs="仿宋_GB2312" w:eastAsia="仿宋_GB2312"/>
                      <w:sz w:val="21"/>
                      <w:color w:val="000000"/>
                    </w:rPr>
                    <w:t>6 米八棱杆，横臂长 1 米，壁厚≥5MM，表面热镀锌处理(含地笼、避雷针、接地）</w:t>
                  </w:r>
                </w:p>
              </w:tc>
              <w:tc>
                <w:tcPr>
                  <w:tcW w:type="dxa" w:w="169"/>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根</w:t>
                  </w:r>
                </w:p>
              </w:tc>
              <w:tc>
                <w:tcPr>
                  <w:tcW w:type="dxa" w:w="148"/>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8</w:t>
                  </w:r>
                </w:p>
              </w:tc>
              <w:tc>
                <w:tcPr>
                  <w:tcW w:type="dxa" w:w="233"/>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p>
              </w:tc>
            </w:tr>
            <w:tr>
              <w:tc>
                <w:tcPr>
                  <w:tcW w:type="dxa" w:w="22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2</w:t>
                  </w:r>
                </w:p>
              </w:tc>
              <w:tc>
                <w:tcPr>
                  <w:tcW w:type="dxa" w:w="416"/>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双光谱球机</w:t>
                  </w:r>
                </w:p>
              </w:tc>
              <w:tc>
                <w:tcPr>
                  <w:tcW w:type="dxa" w:w="1355"/>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ind w:left="45"/>
                    <w:jc w:val="both"/>
                  </w:pPr>
                  <w:r>
                    <w:rPr>
                      <w:rFonts w:ascii="仿宋_GB2312" w:hAnsi="仿宋_GB2312" w:cs="仿宋_GB2312" w:eastAsia="仿宋_GB2312"/>
                      <w:sz w:val="21"/>
                      <w:color w:val="000000"/>
                    </w:rPr>
                    <w:t>热成像分辨率：</w:t>
                  </w:r>
                  <w:r>
                    <w:rPr>
                      <w:rFonts w:ascii="仿宋_GB2312" w:hAnsi="仿宋_GB2312" w:cs="仿宋_GB2312" w:eastAsia="仿宋_GB2312"/>
                      <w:sz w:val="21"/>
                      <w:color w:val="000000"/>
                    </w:rPr>
                    <w:t>≥256</w:t>
                  </w:r>
                  <w:r>
                    <w:rPr>
                      <w:rFonts w:ascii="仿宋_GB2312" w:hAnsi="仿宋_GB2312" w:cs="仿宋_GB2312" w:eastAsia="仿宋_GB2312"/>
                      <w:sz w:val="21"/>
                      <w:color w:val="000000"/>
                    </w:rPr>
                    <w:t>×</w:t>
                  </w:r>
                  <w:r>
                    <w:rPr>
                      <w:rFonts w:ascii="仿宋_GB2312" w:hAnsi="仿宋_GB2312" w:cs="仿宋_GB2312" w:eastAsia="仿宋_GB2312"/>
                      <w:sz w:val="21"/>
                      <w:color w:val="000000"/>
                    </w:rPr>
                    <w:t>192</w:t>
                  </w:r>
                </w:p>
                <w:p>
                  <w:pPr>
                    <w:pStyle w:val="null3"/>
                    <w:ind w:left="45"/>
                    <w:jc w:val="both"/>
                  </w:pPr>
                  <w:r>
                    <w:rPr>
                      <w:rFonts w:ascii="仿宋_GB2312" w:hAnsi="仿宋_GB2312" w:cs="仿宋_GB2312" w:eastAsia="仿宋_GB2312"/>
                      <w:sz w:val="21"/>
                      <w:color w:val="000000"/>
                    </w:rPr>
                    <w:t>可见光分辨率：</w:t>
                  </w:r>
                  <w:r>
                    <w:rPr>
                      <w:rFonts w:ascii="仿宋_GB2312" w:hAnsi="仿宋_GB2312" w:cs="仿宋_GB2312" w:eastAsia="仿宋_GB2312"/>
                      <w:sz w:val="21"/>
                      <w:color w:val="000000"/>
                    </w:rPr>
                    <w:t>≥2688×1520</w:t>
                  </w:r>
                </w:p>
                <w:p>
                  <w:pPr>
                    <w:pStyle w:val="null3"/>
                    <w:ind w:left="45"/>
                    <w:jc w:val="both"/>
                  </w:pPr>
                  <w:r>
                    <w:rPr>
                      <w:rFonts w:ascii="仿宋_GB2312" w:hAnsi="仿宋_GB2312" w:cs="仿宋_GB2312" w:eastAsia="仿宋_GB2312"/>
                      <w:sz w:val="21"/>
                      <w:color w:val="000000"/>
                    </w:rPr>
                    <w:t>可见光镜头焦距：</w:t>
                  </w:r>
                  <w:r>
                    <w:rPr>
                      <w:rFonts w:ascii="仿宋_GB2312" w:hAnsi="仿宋_GB2312" w:cs="仿宋_GB2312" w:eastAsia="仿宋_GB2312"/>
                      <w:sz w:val="21"/>
                      <w:color w:val="000000"/>
                    </w:rPr>
                    <w:t>≥4.8--153mm</w:t>
                  </w:r>
                </w:p>
                <w:p>
                  <w:pPr>
                    <w:pStyle w:val="null3"/>
                    <w:ind w:left="45"/>
                    <w:jc w:val="both"/>
                  </w:pPr>
                  <w:r>
                    <w:rPr>
                      <w:rFonts w:ascii="仿宋_GB2312" w:hAnsi="仿宋_GB2312" w:cs="仿宋_GB2312" w:eastAsia="仿宋_GB2312"/>
                      <w:sz w:val="21"/>
                      <w:color w:val="000000"/>
                    </w:rPr>
                    <w:t>测温范围：</w:t>
                  </w:r>
                  <w:r>
                    <w:rPr>
                      <w:rFonts w:ascii="仿宋_GB2312" w:hAnsi="仿宋_GB2312" w:cs="仿宋_GB2312" w:eastAsia="仿宋_GB2312"/>
                      <w:sz w:val="21"/>
                      <w:color w:val="000000"/>
                    </w:rPr>
                    <w:t>≥-20℃</w:t>
                  </w:r>
                  <w:r>
                    <w:rPr>
                      <w:rFonts w:ascii="仿宋_GB2312" w:hAnsi="仿宋_GB2312" w:cs="仿宋_GB2312" w:eastAsia="仿宋_GB2312"/>
                      <w:sz w:val="21"/>
                      <w:color w:val="000000"/>
                    </w:rPr>
                    <w:t>～</w:t>
                  </w:r>
                  <w:r>
                    <w:rPr>
                      <w:rFonts w:ascii="仿宋_GB2312" w:hAnsi="仿宋_GB2312" w:cs="仿宋_GB2312" w:eastAsia="仿宋_GB2312"/>
                      <w:sz w:val="21"/>
                      <w:color w:val="000000"/>
                    </w:rPr>
                    <w:t>150℃</w:t>
                  </w:r>
                </w:p>
              </w:tc>
              <w:tc>
                <w:tcPr>
                  <w:tcW w:type="dxa" w:w="169"/>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台</w:t>
                  </w:r>
                </w:p>
              </w:tc>
              <w:tc>
                <w:tcPr>
                  <w:tcW w:type="dxa" w:w="148"/>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8</w:t>
                  </w:r>
                </w:p>
              </w:tc>
              <w:tc>
                <w:tcPr>
                  <w:tcW w:type="dxa" w:w="233"/>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p>
              </w:tc>
            </w:tr>
            <w:tr>
              <w:tc>
                <w:tcPr>
                  <w:tcW w:type="dxa" w:w="22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3</w:t>
                  </w:r>
                </w:p>
              </w:tc>
              <w:tc>
                <w:tcPr>
                  <w:tcW w:type="dxa" w:w="416"/>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球机支架</w:t>
                  </w:r>
                </w:p>
              </w:tc>
              <w:tc>
                <w:tcPr>
                  <w:tcW w:type="dxa" w:w="1355"/>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ind w:left="45"/>
                    <w:jc w:val="both"/>
                  </w:pPr>
                  <w:r>
                    <w:rPr>
                      <w:rFonts w:ascii="仿宋_GB2312" w:hAnsi="仿宋_GB2312" w:cs="仿宋_GB2312" w:eastAsia="仿宋_GB2312"/>
                      <w:sz w:val="21"/>
                      <w:color w:val="000000"/>
                    </w:rPr>
                    <w:t>配套</w:t>
                  </w:r>
                </w:p>
              </w:tc>
              <w:tc>
                <w:tcPr>
                  <w:tcW w:type="dxa" w:w="169"/>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套</w:t>
                  </w:r>
                </w:p>
              </w:tc>
              <w:tc>
                <w:tcPr>
                  <w:tcW w:type="dxa" w:w="148"/>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8</w:t>
                  </w:r>
                </w:p>
              </w:tc>
              <w:tc>
                <w:tcPr>
                  <w:tcW w:type="dxa" w:w="233"/>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p>
              </w:tc>
            </w:tr>
            <w:tr>
              <w:tc>
                <w:tcPr>
                  <w:tcW w:type="dxa" w:w="22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4</w:t>
                  </w:r>
                </w:p>
              </w:tc>
              <w:tc>
                <w:tcPr>
                  <w:tcW w:type="dxa" w:w="416"/>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全局摄像机</w:t>
                  </w:r>
                </w:p>
              </w:tc>
              <w:tc>
                <w:tcPr>
                  <w:tcW w:type="dxa" w:w="1355"/>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ind w:left="45"/>
                    <w:jc w:val="both"/>
                  </w:pPr>
                  <w:r>
                    <w:rPr>
                      <w:rFonts w:ascii="仿宋_GB2312" w:hAnsi="仿宋_GB2312" w:cs="仿宋_GB2312" w:eastAsia="仿宋_GB2312"/>
                      <w:sz w:val="21"/>
                      <w:color w:val="000000"/>
                    </w:rPr>
                    <w:t>像素：全景</w:t>
                  </w:r>
                  <w:r>
                    <w:rPr>
                      <w:rFonts w:ascii="仿宋_GB2312" w:hAnsi="仿宋_GB2312" w:cs="仿宋_GB2312" w:eastAsia="仿宋_GB2312"/>
                      <w:sz w:val="21"/>
                      <w:color w:val="000000"/>
                    </w:rPr>
                    <w:t>≥400W，细节≥400W</w:t>
                  </w:r>
                </w:p>
                <w:p>
                  <w:pPr>
                    <w:pStyle w:val="null3"/>
                    <w:ind w:left="45"/>
                    <w:jc w:val="both"/>
                  </w:pPr>
                  <w:r>
                    <w:rPr>
                      <w:rFonts w:ascii="仿宋_GB2312" w:hAnsi="仿宋_GB2312" w:cs="仿宋_GB2312" w:eastAsia="仿宋_GB2312"/>
                      <w:sz w:val="21"/>
                      <w:color w:val="000000"/>
                    </w:rPr>
                    <w:t>焦距</w:t>
                  </w:r>
                  <w:r>
                    <w:rPr>
                      <w:rFonts w:ascii="仿宋_GB2312" w:hAnsi="仿宋_GB2312" w:cs="仿宋_GB2312" w:eastAsia="仿宋_GB2312"/>
                      <w:sz w:val="21"/>
                      <w:color w:val="000000"/>
                    </w:rPr>
                    <w:t>: 全景≥4 mm，细节≥13～52 mm，</w:t>
                  </w:r>
                </w:p>
                <w:p>
                  <w:pPr>
                    <w:pStyle w:val="null3"/>
                    <w:ind w:left="45"/>
                    <w:jc w:val="both"/>
                  </w:pPr>
                  <w:r>
                    <w:rPr>
                      <w:rFonts w:ascii="仿宋_GB2312" w:hAnsi="仿宋_GB2312" w:cs="仿宋_GB2312" w:eastAsia="仿宋_GB2312"/>
                      <w:sz w:val="21"/>
                      <w:color w:val="000000"/>
                    </w:rPr>
                    <w:t>视场角</w:t>
                  </w:r>
                  <w:r>
                    <w:rPr>
                      <w:rFonts w:ascii="仿宋_GB2312" w:hAnsi="仿宋_GB2312" w:cs="仿宋_GB2312" w:eastAsia="仿宋_GB2312"/>
                      <w:sz w:val="21"/>
                      <w:color w:val="000000"/>
                    </w:rPr>
                    <w:t>:</w:t>
                  </w:r>
                </w:p>
                <w:p>
                  <w:pPr>
                    <w:pStyle w:val="null3"/>
                    <w:ind w:left="45"/>
                    <w:jc w:val="left"/>
                  </w:pPr>
                  <w:r>
                    <w:rPr>
                      <w:rFonts w:ascii="仿宋_GB2312" w:hAnsi="仿宋_GB2312" w:cs="仿宋_GB2312" w:eastAsia="仿宋_GB2312"/>
                      <w:sz w:val="21"/>
                      <w:color w:val="000000"/>
                    </w:rPr>
                    <w:t>全景水平：</w:t>
                  </w:r>
                  <w:r>
                    <w:rPr>
                      <w:rFonts w:ascii="仿宋_GB2312" w:hAnsi="仿宋_GB2312" w:cs="仿宋_GB2312" w:eastAsia="仿宋_GB2312"/>
                      <w:sz w:val="21"/>
                      <w:color w:val="000000"/>
                    </w:rPr>
                    <w:t>≥88.2°垂直：≥47.1°,</w:t>
                  </w:r>
                </w:p>
                <w:p>
                  <w:pPr>
                    <w:pStyle w:val="null3"/>
                    <w:ind w:left="45"/>
                    <w:jc w:val="left"/>
                  </w:pPr>
                  <w:r>
                    <w:rPr>
                      <w:rFonts w:ascii="仿宋_GB2312" w:hAnsi="仿宋_GB2312" w:cs="仿宋_GB2312" w:eastAsia="仿宋_GB2312"/>
                      <w:sz w:val="21"/>
                      <w:color w:val="000000"/>
                    </w:rPr>
                    <w:t>对角线：</w:t>
                  </w:r>
                  <w:r>
                    <w:rPr>
                      <w:rFonts w:ascii="仿宋_GB2312" w:hAnsi="仿宋_GB2312" w:cs="仿宋_GB2312" w:eastAsia="仿宋_GB2312"/>
                      <w:sz w:val="21"/>
                      <w:color w:val="000000"/>
                    </w:rPr>
                    <w:t>≥105°</w:t>
                  </w:r>
                  <w:r>
                    <w:rPr>
                      <w:rFonts w:ascii="仿宋_GB2312" w:hAnsi="仿宋_GB2312" w:cs="仿宋_GB2312" w:eastAsia="仿宋_GB2312"/>
                      <w:sz w:val="21"/>
                      <w:color w:val="000000"/>
                    </w:rPr>
                    <w:t>；</w:t>
                  </w:r>
                </w:p>
                <w:p>
                  <w:pPr>
                    <w:pStyle w:val="null3"/>
                    <w:ind w:left="45"/>
                    <w:jc w:val="both"/>
                  </w:pPr>
                  <w:r>
                    <w:rPr>
                      <w:rFonts w:ascii="仿宋_GB2312" w:hAnsi="仿宋_GB2312" w:cs="仿宋_GB2312" w:eastAsia="仿宋_GB2312"/>
                      <w:sz w:val="21"/>
                      <w:color w:val="000000"/>
                    </w:rPr>
                    <w:t>细节水平：</w:t>
                  </w:r>
                  <w:r>
                    <w:rPr>
                      <w:rFonts w:ascii="仿宋_GB2312" w:hAnsi="仿宋_GB2312" w:cs="仿宋_GB2312" w:eastAsia="仿宋_GB2312"/>
                      <w:sz w:val="21"/>
                      <w:color w:val="000000"/>
                    </w:rPr>
                    <w:t>≥36～13.1°垂直：≥20.3～7.3° 对角线：≥41～14.85°</w:t>
                  </w:r>
                </w:p>
                <w:p>
                  <w:pPr>
                    <w:pStyle w:val="null3"/>
                    <w:ind w:left="45"/>
                    <w:jc w:val="both"/>
                  </w:pPr>
                  <w:r>
                    <w:rPr>
                      <w:rFonts w:ascii="仿宋_GB2312" w:hAnsi="仿宋_GB2312" w:cs="仿宋_GB2312" w:eastAsia="仿宋_GB2312"/>
                      <w:sz w:val="21"/>
                      <w:color w:val="000000"/>
                    </w:rPr>
                    <w:t>白光照射距离</w:t>
                  </w:r>
                  <w:r>
                    <w:rPr>
                      <w:rFonts w:ascii="仿宋_GB2312" w:hAnsi="仿宋_GB2312" w:cs="仿宋_GB2312" w:eastAsia="仿宋_GB2312"/>
                      <w:sz w:val="21"/>
                      <w:color w:val="000000"/>
                    </w:rPr>
                    <w:t>:【全景】≥50 m 监控</w:t>
                  </w:r>
                  <w:r>
                    <w:rPr>
                      <w:rFonts w:ascii="仿宋_GB2312" w:hAnsi="仿宋_GB2312" w:cs="仿宋_GB2312" w:eastAsia="仿宋_GB2312"/>
                      <w:sz w:val="21"/>
                      <w:color w:val="000000"/>
                    </w:rPr>
                    <w:t>；</w:t>
                  </w:r>
                  <w:r>
                    <w:rPr>
                      <w:rFonts w:ascii="仿宋_GB2312" w:hAnsi="仿宋_GB2312" w:cs="仿宋_GB2312" w:eastAsia="仿宋_GB2312"/>
                      <w:sz w:val="21"/>
                      <w:color w:val="000000"/>
                    </w:rPr>
                    <w:t>细节</w:t>
                  </w:r>
                  <w:r>
                    <w:rPr>
                      <w:rFonts w:ascii="仿宋_GB2312" w:hAnsi="仿宋_GB2312" w:cs="仿宋_GB2312" w:eastAsia="仿宋_GB2312"/>
                      <w:sz w:val="21"/>
                      <w:color w:val="000000"/>
                    </w:rPr>
                    <w:t>≥30 m</w:t>
                  </w:r>
                </w:p>
                <w:p>
                  <w:pPr>
                    <w:pStyle w:val="null3"/>
                    <w:ind w:left="45"/>
                    <w:jc w:val="both"/>
                  </w:pPr>
                  <w:r>
                    <w:rPr>
                      <w:rFonts w:ascii="仿宋_GB2312" w:hAnsi="仿宋_GB2312" w:cs="仿宋_GB2312" w:eastAsia="仿宋_GB2312"/>
                      <w:sz w:val="21"/>
                      <w:color w:val="000000"/>
                    </w:rPr>
                    <w:t>人体最远检测距离可达</w:t>
                  </w:r>
                  <w:r>
                    <w:rPr>
                      <w:rFonts w:ascii="仿宋_GB2312" w:hAnsi="仿宋_GB2312" w:cs="仿宋_GB2312" w:eastAsia="仿宋_GB2312"/>
                      <w:sz w:val="21"/>
                      <w:color w:val="000000"/>
                    </w:rPr>
                    <w:t>40 m，人脸最远检测距离可达 30 m，车辆最远检测距离15 m</w:t>
                  </w:r>
                </w:p>
                <w:p>
                  <w:pPr>
                    <w:pStyle w:val="null3"/>
                    <w:ind w:left="45"/>
                    <w:jc w:val="both"/>
                  </w:pPr>
                  <w:r>
                    <w:rPr>
                      <w:rFonts w:ascii="仿宋_GB2312" w:hAnsi="仿宋_GB2312" w:cs="仿宋_GB2312" w:eastAsia="仿宋_GB2312"/>
                      <w:sz w:val="21"/>
                      <w:color w:val="000000"/>
                    </w:rPr>
                    <w:t>工作温湿度</w:t>
                  </w:r>
                  <w:r>
                    <w:rPr>
                      <w:rFonts w:ascii="仿宋_GB2312" w:hAnsi="仿宋_GB2312" w:cs="仿宋_GB2312" w:eastAsia="仿宋_GB2312"/>
                      <w:sz w:val="21"/>
                      <w:color w:val="000000"/>
                    </w:rPr>
                    <w:t>: ≥-40℃</w:t>
                  </w:r>
                  <w:r>
                    <w:rPr>
                      <w:rFonts w:ascii="仿宋_GB2312" w:hAnsi="仿宋_GB2312" w:cs="仿宋_GB2312" w:eastAsia="仿宋_GB2312"/>
                      <w:sz w:val="21"/>
                      <w:color w:val="000000"/>
                    </w:rPr>
                    <w:t>～</w:t>
                  </w:r>
                  <w:r>
                    <w:rPr>
                      <w:rFonts w:ascii="仿宋_GB2312" w:hAnsi="仿宋_GB2312" w:cs="仿宋_GB2312" w:eastAsia="仿宋_GB2312"/>
                      <w:sz w:val="21"/>
                      <w:color w:val="000000"/>
                    </w:rPr>
                    <w:t>70℃</w:t>
                  </w:r>
                  <w:r>
                    <w:rPr>
                      <w:rFonts w:ascii="仿宋_GB2312" w:hAnsi="仿宋_GB2312" w:cs="仿宋_GB2312" w:eastAsia="仿宋_GB2312"/>
                      <w:sz w:val="21"/>
                      <w:color w:val="000000"/>
                    </w:rPr>
                    <w:t>；</w:t>
                  </w:r>
                </w:p>
                <w:p>
                  <w:pPr>
                    <w:pStyle w:val="null3"/>
                    <w:ind w:left="45"/>
                    <w:jc w:val="both"/>
                  </w:pPr>
                  <w:r>
                    <w:rPr>
                      <w:rFonts w:ascii="仿宋_GB2312" w:hAnsi="仿宋_GB2312" w:cs="仿宋_GB2312" w:eastAsia="仿宋_GB2312"/>
                      <w:sz w:val="21"/>
                      <w:color w:val="000000"/>
                    </w:rPr>
                    <w:t>湿度小于</w:t>
                  </w:r>
                  <w:r>
                    <w:rPr>
                      <w:rFonts w:ascii="仿宋_GB2312" w:hAnsi="仿宋_GB2312" w:cs="仿宋_GB2312" w:eastAsia="仿宋_GB2312"/>
                      <w:sz w:val="21"/>
                      <w:color w:val="000000"/>
                    </w:rPr>
                    <w:t>90%</w:t>
                  </w:r>
                </w:p>
                <w:p>
                  <w:pPr>
                    <w:pStyle w:val="null3"/>
                    <w:ind w:left="45"/>
                    <w:jc w:val="both"/>
                  </w:pPr>
                  <w:r>
                    <w:rPr>
                      <w:rFonts w:ascii="仿宋_GB2312" w:hAnsi="仿宋_GB2312" w:cs="仿宋_GB2312" w:eastAsia="仿宋_GB2312"/>
                      <w:sz w:val="21"/>
                      <w:color w:val="000000"/>
                    </w:rPr>
                    <w:t>防护</w:t>
                  </w:r>
                  <w:r>
                    <w:rPr>
                      <w:rFonts w:ascii="仿宋_GB2312" w:hAnsi="仿宋_GB2312" w:cs="仿宋_GB2312" w:eastAsia="仿宋_GB2312"/>
                      <w:sz w:val="21"/>
                      <w:color w:val="000000"/>
                    </w:rPr>
                    <w:t>: ≥ IP66</w:t>
                  </w:r>
                </w:p>
              </w:tc>
              <w:tc>
                <w:tcPr>
                  <w:tcW w:type="dxa" w:w="169"/>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台</w:t>
                  </w:r>
                </w:p>
              </w:tc>
              <w:tc>
                <w:tcPr>
                  <w:tcW w:type="dxa" w:w="148"/>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8</w:t>
                  </w:r>
                </w:p>
              </w:tc>
              <w:tc>
                <w:tcPr>
                  <w:tcW w:type="dxa" w:w="233"/>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p>
              </w:tc>
            </w:tr>
            <w:tr>
              <w:tc>
                <w:tcPr>
                  <w:tcW w:type="dxa" w:w="22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5</w:t>
                  </w:r>
                </w:p>
              </w:tc>
              <w:tc>
                <w:tcPr>
                  <w:tcW w:type="dxa" w:w="416"/>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摄像机安装</w:t>
                  </w:r>
                </w:p>
                <w:p>
                  <w:pPr>
                    <w:pStyle w:val="null3"/>
                    <w:jc w:val="center"/>
                  </w:pPr>
                  <w:r>
                    <w:rPr>
                      <w:rFonts w:ascii="仿宋_GB2312" w:hAnsi="仿宋_GB2312" w:cs="仿宋_GB2312" w:eastAsia="仿宋_GB2312"/>
                      <w:sz w:val="21"/>
                      <w:color w:val="000000"/>
                    </w:rPr>
                    <w:t>支架</w:t>
                  </w:r>
                </w:p>
              </w:tc>
              <w:tc>
                <w:tcPr>
                  <w:tcW w:type="dxa" w:w="1355"/>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ind w:left="45"/>
                    <w:jc w:val="both"/>
                  </w:pPr>
                  <w:r>
                    <w:rPr>
                      <w:rFonts w:ascii="仿宋_GB2312" w:hAnsi="仿宋_GB2312" w:cs="仿宋_GB2312" w:eastAsia="仿宋_GB2312"/>
                      <w:sz w:val="21"/>
                      <w:color w:val="000000"/>
                    </w:rPr>
                    <w:t>配套</w:t>
                  </w:r>
                </w:p>
              </w:tc>
              <w:tc>
                <w:tcPr>
                  <w:tcW w:type="dxa" w:w="169"/>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套</w:t>
                  </w:r>
                </w:p>
              </w:tc>
              <w:tc>
                <w:tcPr>
                  <w:tcW w:type="dxa" w:w="148"/>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8</w:t>
                  </w:r>
                </w:p>
              </w:tc>
              <w:tc>
                <w:tcPr>
                  <w:tcW w:type="dxa" w:w="233"/>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p>
              </w:tc>
            </w:tr>
            <w:tr>
              <w:tc>
                <w:tcPr>
                  <w:tcW w:type="dxa" w:w="22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6</w:t>
                  </w:r>
                </w:p>
              </w:tc>
              <w:tc>
                <w:tcPr>
                  <w:tcW w:type="dxa" w:w="416"/>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IP 音柱</w:t>
                  </w:r>
                </w:p>
              </w:tc>
              <w:tc>
                <w:tcPr>
                  <w:tcW w:type="dxa" w:w="1355"/>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ind w:left="45"/>
                    <w:jc w:val="both"/>
                  </w:pPr>
                  <w:r>
                    <w:rPr>
                      <w:rFonts w:ascii="仿宋_GB2312" w:hAnsi="仿宋_GB2312" w:cs="仿宋_GB2312" w:eastAsia="仿宋_GB2312"/>
                      <w:sz w:val="21"/>
                      <w:color w:val="000000"/>
                    </w:rPr>
                    <w:t>声压：</w:t>
                  </w:r>
                  <w:r>
                    <w:rPr>
                      <w:rFonts w:ascii="仿宋_GB2312" w:hAnsi="仿宋_GB2312" w:cs="仿宋_GB2312" w:eastAsia="仿宋_GB2312"/>
                      <w:sz w:val="21"/>
                      <w:color w:val="000000"/>
                    </w:rPr>
                    <w:t>≥105dB/1m/1W</w:t>
                  </w:r>
                </w:p>
                <w:p>
                  <w:pPr>
                    <w:pStyle w:val="null3"/>
                    <w:ind w:left="45"/>
                    <w:jc w:val="both"/>
                  </w:pPr>
                  <w:r>
                    <w:rPr>
                      <w:rFonts w:ascii="仿宋_GB2312" w:hAnsi="仿宋_GB2312" w:cs="仿宋_GB2312" w:eastAsia="仿宋_GB2312"/>
                      <w:sz w:val="21"/>
                      <w:color w:val="000000"/>
                    </w:rPr>
                    <w:t>最大声压级</w:t>
                  </w:r>
                  <w:r>
                    <w:rPr>
                      <w:rFonts w:ascii="仿宋_GB2312" w:hAnsi="仿宋_GB2312" w:cs="仿宋_GB2312" w:eastAsia="仿宋_GB2312"/>
                      <w:sz w:val="21"/>
                      <w:color w:val="000000"/>
                    </w:rPr>
                    <w:t>≥117dB</w:t>
                  </w:r>
                </w:p>
                <w:p>
                  <w:pPr>
                    <w:pStyle w:val="null3"/>
                    <w:ind w:left="45"/>
                    <w:jc w:val="both"/>
                  </w:pPr>
                  <w:r>
                    <w:rPr>
                      <w:rFonts w:ascii="仿宋_GB2312" w:hAnsi="仿宋_GB2312" w:cs="仿宋_GB2312" w:eastAsia="仿宋_GB2312"/>
                      <w:sz w:val="21"/>
                      <w:color w:val="000000"/>
                    </w:rPr>
                    <w:t>频响范围：</w:t>
                  </w:r>
                  <w:r>
                    <w:rPr>
                      <w:rFonts w:ascii="仿宋_GB2312" w:hAnsi="仿宋_GB2312" w:cs="仿宋_GB2312" w:eastAsia="仿宋_GB2312"/>
                      <w:sz w:val="21"/>
                      <w:color w:val="000000"/>
                    </w:rPr>
                    <w:t>100Hz - 20KHz</w:t>
                  </w:r>
                </w:p>
                <w:p>
                  <w:pPr>
                    <w:pStyle w:val="null3"/>
                    <w:ind w:left="45"/>
                    <w:jc w:val="both"/>
                  </w:pPr>
                  <w:r>
                    <w:rPr>
                      <w:rFonts w:ascii="仿宋_GB2312" w:hAnsi="仿宋_GB2312" w:cs="仿宋_GB2312" w:eastAsia="仿宋_GB2312"/>
                      <w:sz w:val="21"/>
                      <w:color w:val="000000"/>
                    </w:rPr>
                    <w:t>覆盖面参数：水平覆盖角度：</w:t>
                  </w:r>
                  <w:r>
                    <w:rPr>
                      <w:rFonts w:ascii="仿宋_GB2312" w:hAnsi="仿宋_GB2312" w:cs="仿宋_GB2312" w:eastAsia="仿宋_GB2312"/>
                      <w:sz w:val="21"/>
                      <w:color w:val="000000"/>
                    </w:rPr>
                    <w:t>≥50°</w:t>
                  </w:r>
                  <w:r>
                    <w:rPr>
                      <w:rFonts w:ascii="仿宋_GB2312" w:hAnsi="仿宋_GB2312" w:cs="仿宋_GB2312" w:eastAsia="仿宋_GB2312"/>
                      <w:sz w:val="21"/>
                      <w:color w:val="000000"/>
                    </w:rPr>
                    <w:t>，</w:t>
                  </w:r>
                </w:p>
                <w:p>
                  <w:pPr>
                    <w:pStyle w:val="null3"/>
                    <w:ind w:left="45"/>
                    <w:jc w:val="both"/>
                  </w:pPr>
                  <w:r>
                    <w:rPr>
                      <w:rFonts w:ascii="仿宋_GB2312" w:hAnsi="仿宋_GB2312" w:cs="仿宋_GB2312" w:eastAsia="仿宋_GB2312"/>
                      <w:sz w:val="21"/>
                      <w:color w:val="000000"/>
                    </w:rPr>
                    <w:t>垂直覆盖角度：</w:t>
                  </w:r>
                  <w:r>
                    <w:rPr>
                      <w:rFonts w:ascii="仿宋_GB2312" w:hAnsi="仿宋_GB2312" w:cs="仿宋_GB2312" w:eastAsia="仿宋_GB2312"/>
                      <w:sz w:val="21"/>
                      <w:color w:val="000000"/>
                    </w:rPr>
                    <w:t>≥50°</w:t>
                  </w:r>
                </w:p>
                <w:p>
                  <w:pPr>
                    <w:pStyle w:val="null3"/>
                    <w:ind w:left="45"/>
                    <w:jc w:val="both"/>
                  </w:pPr>
                  <w:r>
                    <w:rPr>
                      <w:rFonts w:ascii="仿宋_GB2312" w:hAnsi="仿宋_GB2312" w:cs="仿宋_GB2312" w:eastAsia="仿宋_GB2312"/>
                      <w:sz w:val="21"/>
                      <w:color w:val="000000"/>
                    </w:rPr>
                    <w:t>有效距离</w:t>
                  </w:r>
                  <w:r>
                    <w:rPr>
                      <w:rFonts w:ascii="仿宋_GB2312" w:hAnsi="仿宋_GB2312" w:cs="仿宋_GB2312" w:eastAsia="仿宋_GB2312"/>
                      <w:sz w:val="21"/>
                      <w:color w:val="000000"/>
                    </w:rPr>
                    <w:t>≥70m</w:t>
                  </w:r>
                </w:p>
                <w:p>
                  <w:pPr>
                    <w:pStyle w:val="null3"/>
                    <w:ind w:left="45"/>
                    <w:jc w:val="both"/>
                  </w:pPr>
                  <w:r>
                    <w:rPr>
                      <w:rFonts w:ascii="仿宋_GB2312" w:hAnsi="仿宋_GB2312" w:cs="仿宋_GB2312" w:eastAsia="仿宋_GB2312"/>
                      <w:sz w:val="21"/>
                      <w:color w:val="000000"/>
                    </w:rPr>
                    <w:t>网络接口：</w:t>
                  </w:r>
                  <w:r>
                    <w:rPr>
                      <w:rFonts w:ascii="仿宋_GB2312" w:hAnsi="仿宋_GB2312" w:cs="仿宋_GB2312" w:eastAsia="仿宋_GB2312"/>
                      <w:sz w:val="21"/>
                      <w:color w:val="000000"/>
                    </w:rPr>
                    <w:t>10/100Mbps</w:t>
                  </w:r>
                </w:p>
                <w:p>
                  <w:pPr>
                    <w:pStyle w:val="null3"/>
                    <w:ind w:left="45"/>
                    <w:jc w:val="both"/>
                  </w:pPr>
                  <w:r>
                    <w:rPr>
                      <w:rFonts w:ascii="仿宋_GB2312" w:hAnsi="仿宋_GB2312" w:cs="仿宋_GB2312" w:eastAsia="仿宋_GB2312"/>
                      <w:sz w:val="21"/>
                      <w:color w:val="000000"/>
                    </w:rPr>
                    <w:t>防护等级：</w:t>
                  </w:r>
                  <w:r>
                    <w:rPr>
                      <w:rFonts w:ascii="仿宋_GB2312" w:hAnsi="仿宋_GB2312" w:cs="仿宋_GB2312" w:eastAsia="仿宋_GB2312"/>
                      <w:sz w:val="21"/>
                      <w:color w:val="000000"/>
                    </w:rPr>
                    <w:t>≥IP65</w:t>
                  </w:r>
                </w:p>
              </w:tc>
              <w:tc>
                <w:tcPr>
                  <w:tcW w:type="dxa" w:w="169"/>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台</w:t>
                  </w:r>
                </w:p>
              </w:tc>
              <w:tc>
                <w:tcPr>
                  <w:tcW w:type="dxa" w:w="148"/>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8</w:t>
                  </w:r>
                </w:p>
              </w:tc>
              <w:tc>
                <w:tcPr>
                  <w:tcW w:type="dxa" w:w="233"/>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p>
              </w:tc>
            </w:tr>
            <w:tr>
              <w:tc>
                <w:tcPr>
                  <w:tcW w:type="dxa" w:w="22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7</w:t>
                  </w:r>
                </w:p>
              </w:tc>
              <w:tc>
                <w:tcPr>
                  <w:tcW w:type="dxa" w:w="416"/>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太阳能板支</w:t>
                  </w:r>
                </w:p>
                <w:p>
                  <w:pPr>
                    <w:pStyle w:val="null3"/>
                    <w:jc w:val="center"/>
                  </w:pPr>
                  <w:r>
                    <w:rPr>
                      <w:rFonts w:ascii="仿宋_GB2312" w:hAnsi="仿宋_GB2312" w:cs="仿宋_GB2312" w:eastAsia="仿宋_GB2312"/>
                      <w:sz w:val="21"/>
                      <w:color w:val="000000"/>
                    </w:rPr>
                    <w:t>架</w:t>
                  </w:r>
                </w:p>
              </w:tc>
              <w:tc>
                <w:tcPr>
                  <w:tcW w:type="dxa" w:w="1355"/>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ind w:left="45"/>
                    <w:jc w:val="both"/>
                  </w:pPr>
                  <w:r>
                    <w:rPr>
                      <w:rFonts w:ascii="仿宋_GB2312" w:hAnsi="仿宋_GB2312" w:cs="仿宋_GB2312" w:eastAsia="仿宋_GB2312"/>
                      <w:sz w:val="21"/>
                      <w:color w:val="000000"/>
                    </w:rPr>
                    <w:t>定制</w:t>
                  </w:r>
                </w:p>
              </w:tc>
              <w:tc>
                <w:tcPr>
                  <w:tcW w:type="dxa" w:w="169"/>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套</w:t>
                  </w:r>
                </w:p>
              </w:tc>
              <w:tc>
                <w:tcPr>
                  <w:tcW w:type="dxa" w:w="148"/>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32</w:t>
                  </w:r>
                </w:p>
              </w:tc>
              <w:tc>
                <w:tcPr>
                  <w:tcW w:type="dxa" w:w="233"/>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p>
              </w:tc>
            </w:tr>
            <w:tr>
              <w:tc>
                <w:tcPr>
                  <w:tcW w:type="dxa" w:w="22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8</w:t>
                  </w:r>
                </w:p>
              </w:tc>
              <w:tc>
                <w:tcPr>
                  <w:tcW w:type="dxa" w:w="416"/>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太阳能板</w:t>
                  </w:r>
                </w:p>
              </w:tc>
              <w:tc>
                <w:tcPr>
                  <w:tcW w:type="dxa" w:w="1355"/>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ind w:left="45"/>
                    <w:jc w:val="both"/>
                  </w:pPr>
                  <w:r>
                    <w:rPr>
                      <w:rFonts w:ascii="仿宋_GB2312" w:hAnsi="仿宋_GB2312" w:cs="仿宋_GB2312" w:eastAsia="仿宋_GB2312"/>
                      <w:sz w:val="21"/>
                      <w:color w:val="000000"/>
                    </w:rPr>
                    <w:t>最大功率：</w:t>
                  </w:r>
                  <w:r>
                    <w:rPr>
                      <w:rFonts w:ascii="仿宋_GB2312" w:hAnsi="仿宋_GB2312" w:cs="仿宋_GB2312" w:eastAsia="仿宋_GB2312"/>
                      <w:sz w:val="21"/>
                      <w:color w:val="000000"/>
                    </w:rPr>
                    <w:t>≥200Wp/块</w:t>
                  </w:r>
                </w:p>
                <w:p>
                  <w:pPr>
                    <w:pStyle w:val="null3"/>
                    <w:ind w:left="45"/>
                    <w:jc w:val="both"/>
                  </w:pPr>
                  <w:r>
                    <w:rPr>
                      <w:rFonts w:ascii="仿宋_GB2312" w:hAnsi="仿宋_GB2312" w:cs="仿宋_GB2312" w:eastAsia="仿宋_GB2312"/>
                      <w:sz w:val="21"/>
                      <w:color w:val="000000"/>
                    </w:rPr>
                    <w:t>最佳工作电压：</w:t>
                  </w:r>
                  <w:r>
                    <w:rPr>
                      <w:rFonts w:ascii="仿宋_GB2312" w:hAnsi="仿宋_GB2312" w:cs="仿宋_GB2312" w:eastAsia="仿宋_GB2312"/>
                      <w:sz w:val="21"/>
                      <w:color w:val="000000"/>
                    </w:rPr>
                    <w:t>36.0V</w:t>
                  </w:r>
                </w:p>
                <w:p>
                  <w:pPr>
                    <w:pStyle w:val="null3"/>
                    <w:ind w:left="45"/>
                    <w:jc w:val="both"/>
                  </w:pPr>
                  <w:r>
                    <w:rPr>
                      <w:rFonts w:ascii="仿宋_GB2312" w:hAnsi="仿宋_GB2312" w:cs="仿宋_GB2312" w:eastAsia="仿宋_GB2312"/>
                      <w:sz w:val="21"/>
                      <w:color w:val="000000"/>
                    </w:rPr>
                    <w:t>最佳工作电流：</w:t>
                  </w:r>
                  <w:r>
                    <w:rPr>
                      <w:rFonts w:ascii="仿宋_GB2312" w:hAnsi="仿宋_GB2312" w:cs="仿宋_GB2312" w:eastAsia="仿宋_GB2312"/>
                      <w:sz w:val="21"/>
                      <w:color w:val="000000"/>
                    </w:rPr>
                    <w:t>5.56A</w:t>
                  </w:r>
                </w:p>
                <w:p>
                  <w:pPr>
                    <w:pStyle w:val="null3"/>
                    <w:ind w:left="45"/>
                    <w:jc w:val="both"/>
                  </w:pPr>
                  <w:r>
                    <w:rPr>
                      <w:rFonts w:ascii="仿宋_GB2312" w:hAnsi="仿宋_GB2312" w:cs="仿宋_GB2312" w:eastAsia="仿宋_GB2312"/>
                      <w:sz w:val="21"/>
                      <w:color w:val="000000"/>
                    </w:rPr>
                    <w:t>组件效率：</w:t>
                  </w:r>
                  <w:r>
                    <w:rPr>
                      <w:rFonts w:ascii="仿宋_GB2312" w:hAnsi="仿宋_GB2312" w:cs="仿宋_GB2312" w:eastAsia="仿宋_GB2312"/>
                      <w:sz w:val="21"/>
                      <w:color w:val="000000"/>
                    </w:rPr>
                    <w:t>21.1%</w:t>
                  </w:r>
                </w:p>
                <w:p>
                  <w:pPr>
                    <w:pStyle w:val="null3"/>
                    <w:ind w:left="45"/>
                    <w:jc w:val="both"/>
                  </w:pPr>
                  <w:r>
                    <w:rPr>
                      <w:rFonts w:ascii="仿宋_GB2312" w:hAnsi="仿宋_GB2312" w:cs="仿宋_GB2312" w:eastAsia="仿宋_GB2312"/>
                      <w:sz w:val="21"/>
                      <w:color w:val="000000"/>
                    </w:rPr>
                    <w:t>工作温度范围：</w:t>
                  </w:r>
                  <w:r>
                    <w:rPr>
                      <w:rFonts w:ascii="仿宋_GB2312" w:hAnsi="仿宋_GB2312" w:cs="仿宋_GB2312" w:eastAsia="仿宋_GB2312"/>
                      <w:sz w:val="21"/>
                      <w:color w:val="000000"/>
                    </w:rPr>
                    <w:t>-40～+85℃</w:t>
                  </w:r>
                </w:p>
              </w:tc>
              <w:tc>
                <w:tcPr>
                  <w:tcW w:type="dxa" w:w="169"/>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块</w:t>
                  </w:r>
                </w:p>
              </w:tc>
              <w:tc>
                <w:tcPr>
                  <w:tcW w:type="dxa" w:w="148"/>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32</w:t>
                  </w:r>
                </w:p>
              </w:tc>
              <w:tc>
                <w:tcPr>
                  <w:tcW w:type="dxa" w:w="233"/>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p>
              </w:tc>
            </w:tr>
            <w:tr>
              <w:tc>
                <w:tcPr>
                  <w:tcW w:type="dxa" w:w="22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9</w:t>
                  </w:r>
                </w:p>
              </w:tc>
              <w:tc>
                <w:tcPr>
                  <w:tcW w:type="dxa" w:w="416"/>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太阳能蓄电</w:t>
                  </w:r>
                </w:p>
                <w:p>
                  <w:pPr>
                    <w:pStyle w:val="null3"/>
                    <w:jc w:val="center"/>
                  </w:pPr>
                  <w:r>
                    <w:rPr>
                      <w:rFonts w:ascii="仿宋_GB2312" w:hAnsi="仿宋_GB2312" w:cs="仿宋_GB2312" w:eastAsia="仿宋_GB2312"/>
                      <w:sz w:val="21"/>
                      <w:color w:val="000000"/>
                    </w:rPr>
                    <w:t>池</w:t>
                  </w:r>
                </w:p>
              </w:tc>
              <w:tc>
                <w:tcPr>
                  <w:tcW w:type="dxa" w:w="1355"/>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ind w:left="45"/>
                    <w:jc w:val="both"/>
                  </w:pPr>
                  <w:r>
                    <w:rPr>
                      <w:rFonts w:ascii="仿宋_GB2312" w:hAnsi="仿宋_GB2312" w:cs="仿宋_GB2312" w:eastAsia="仿宋_GB2312"/>
                      <w:sz w:val="21"/>
                      <w:color w:val="000000"/>
                    </w:rPr>
                    <w:t>额定电压：</w:t>
                  </w:r>
                  <w:r>
                    <w:rPr>
                      <w:rFonts w:ascii="仿宋_GB2312" w:hAnsi="仿宋_GB2312" w:cs="仿宋_GB2312" w:eastAsia="仿宋_GB2312"/>
                      <w:sz w:val="21"/>
                      <w:color w:val="000000"/>
                    </w:rPr>
                    <w:t>12V</w:t>
                  </w:r>
                </w:p>
                <w:p>
                  <w:pPr>
                    <w:pStyle w:val="null3"/>
                    <w:ind w:left="45"/>
                    <w:jc w:val="both"/>
                  </w:pPr>
                  <w:r>
                    <w:rPr>
                      <w:rFonts w:ascii="仿宋_GB2312" w:hAnsi="仿宋_GB2312" w:cs="仿宋_GB2312" w:eastAsia="仿宋_GB2312"/>
                      <w:sz w:val="21"/>
                      <w:color w:val="000000"/>
                    </w:rPr>
                    <w:t>额定容量：</w:t>
                  </w:r>
                  <w:r>
                    <w:rPr>
                      <w:rFonts w:ascii="仿宋_GB2312" w:hAnsi="仿宋_GB2312" w:cs="仿宋_GB2312" w:eastAsia="仿宋_GB2312"/>
                      <w:sz w:val="21"/>
                      <w:color w:val="000000"/>
                    </w:rPr>
                    <w:t>≥100AH</w:t>
                  </w:r>
                </w:p>
                <w:p>
                  <w:pPr>
                    <w:pStyle w:val="null3"/>
                    <w:ind w:left="45"/>
                    <w:jc w:val="both"/>
                  </w:pPr>
                  <w:r>
                    <w:rPr>
                      <w:rFonts w:ascii="仿宋_GB2312" w:hAnsi="仿宋_GB2312" w:cs="仿宋_GB2312" w:eastAsia="仿宋_GB2312"/>
                      <w:sz w:val="21"/>
                      <w:color w:val="000000"/>
                    </w:rPr>
                    <w:t>适用温度范围：</w:t>
                  </w:r>
                  <w:r>
                    <w:rPr>
                      <w:rFonts w:ascii="仿宋_GB2312" w:hAnsi="仿宋_GB2312" w:cs="仿宋_GB2312" w:eastAsia="仿宋_GB2312"/>
                      <w:sz w:val="21"/>
                      <w:color w:val="000000"/>
                    </w:rPr>
                    <w:t>-50～65℃</w:t>
                  </w:r>
                </w:p>
                <w:p>
                  <w:pPr>
                    <w:pStyle w:val="null3"/>
                    <w:ind w:left="45"/>
                    <w:jc w:val="both"/>
                  </w:pPr>
                  <w:r>
                    <w:rPr>
                      <w:rFonts w:ascii="仿宋_GB2312" w:hAnsi="仿宋_GB2312" w:cs="仿宋_GB2312" w:eastAsia="仿宋_GB2312"/>
                      <w:sz w:val="21"/>
                      <w:color w:val="000000"/>
                    </w:rPr>
                    <w:t>低温工作性能：</w:t>
                  </w:r>
                  <w:r>
                    <w:rPr>
                      <w:rFonts w:ascii="仿宋_GB2312" w:hAnsi="仿宋_GB2312" w:cs="仿宋_GB2312" w:eastAsia="仿宋_GB2312"/>
                      <w:sz w:val="21"/>
                      <w:color w:val="000000"/>
                    </w:rPr>
                    <w:t>-30℃条件下蓄电池充放电效率不低于80%</w:t>
                  </w:r>
                </w:p>
                <w:p>
                  <w:pPr>
                    <w:pStyle w:val="null3"/>
                    <w:ind w:left="45"/>
                    <w:jc w:val="both"/>
                  </w:pPr>
                  <w:r>
                    <w:rPr>
                      <w:rFonts w:ascii="仿宋_GB2312" w:hAnsi="仿宋_GB2312" w:cs="仿宋_GB2312" w:eastAsia="仿宋_GB2312"/>
                      <w:sz w:val="21"/>
                      <w:color w:val="000000"/>
                    </w:rPr>
                    <w:t>高温工作性能：</w:t>
                  </w:r>
                  <w:r>
                    <w:rPr>
                      <w:rFonts w:ascii="仿宋_GB2312" w:hAnsi="仿宋_GB2312" w:cs="仿宋_GB2312" w:eastAsia="仿宋_GB2312"/>
                      <w:sz w:val="21"/>
                      <w:color w:val="000000"/>
                    </w:rPr>
                    <w:t>60℃条件下蓄电池充放电效率不低于95%</w:t>
                  </w:r>
                </w:p>
              </w:tc>
              <w:tc>
                <w:tcPr>
                  <w:tcW w:type="dxa" w:w="169"/>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块</w:t>
                  </w:r>
                </w:p>
              </w:tc>
              <w:tc>
                <w:tcPr>
                  <w:tcW w:type="dxa" w:w="148"/>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64</w:t>
                  </w:r>
                </w:p>
              </w:tc>
              <w:tc>
                <w:tcPr>
                  <w:tcW w:type="dxa" w:w="233"/>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p>
              </w:tc>
            </w:tr>
            <w:tr>
              <w:tc>
                <w:tcPr>
                  <w:tcW w:type="dxa" w:w="22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10</w:t>
                  </w:r>
                </w:p>
              </w:tc>
              <w:tc>
                <w:tcPr>
                  <w:tcW w:type="dxa" w:w="416"/>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电池防护箱</w:t>
                  </w:r>
                </w:p>
              </w:tc>
              <w:tc>
                <w:tcPr>
                  <w:tcW w:type="dxa" w:w="1355"/>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ind w:left="45"/>
                    <w:jc w:val="both"/>
                  </w:pPr>
                  <w:r>
                    <w:rPr>
                      <w:rFonts w:ascii="仿宋_GB2312" w:hAnsi="仿宋_GB2312" w:cs="仿宋_GB2312" w:eastAsia="仿宋_GB2312"/>
                      <w:sz w:val="21"/>
                      <w:color w:val="000000"/>
                    </w:rPr>
                    <w:t>材质：聚丙烯</w:t>
                  </w:r>
                </w:p>
                <w:p>
                  <w:pPr>
                    <w:pStyle w:val="null3"/>
                    <w:ind w:left="45"/>
                    <w:jc w:val="both"/>
                  </w:pPr>
                  <w:r>
                    <w:rPr>
                      <w:rFonts w:ascii="仿宋_GB2312" w:hAnsi="仿宋_GB2312" w:cs="仿宋_GB2312" w:eastAsia="仿宋_GB2312"/>
                      <w:sz w:val="21"/>
                      <w:color w:val="000000"/>
                    </w:rPr>
                    <w:t>厚度：</w:t>
                  </w:r>
                  <w:r>
                    <w:rPr>
                      <w:rFonts w:ascii="仿宋_GB2312" w:hAnsi="仿宋_GB2312" w:cs="仿宋_GB2312" w:eastAsia="仿宋_GB2312"/>
                      <w:sz w:val="21"/>
                      <w:color w:val="000000"/>
                    </w:rPr>
                    <w:t>≥3mm</w:t>
                  </w:r>
                </w:p>
              </w:tc>
              <w:tc>
                <w:tcPr>
                  <w:tcW w:type="dxa" w:w="169"/>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套</w:t>
                  </w:r>
                </w:p>
              </w:tc>
              <w:tc>
                <w:tcPr>
                  <w:tcW w:type="dxa" w:w="148"/>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64</w:t>
                  </w:r>
                </w:p>
              </w:tc>
              <w:tc>
                <w:tcPr>
                  <w:tcW w:type="dxa" w:w="233"/>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p>
              </w:tc>
            </w:tr>
            <w:tr>
              <w:tc>
                <w:tcPr>
                  <w:tcW w:type="dxa" w:w="22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11</w:t>
                  </w:r>
                </w:p>
              </w:tc>
              <w:tc>
                <w:tcPr>
                  <w:tcW w:type="dxa" w:w="416"/>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无线网桥</w:t>
                  </w:r>
                </w:p>
              </w:tc>
              <w:tc>
                <w:tcPr>
                  <w:tcW w:type="dxa" w:w="1355"/>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ind w:left="45"/>
                    <w:jc w:val="both"/>
                  </w:pPr>
                  <w:r>
                    <w:rPr>
                      <w:rFonts w:ascii="仿宋_GB2312" w:hAnsi="仿宋_GB2312" w:cs="仿宋_GB2312" w:eastAsia="仿宋_GB2312"/>
                      <w:sz w:val="21"/>
                      <w:color w:val="000000"/>
                    </w:rPr>
                    <w:t>频段</w:t>
                  </w:r>
                  <w:r>
                    <w:rPr>
                      <w:rFonts w:ascii="仿宋_GB2312" w:hAnsi="仿宋_GB2312" w:cs="仿宋_GB2312" w:eastAsia="仿宋_GB2312"/>
                      <w:sz w:val="21"/>
                      <w:color w:val="000000"/>
                    </w:rPr>
                    <w:t>4920～6100MHz</w:t>
                  </w:r>
                </w:p>
                <w:p>
                  <w:pPr>
                    <w:pStyle w:val="null3"/>
                    <w:ind w:left="45"/>
                    <w:jc w:val="left"/>
                  </w:pPr>
                  <w:r>
                    <w:rPr>
                      <w:rFonts w:ascii="仿宋_GB2312" w:hAnsi="仿宋_GB2312" w:cs="仿宋_GB2312" w:eastAsia="仿宋_GB2312"/>
                      <w:sz w:val="21"/>
                      <w:color w:val="000000"/>
                    </w:rPr>
                    <w:t>灵敏度</w:t>
                  </w:r>
                  <w:r>
                    <w:rPr>
                      <w:rFonts w:ascii="仿宋_GB2312" w:hAnsi="仿宋_GB2312" w:cs="仿宋_GB2312" w:eastAsia="仿宋_GB2312"/>
                      <w:sz w:val="21"/>
                      <w:color w:val="000000"/>
                    </w:rPr>
                    <w:t>802.11a：-101dBm@6Mbps，-81dBm@54Mbps</w:t>
                  </w:r>
                </w:p>
                <w:p>
                  <w:pPr>
                    <w:pStyle w:val="null3"/>
                    <w:ind w:left="45"/>
                    <w:jc w:val="left"/>
                  </w:pPr>
                  <w:r>
                    <w:rPr>
                      <w:rFonts w:ascii="仿宋_GB2312" w:hAnsi="仿宋_GB2312" w:cs="仿宋_GB2312" w:eastAsia="仿宋_GB2312"/>
                      <w:sz w:val="21"/>
                      <w:color w:val="000000"/>
                    </w:rPr>
                    <w:t>802.11n HT20：-95dBm@MCS0/8，-75dBm@MCS7/15</w:t>
                  </w:r>
                </w:p>
                <w:p>
                  <w:pPr>
                    <w:pStyle w:val="null3"/>
                    <w:ind w:left="45"/>
                    <w:jc w:val="both"/>
                  </w:pPr>
                  <w:r>
                    <w:rPr>
                      <w:rFonts w:ascii="仿宋_GB2312" w:hAnsi="仿宋_GB2312" w:cs="仿宋_GB2312" w:eastAsia="仿宋_GB2312"/>
                      <w:sz w:val="21"/>
                      <w:color w:val="000000"/>
                    </w:rPr>
                    <w:t>802.11n HT40：-92dBm@MCS0/8，-74dBm@MCS7/15</w:t>
                  </w:r>
                </w:p>
                <w:p>
                  <w:pPr>
                    <w:pStyle w:val="null3"/>
                    <w:ind w:left="45"/>
                    <w:jc w:val="both"/>
                  </w:pPr>
                  <w:r>
                    <w:rPr>
                      <w:rFonts w:ascii="仿宋_GB2312" w:hAnsi="仿宋_GB2312" w:cs="仿宋_GB2312" w:eastAsia="仿宋_GB2312"/>
                      <w:sz w:val="21"/>
                      <w:color w:val="000000"/>
                    </w:rPr>
                    <w:t>调制方式</w:t>
                  </w:r>
                  <w:r>
                    <w:rPr>
                      <w:rFonts w:ascii="仿宋_GB2312" w:hAnsi="仿宋_GB2312" w:cs="仿宋_GB2312" w:eastAsia="仿宋_GB2312"/>
                      <w:sz w:val="21"/>
                      <w:color w:val="000000"/>
                    </w:rPr>
                    <w:t>OFDM：BPSK，QPSK，16QAM，64QAM</w:t>
                  </w:r>
                </w:p>
                <w:p>
                  <w:pPr>
                    <w:pStyle w:val="null3"/>
                    <w:ind w:left="45"/>
                    <w:jc w:val="both"/>
                  </w:pPr>
                  <w:r>
                    <w:rPr>
                      <w:rFonts w:ascii="仿宋_GB2312" w:hAnsi="仿宋_GB2312" w:cs="仿宋_GB2312" w:eastAsia="仿宋_GB2312"/>
                      <w:sz w:val="21"/>
                      <w:color w:val="000000"/>
                    </w:rPr>
                    <w:t>支持协议</w:t>
                  </w:r>
                  <w:r>
                    <w:rPr>
                      <w:rFonts w:ascii="仿宋_GB2312" w:hAnsi="仿宋_GB2312" w:cs="仿宋_GB2312" w:eastAsia="仿宋_GB2312"/>
                      <w:sz w:val="21"/>
                      <w:color w:val="000000"/>
                    </w:rPr>
                    <w:t>CSMA/CA，TDMA，TCP/IP，IPX/SPX，NetBEUI，DHCP，SNMP，STP 等</w:t>
                  </w:r>
                </w:p>
                <w:p>
                  <w:pPr>
                    <w:pStyle w:val="null3"/>
                    <w:ind w:left="45"/>
                    <w:jc w:val="both"/>
                  </w:pPr>
                  <w:r>
                    <w:rPr>
                      <w:rFonts w:ascii="仿宋_GB2312" w:hAnsi="仿宋_GB2312" w:cs="仿宋_GB2312" w:eastAsia="仿宋_GB2312"/>
                      <w:sz w:val="21"/>
                      <w:color w:val="000000"/>
                    </w:rPr>
                    <w:t>指示灯：</w:t>
                  </w:r>
                  <w:r>
                    <w:rPr>
                      <w:rFonts w:ascii="仿宋_GB2312" w:hAnsi="仿宋_GB2312" w:cs="仿宋_GB2312" w:eastAsia="仿宋_GB2312"/>
                      <w:sz w:val="21"/>
                      <w:color w:val="000000"/>
                    </w:rPr>
                    <w:t>5 级 LED 信号灯指示</w:t>
                  </w:r>
                </w:p>
                <w:p>
                  <w:pPr>
                    <w:pStyle w:val="null3"/>
                    <w:ind w:left="45"/>
                    <w:jc w:val="both"/>
                  </w:pPr>
                  <w:r>
                    <w:rPr>
                      <w:rFonts w:ascii="仿宋_GB2312" w:hAnsi="仿宋_GB2312" w:cs="仿宋_GB2312" w:eastAsia="仿宋_GB2312"/>
                      <w:sz w:val="21"/>
                      <w:color w:val="000000"/>
                    </w:rPr>
                    <w:t>工作温度</w:t>
                  </w:r>
                  <w:r>
                    <w:rPr>
                      <w:rFonts w:ascii="仿宋_GB2312" w:hAnsi="仿宋_GB2312" w:cs="仿宋_GB2312" w:eastAsia="仿宋_GB2312"/>
                      <w:sz w:val="21"/>
                      <w:color w:val="000000"/>
                    </w:rPr>
                    <w:t>：</w:t>
                  </w:r>
                  <w:r>
                    <w:rPr>
                      <w:rFonts w:ascii="仿宋_GB2312" w:hAnsi="仿宋_GB2312" w:cs="仿宋_GB2312" w:eastAsia="仿宋_GB2312"/>
                      <w:sz w:val="21"/>
                      <w:color w:val="000000"/>
                    </w:rPr>
                    <w:t>-50～80℃</w:t>
                  </w:r>
                </w:p>
                <w:p>
                  <w:pPr>
                    <w:pStyle w:val="null3"/>
                    <w:ind w:left="45"/>
                    <w:jc w:val="both"/>
                  </w:pPr>
                  <w:r>
                    <w:rPr>
                      <w:rFonts w:ascii="仿宋_GB2312" w:hAnsi="仿宋_GB2312" w:cs="仿宋_GB2312" w:eastAsia="仿宋_GB2312"/>
                      <w:sz w:val="21"/>
                      <w:color w:val="000000"/>
                    </w:rPr>
                    <w:t>防护等级：</w:t>
                  </w:r>
                  <w:r>
                    <w:rPr>
                      <w:rFonts w:ascii="仿宋_GB2312" w:hAnsi="仿宋_GB2312" w:cs="仿宋_GB2312" w:eastAsia="仿宋_GB2312"/>
                      <w:sz w:val="21"/>
                      <w:color w:val="000000"/>
                    </w:rPr>
                    <w:t>IP68</w:t>
                  </w:r>
                </w:p>
              </w:tc>
              <w:tc>
                <w:tcPr>
                  <w:tcW w:type="dxa" w:w="169"/>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台</w:t>
                  </w:r>
                </w:p>
              </w:tc>
              <w:tc>
                <w:tcPr>
                  <w:tcW w:type="dxa" w:w="148"/>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16</w:t>
                  </w:r>
                </w:p>
              </w:tc>
              <w:tc>
                <w:tcPr>
                  <w:tcW w:type="dxa" w:w="233"/>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p>
              </w:tc>
            </w:tr>
            <w:tr>
              <w:tc>
                <w:tcPr>
                  <w:tcW w:type="dxa" w:w="22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12</w:t>
                  </w:r>
                </w:p>
              </w:tc>
              <w:tc>
                <w:tcPr>
                  <w:tcW w:type="dxa" w:w="416"/>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网桥安装支</w:t>
                  </w:r>
                </w:p>
                <w:p>
                  <w:pPr>
                    <w:pStyle w:val="null3"/>
                    <w:jc w:val="center"/>
                  </w:pPr>
                  <w:r>
                    <w:rPr>
                      <w:rFonts w:ascii="仿宋_GB2312" w:hAnsi="仿宋_GB2312" w:cs="仿宋_GB2312" w:eastAsia="仿宋_GB2312"/>
                      <w:sz w:val="21"/>
                      <w:color w:val="000000"/>
                    </w:rPr>
                    <w:t>架</w:t>
                  </w:r>
                </w:p>
              </w:tc>
              <w:tc>
                <w:tcPr>
                  <w:tcW w:type="dxa" w:w="1355"/>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ind w:left="45"/>
                    <w:jc w:val="both"/>
                  </w:pPr>
                  <w:r>
                    <w:rPr>
                      <w:rFonts w:ascii="仿宋_GB2312" w:hAnsi="仿宋_GB2312" w:cs="仿宋_GB2312" w:eastAsia="仿宋_GB2312"/>
                      <w:sz w:val="21"/>
                      <w:color w:val="000000"/>
                    </w:rPr>
                    <w:t>配套</w:t>
                  </w:r>
                </w:p>
              </w:tc>
              <w:tc>
                <w:tcPr>
                  <w:tcW w:type="dxa" w:w="169"/>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套</w:t>
                  </w:r>
                </w:p>
              </w:tc>
              <w:tc>
                <w:tcPr>
                  <w:tcW w:type="dxa" w:w="148"/>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16</w:t>
                  </w:r>
                </w:p>
              </w:tc>
              <w:tc>
                <w:tcPr>
                  <w:tcW w:type="dxa" w:w="233"/>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p>
              </w:tc>
            </w:tr>
            <w:tr>
              <w:tc>
                <w:tcPr>
                  <w:tcW w:type="dxa" w:w="22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13</w:t>
                  </w:r>
                </w:p>
              </w:tc>
              <w:tc>
                <w:tcPr>
                  <w:tcW w:type="dxa" w:w="416"/>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物联网控制</w:t>
                  </w:r>
                </w:p>
                <w:p>
                  <w:pPr>
                    <w:pStyle w:val="null3"/>
                    <w:jc w:val="center"/>
                  </w:pPr>
                  <w:r>
                    <w:rPr>
                      <w:rFonts w:ascii="仿宋_GB2312" w:hAnsi="仿宋_GB2312" w:cs="仿宋_GB2312" w:eastAsia="仿宋_GB2312"/>
                      <w:sz w:val="21"/>
                      <w:color w:val="000000"/>
                    </w:rPr>
                    <w:t>箱</w:t>
                  </w:r>
                </w:p>
              </w:tc>
              <w:tc>
                <w:tcPr>
                  <w:tcW w:type="dxa" w:w="1355"/>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ind w:left="45"/>
                    <w:jc w:val="both"/>
                  </w:pPr>
                  <w:r>
                    <w:rPr>
                      <w:rFonts w:ascii="仿宋_GB2312" w:hAnsi="仿宋_GB2312" w:cs="仿宋_GB2312" w:eastAsia="仿宋_GB2312"/>
                      <w:sz w:val="21"/>
                      <w:color w:val="000000"/>
                    </w:rPr>
                    <w:t>支持太阳能供电系统控制</w:t>
                  </w:r>
                </w:p>
                <w:p>
                  <w:pPr>
                    <w:pStyle w:val="null3"/>
                    <w:ind w:left="45"/>
                    <w:jc w:val="both"/>
                  </w:pPr>
                  <w:r>
                    <w:rPr>
                      <w:rFonts w:ascii="仿宋_GB2312" w:hAnsi="仿宋_GB2312" w:cs="仿宋_GB2312" w:eastAsia="仿宋_GB2312"/>
                      <w:sz w:val="21"/>
                      <w:color w:val="000000"/>
                    </w:rPr>
                    <w:t>10Mbps，100Mbps，1000Mbps 自动适应≥4 个千兆网络数据接口</w:t>
                  </w:r>
                </w:p>
                <w:p>
                  <w:pPr>
                    <w:pStyle w:val="null3"/>
                    <w:ind w:left="45"/>
                    <w:jc w:val="both"/>
                  </w:pPr>
                  <w:r>
                    <w:rPr>
                      <w:rFonts w:ascii="仿宋_GB2312" w:hAnsi="仿宋_GB2312" w:cs="仿宋_GB2312" w:eastAsia="仿宋_GB2312"/>
                      <w:sz w:val="21"/>
                      <w:color w:val="000000"/>
                    </w:rPr>
                    <w:t>≥3个 poe 千兆网络数据接口</w:t>
                  </w:r>
                </w:p>
                <w:p>
                  <w:pPr>
                    <w:pStyle w:val="null3"/>
                    <w:ind w:left="45"/>
                    <w:jc w:val="both"/>
                  </w:pPr>
                  <w:r>
                    <w:rPr>
                      <w:rFonts w:ascii="仿宋_GB2312" w:hAnsi="仿宋_GB2312" w:cs="仿宋_GB2312" w:eastAsia="仿宋_GB2312"/>
                      <w:sz w:val="21"/>
                      <w:color w:val="000000"/>
                    </w:rPr>
                    <w:t>支持</w:t>
                  </w:r>
                  <w:r>
                    <w:rPr>
                      <w:rFonts w:ascii="仿宋_GB2312" w:hAnsi="仿宋_GB2312" w:cs="仿宋_GB2312" w:eastAsia="仿宋_GB2312"/>
                      <w:sz w:val="21"/>
                      <w:color w:val="000000"/>
                    </w:rPr>
                    <w:t>12V/24V 等多种供电方式用以接入不同工作电压，功率的设备。</w:t>
                  </w:r>
                </w:p>
                <w:p>
                  <w:pPr>
                    <w:pStyle w:val="null3"/>
                    <w:ind w:left="45"/>
                    <w:jc w:val="both"/>
                  </w:pPr>
                  <w:r>
                    <w:rPr>
                      <w:rFonts w:ascii="仿宋_GB2312" w:hAnsi="仿宋_GB2312" w:cs="仿宋_GB2312" w:eastAsia="仿宋_GB2312"/>
                      <w:sz w:val="21"/>
                      <w:color w:val="000000"/>
                    </w:rPr>
                    <w:t>通过网络等方式进行远程供电断电等控制，也可进行设备脱机定时重启。支持断电记忆。</w:t>
                  </w:r>
                </w:p>
              </w:tc>
              <w:tc>
                <w:tcPr>
                  <w:tcW w:type="dxa" w:w="169"/>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台</w:t>
                  </w:r>
                </w:p>
              </w:tc>
              <w:tc>
                <w:tcPr>
                  <w:tcW w:type="dxa" w:w="148"/>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8</w:t>
                  </w:r>
                </w:p>
              </w:tc>
              <w:tc>
                <w:tcPr>
                  <w:tcW w:type="dxa" w:w="233"/>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p>
              </w:tc>
            </w:tr>
            <w:tr>
              <w:tc>
                <w:tcPr>
                  <w:tcW w:type="dxa" w:w="22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14</w:t>
                  </w:r>
                </w:p>
              </w:tc>
              <w:tc>
                <w:tcPr>
                  <w:tcW w:type="dxa" w:w="416"/>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基坑开挖</w:t>
                  </w:r>
                </w:p>
              </w:tc>
              <w:tc>
                <w:tcPr>
                  <w:tcW w:type="dxa" w:w="1355"/>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ind w:left="45"/>
                    <w:jc w:val="both"/>
                  </w:pPr>
                  <w:r>
                    <w:rPr>
                      <w:rFonts w:ascii="仿宋_GB2312" w:hAnsi="仿宋_GB2312" w:cs="仿宋_GB2312" w:eastAsia="仿宋_GB2312"/>
                      <w:sz w:val="21"/>
                      <w:color w:val="000000"/>
                    </w:rPr>
                    <w:t>人工开挖及回填，</w:t>
                  </w:r>
                </w:p>
                <w:p>
                  <w:pPr>
                    <w:pStyle w:val="null3"/>
                    <w:ind w:left="45"/>
                    <w:jc w:val="both"/>
                  </w:pPr>
                  <w:r>
                    <w:rPr>
                      <w:rFonts w:ascii="仿宋_GB2312" w:hAnsi="仿宋_GB2312" w:cs="仿宋_GB2312" w:eastAsia="仿宋_GB2312"/>
                      <w:sz w:val="21"/>
                      <w:color w:val="000000"/>
                    </w:rPr>
                    <w:t>立杆基坑：</w:t>
                  </w:r>
                  <w:r>
                    <w:rPr>
                      <w:rFonts w:ascii="仿宋_GB2312" w:hAnsi="仿宋_GB2312" w:cs="仿宋_GB2312" w:eastAsia="仿宋_GB2312"/>
                      <w:sz w:val="21"/>
                      <w:color w:val="000000"/>
                    </w:rPr>
                    <w:t>1.0m×1.0m×1.2m，混凝土回填；电池基坑：1.6m×0.8m×0.6m，素土回填。</w:t>
                  </w:r>
                </w:p>
              </w:tc>
              <w:tc>
                <w:tcPr>
                  <w:tcW w:type="dxa" w:w="169"/>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处</w:t>
                  </w:r>
                </w:p>
              </w:tc>
              <w:tc>
                <w:tcPr>
                  <w:tcW w:type="dxa" w:w="148"/>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8</w:t>
                  </w:r>
                </w:p>
              </w:tc>
              <w:tc>
                <w:tcPr>
                  <w:tcW w:type="dxa" w:w="233"/>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p>
              </w:tc>
            </w:tr>
            <w:tr>
              <w:tc>
                <w:tcPr>
                  <w:tcW w:type="dxa" w:w="22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15</w:t>
                  </w:r>
                </w:p>
              </w:tc>
              <w:tc>
                <w:tcPr>
                  <w:tcW w:type="dxa" w:w="416"/>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混凝土材料</w:t>
                  </w:r>
                </w:p>
              </w:tc>
              <w:tc>
                <w:tcPr>
                  <w:tcW w:type="dxa" w:w="1355"/>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ind w:left="45"/>
                    <w:jc w:val="both"/>
                  </w:pPr>
                  <w:r>
                    <w:rPr>
                      <w:rFonts w:ascii="仿宋_GB2312" w:hAnsi="仿宋_GB2312" w:cs="仿宋_GB2312" w:eastAsia="仿宋_GB2312"/>
                      <w:sz w:val="21"/>
                      <w:color w:val="000000"/>
                    </w:rPr>
                    <w:t>水泥，砂石，水等</w:t>
                  </w:r>
                </w:p>
              </w:tc>
              <w:tc>
                <w:tcPr>
                  <w:tcW w:type="dxa" w:w="169"/>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处</w:t>
                  </w:r>
                </w:p>
              </w:tc>
              <w:tc>
                <w:tcPr>
                  <w:tcW w:type="dxa" w:w="148"/>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8</w:t>
                  </w:r>
                </w:p>
              </w:tc>
              <w:tc>
                <w:tcPr>
                  <w:tcW w:type="dxa" w:w="233"/>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p>
              </w:tc>
            </w:tr>
            <w:tr>
              <w:tc>
                <w:tcPr>
                  <w:tcW w:type="dxa" w:w="22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16</w:t>
                  </w:r>
                </w:p>
              </w:tc>
              <w:tc>
                <w:tcPr>
                  <w:tcW w:type="dxa" w:w="416"/>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基础材料二次倒运</w:t>
                  </w:r>
                </w:p>
              </w:tc>
              <w:tc>
                <w:tcPr>
                  <w:tcW w:type="dxa" w:w="1355"/>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ind w:left="45"/>
                    <w:jc w:val="both"/>
                  </w:pPr>
                  <w:r>
                    <w:rPr>
                      <w:rFonts w:ascii="仿宋_GB2312" w:hAnsi="仿宋_GB2312" w:cs="仿宋_GB2312" w:eastAsia="仿宋_GB2312"/>
                      <w:sz w:val="21"/>
                      <w:color w:val="000000"/>
                    </w:rPr>
                    <w:t>设备、材料人工倒运</w:t>
                  </w:r>
                </w:p>
              </w:tc>
              <w:tc>
                <w:tcPr>
                  <w:tcW w:type="dxa" w:w="169"/>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项</w:t>
                  </w:r>
                </w:p>
              </w:tc>
              <w:tc>
                <w:tcPr>
                  <w:tcW w:type="dxa" w:w="148"/>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8</w:t>
                  </w:r>
                </w:p>
              </w:tc>
              <w:tc>
                <w:tcPr>
                  <w:tcW w:type="dxa" w:w="233"/>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p>
              </w:tc>
            </w:tr>
            <w:tr>
              <w:tc>
                <w:tcPr>
                  <w:tcW w:type="dxa" w:w="22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17</w:t>
                  </w:r>
                </w:p>
              </w:tc>
              <w:tc>
                <w:tcPr>
                  <w:tcW w:type="dxa" w:w="416"/>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辅材</w:t>
                  </w:r>
                </w:p>
              </w:tc>
              <w:tc>
                <w:tcPr>
                  <w:tcW w:type="dxa" w:w="1355"/>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ind w:left="45"/>
                    <w:jc w:val="both"/>
                  </w:pPr>
                  <w:r>
                    <w:rPr>
                      <w:rFonts w:ascii="仿宋_GB2312" w:hAnsi="仿宋_GB2312" w:cs="仿宋_GB2312" w:eastAsia="仿宋_GB2312"/>
                      <w:sz w:val="21"/>
                      <w:color w:val="000000"/>
                    </w:rPr>
                    <w:t>电源线、网线、螺栓、水晶头、扎线、胶带、胶泥、接线端子、金属抱箍等</w:t>
                  </w:r>
                </w:p>
              </w:tc>
              <w:tc>
                <w:tcPr>
                  <w:tcW w:type="dxa" w:w="169"/>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批</w:t>
                  </w:r>
                </w:p>
              </w:tc>
              <w:tc>
                <w:tcPr>
                  <w:tcW w:type="dxa" w:w="148"/>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8</w:t>
                  </w:r>
                </w:p>
              </w:tc>
              <w:tc>
                <w:tcPr>
                  <w:tcW w:type="dxa" w:w="233"/>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p>
              </w:tc>
            </w:tr>
          </w:tbl>
          <w:p>
            <w:pPr>
              <w:pStyle w:val="null3"/>
              <w:jc w:val="center"/>
            </w:pPr>
            <w:r>
              <w:rPr>
                <w:rFonts w:ascii="仿宋_GB2312" w:hAnsi="仿宋_GB2312" w:cs="仿宋_GB2312" w:eastAsia="仿宋_GB2312"/>
                <w:sz w:val="21"/>
                <w:b/>
                <w:color w:val="000000"/>
              </w:rPr>
              <w:t>图（</w:t>
            </w:r>
            <w:r>
              <w:rPr>
                <w:rFonts w:ascii="仿宋_GB2312" w:hAnsi="仿宋_GB2312" w:cs="仿宋_GB2312" w:eastAsia="仿宋_GB2312"/>
                <w:sz w:val="21"/>
                <w:b/>
                <w:color w:val="000000"/>
              </w:rPr>
              <w:t>1）人为活动监测系统建设点位布局图</w:t>
            </w:r>
          </w:p>
          <w:p>
            <w:pPr>
              <w:pStyle w:val="null3"/>
              <w:jc w:val="center"/>
            </w:pPr>
            <w:r>
              <w:drawing>
                <wp:inline distT="0" distR="0" distB="0" distL="0">
                  <wp:extent cx="1621155" cy="1154042"/>
                  <wp:docPr id="1" name="Drawing 1" descr="img"/>
                  <a:graphic xmlns:a="http://schemas.openxmlformats.org/drawingml/2006/main">
                    <a:graphicData uri="http://schemas.openxmlformats.org/drawingml/2006/picture">
                      <pic:pic xmlns:pic="http://schemas.openxmlformats.org/drawingml/2006/picture">
                        <pic:nvPicPr>
                          <pic:cNvPr id="0" name="Picture 1" descr="img"/>
                          <pic:cNvPicPr>
                            <a:picLocks noChangeAspect="true"/>
                          </pic:cNvPicPr>
                        </pic:nvPicPr>
                        <pic:blipFill>
                          <a:blip r:embed="rId6"/>
                          <a:stretch>
                            <a:fillRect/>
                          </a:stretch>
                        </pic:blipFill>
                        <pic:spPr>
                          <a:xfrm>
                            <a:off x="0" y="0"/>
                            <a:ext cx="1621155" cy="1154042"/>
                          </a:xfrm>
                          <a:prstGeom prst="rect">
                            <a:avLst/>
                          </a:prstGeom>
                        </pic:spPr>
                      </pic:pic>
                    </a:graphicData>
                  </a:graphic>
                </wp:inline>
              </w:drawing>
            </w:r>
          </w:p>
          <w:p>
            <w:pPr>
              <w:pStyle w:val="null3"/>
              <w:jc w:val="center"/>
            </w:pPr>
            <w:r>
              <w:rPr>
                <w:rFonts w:ascii="仿宋_GB2312" w:hAnsi="仿宋_GB2312" w:cs="仿宋_GB2312" w:eastAsia="仿宋_GB2312"/>
                <w:sz w:val="21"/>
                <w:b/>
                <w:color w:val="000000"/>
              </w:rPr>
              <w:t>图（</w:t>
            </w:r>
            <w:r>
              <w:rPr>
                <w:rFonts w:ascii="仿宋_GB2312" w:hAnsi="仿宋_GB2312" w:cs="仿宋_GB2312" w:eastAsia="仿宋_GB2312"/>
                <w:sz w:val="21"/>
                <w:b/>
                <w:color w:val="000000"/>
              </w:rPr>
              <w:t>2）6米立杆设计图</w:t>
            </w:r>
          </w:p>
          <w:p>
            <w:pPr>
              <w:pStyle w:val="null3"/>
              <w:jc w:val="center"/>
            </w:pPr>
            <w:r>
              <w:drawing>
                <wp:inline distT="0" distR="0" distB="0" distL="0">
                  <wp:extent cx="1621155" cy="1693994"/>
                  <wp:docPr id="2" name="Drawing 2" descr="img"/>
                  <a:graphic xmlns:a="http://schemas.openxmlformats.org/drawingml/2006/main">
                    <a:graphicData uri="http://schemas.openxmlformats.org/drawingml/2006/picture">
                      <pic:pic xmlns:pic="http://schemas.openxmlformats.org/drawingml/2006/picture">
                        <pic:nvPicPr>
                          <pic:cNvPr id="0" name="Picture 2" descr="img"/>
                          <pic:cNvPicPr>
                            <a:picLocks noChangeAspect="true"/>
                          </pic:cNvPicPr>
                        </pic:nvPicPr>
                        <pic:blipFill>
                          <a:blip r:embed="rId7"/>
                          <a:stretch>
                            <a:fillRect/>
                          </a:stretch>
                        </pic:blipFill>
                        <pic:spPr>
                          <a:xfrm>
                            <a:off x="0" y="0"/>
                            <a:ext cx="1621155" cy="1693994"/>
                          </a:xfrm>
                          <a:prstGeom prst="rect">
                            <a:avLst/>
                          </a:prstGeom>
                        </pic:spPr>
                      </pic:pic>
                    </a:graphicData>
                  </a:graphic>
                </wp:inline>
              </w:drawing>
            </w:r>
          </w:p>
          <w:p>
            <w:pPr>
              <w:pStyle w:val="null3"/>
              <w:jc w:val="center"/>
            </w:pPr>
            <w:r>
              <w:rPr>
                <w:rFonts w:ascii="仿宋_GB2312" w:hAnsi="仿宋_GB2312" w:cs="仿宋_GB2312" w:eastAsia="仿宋_GB2312"/>
                <w:sz w:val="21"/>
                <w:b/>
                <w:color w:val="000000"/>
              </w:rPr>
              <w:t>图（</w:t>
            </w:r>
            <w:r>
              <w:rPr>
                <w:rFonts w:ascii="仿宋_GB2312" w:hAnsi="仿宋_GB2312" w:cs="仿宋_GB2312" w:eastAsia="仿宋_GB2312"/>
                <w:sz w:val="21"/>
                <w:b/>
                <w:color w:val="000000"/>
              </w:rPr>
              <w:t>3）人为活动监测系统传输拓扑图</w:t>
            </w:r>
          </w:p>
          <w:p>
            <w:pPr>
              <w:pStyle w:val="null3"/>
            </w:pPr>
            <w:r>
              <w:drawing>
                <wp:inline distT="0" distR="0" distB="0" distL="0">
                  <wp:extent cx="1621155" cy="966877"/>
                  <wp:docPr id="3" name="Drawing 3" descr="img"/>
                  <a:graphic xmlns:a="http://schemas.openxmlformats.org/drawingml/2006/main">
                    <a:graphicData uri="http://schemas.openxmlformats.org/drawingml/2006/picture">
                      <pic:pic xmlns:pic="http://schemas.openxmlformats.org/drawingml/2006/picture">
                        <pic:nvPicPr>
                          <pic:cNvPr id="0" name="Picture 3" descr="img"/>
                          <pic:cNvPicPr>
                            <a:picLocks noChangeAspect="true"/>
                          </pic:cNvPicPr>
                        </pic:nvPicPr>
                        <pic:blipFill>
                          <a:blip r:embed="rId8"/>
                          <a:stretch>
                            <a:fillRect/>
                          </a:stretch>
                        </pic:blipFill>
                        <pic:spPr>
                          <a:xfrm>
                            <a:off x="0" y="0"/>
                            <a:ext cx="1621155" cy="966877"/>
                          </a:xfrm>
                          <a:prstGeom prst="rect">
                            <a:avLst/>
                          </a:prstGeom>
                        </pic:spPr>
                      </pic:pic>
                    </a:graphicData>
                  </a:graphic>
                </wp:inline>
              </w:drawing>
            </w:r>
          </w:p>
          <w:p>
            <w:pPr>
              <w:pStyle w:val="null3"/>
            </w:pPr>
            <w:r>
              <w:rPr>
                <w:rFonts w:ascii="仿宋_GB2312" w:hAnsi="仿宋_GB2312" w:cs="仿宋_GB2312" w:eastAsia="仿宋_GB2312"/>
              </w:rPr>
              <w:t xml:space="preserve"> </w:t>
            </w:r>
          </w:p>
          <w:p>
            <w:pPr>
              <w:pStyle w:val="null3"/>
            </w:pPr>
            <w:r>
              <w:rPr>
                <w:rFonts w:ascii="仿宋_GB2312" w:hAnsi="仿宋_GB2312" w:cs="仿宋_GB2312" w:eastAsia="仿宋_GB2312"/>
              </w:rPr>
              <w:t xml:space="preserve"> </w:t>
            </w:r>
          </w:p>
          <w:p>
            <w:pPr>
              <w:pStyle w:val="null3"/>
            </w:pPr>
            <w:r>
              <w:rPr>
                <w:rFonts w:ascii="仿宋_GB2312" w:hAnsi="仿宋_GB2312" w:cs="仿宋_GB2312" w:eastAsia="仿宋_GB2312"/>
              </w:rPr>
              <w:t xml:space="preserve"> </w:t>
            </w:r>
          </w:p>
        </w:tc>
      </w:tr>
    </w:tbl>
    <w:p>
      <w:pPr>
        <w:pStyle w:val="null3"/>
      </w:pPr>
      <w:r>
        <w:rPr>
          <w:rFonts w:ascii="仿宋_GB2312" w:hAnsi="仿宋_GB2312" w:cs="仿宋_GB2312" w:eastAsia="仿宋_GB2312"/>
        </w:rPr>
        <w:t>标的名称：200000</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pPr>
            <w:r>
              <w:rPr>
                <w:rFonts w:ascii="仿宋_GB2312" w:hAnsi="仿宋_GB2312" w:cs="仿宋_GB2312" w:eastAsia="仿宋_GB2312"/>
              </w:rPr>
              <w:t xml:space="preserve"> 序号</w:t>
            </w:r>
          </w:p>
        </w:tc>
        <w:tc>
          <w:tcPr>
            <w:tcW w:type="dxa" w:w="2769"/>
          </w:tcPr>
          <w:p>
            <w:pPr>
              <w:pStyle w:val="null3"/>
            </w:pPr>
            <w:r>
              <w:rPr>
                <w:rFonts w:ascii="仿宋_GB2312" w:hAnsi="仿宋_GB2312" w:cs="仿宋_GB2312" w:eastAsia="仿宋_GB2312"/>
              </w:rPr>
              <w:t xml:space="preserve"> 参数性质</w:t>
            </w:r>
          </w:p>
        </w:tc>
        <w:tc>
          <w:tcPr>
            <w:tcW w:type="dxa" w:w="2769"/>
          </w:tcPr>
          <w:p>
            <w:pPr>
              <w:pStyle w:val="null3"/>
            </w:pPr>
            <w:r>
              <w:rPr>
                <w:rFonts w:ascii="仿宋_GB2312" w:hAnsi="仿宋_GB2312" w:cs="仿宋_GB2312" w:eastAsia="仿宋_GB2312"/>
              </w:rPr>
              <w:t xml:space="preserve"> 技术参数与性能指标</w:t>
            </w:r>
          </w:p>
        </w:tc>
      </w:tr>
      <w:tr>
        <w:tc>
          <w:tcPr>
            <w:tcW w:type="dxa" w:w="2769"/>
          </w:tcPr>
          <w:p>
            <w:pPr>
              <w:pStyle w:val="null3"/>
            </w:pPr>
            <w:r>
              <w:rPr>
                <w:rFonts w:ascii="仿宋_GB2312" w:hAnsi="仿宋_GB2312" w:cs="仿宋_GB2312" w:eastAsia="仿宋_GB2312"/>
              </w:rPr>
              <w:t>1</w:t>
            </w:r>
          </w:p>
        </w:tc>
        <w:tc>
          <w:tcPr>
            <w:tcW w:type="dxa" w:w="2769"/>
          </w:tcPr>
          <w:p/>
        </w:tc>
        <w:tc>
          <w:tcPr>
            <w:tcW w:type="dxa" w:w="2769"/>
          </w:tcPr>
          <w:p>
            <w:pPr>
              <w:pStyle w:val="null3"/>
            </w:pPr>
            <w:r>
              <w:rPr>
                <w:rFonts w:ascii="仿宋_GB2312" w:hAnsi="仿宋_GB2312" w:cs="仿宋_GB2312" w:eastAsia="仿宋_GB2312"/>
                <w:b/>
              </w:rPr>
              <w:t>一、建设内容：</w:t>
            </w:r>
            <w:r>
              <w:rPr>
                <w:rFonts w:ascii="仿宋_GB2312" w:hAnsi="仿宋_GB2312" w:cs="仿宋_GB2312" w:eastAsia="仿宋_GB2312"/>
              </w:rPr>
              <w:t>本合同包主要拟建设1 套野生动物监测系统以及1项野生动物疫源疫病监测。</w:t>
            </w:r>
          </w:p>
          <w:p>
            <w:pPr>
              <w:pStyle w:val="null3"/>
            </w:pPr>
            <w:r>
              <w:rPr>
                <w:rFonts w:ascii="仿宋_GB2312" w:hAnsi="仿宋_GB2312" w:cs="仿宋_GB2312" w:eastAsia="仿宋_GB2312"/>
                <w:b/>
              </w:rPr>
              <w:t>二、建设规模：</w:t>
            </w:r>
          </w:p>
          <w:p>
            <w:pPr>
              <w:pStyle w:val="null3"/>
            </w:pPr>
            <w:r>
              <w:rPr>
                <w:rFonts w:ascii="仿宋_GB2312" w:hAnsi="仿宋_GB2312" w:cs="仿宋_GB2312" w:eastAsia="仿宋_GB2312"/>
              </w:rPr>
              <w:t>野生动物监测系统：主要是由自组网红外相机进行自动监测，主要对保护区野生动物分布及活动状态进行实时监测。系统主要包含：自组网中心处理站 1 台、自组网红外相机 18 台、供电系统 18 套、 内存卡 18 张。自组网中心处理站安装于已建梯子沟监测铁塔上，供电及 数据传输采用已建防火塔已建供电系统及传输系统，自组网红外相机安 装与自组网中心处理站信号覆盖范围内，采用太阳能进行供电。</w:t>
            </w:r>
          </w:p>
          <w:p>
            <w:pPr>
              <w:pStyle w:val="null3"/>
            </w:pPr>
            <w:r>
              <w:rPr>
                <w:rFonts w:ascii="仿宋_GB2312" w:hAnsi="仿宋_GB2312" w:cs="仿宋_GB2312" w:eastAsia="仿宋_GB2312"/>
              </w:rPr>
              <w:t>野生动物疫源疫病监测：包含野生动物疫源疫病巡护 1 项、采购个人防护用品 1 项、病疫采集设备 3 套、便携式保存箱 2 套、运输笼箱 2 套以及捕捉工具 2 套。</w:t>
            </w:r>
          </w:p>
          <w:p>
            <w:pPr>
              <w:pStyle w:val="null3"/>
            </w:pPr>
            <w:r>
              <w:rPr>
                <w:rFonts w:ascii="仿宋_GB2312" w:hAnsi="仿宋_GB2312" w:cs="仿宋_GB2312" w:eastAsia="仿宋_GB2312"/>
                <w:b/>
              </w:rPr>
              <w:t>三、建设目标</w:t>
            </w:r>
          </w:p>
          <w:p>
            <w:pPr>
              <w:pStyle w:val="null3"/>
            </w:pPr>
            <w:r>
              <w:rPr>
                <w:rFonts w:ascii="仿宋_GB2312" w:hAnsi="仿宋_GB2312" w:cs="仿宋_GB2312" w:eastAsia="仿宋_GB2312"/>
              </w:rPr>
              <w:t>野生动物监测系统：自组网红外相机监测系统改变以往人工采集数据的模式，通过太阳能供电及自带组网功能的红外相机和自组网设备进行组网回传数据， 能够实时将红外相机所采集到的数据实时传输至后端指挥中心的监测系统，可及时发现野生动物活动情况，极大减轻人员工作强度及对野生动物的干扰，提高工作效率、监测动物活动情况。</w:t>
            </w:r>
          </w:p>
          <w:p>
            <w:pPr>
              <w:pStyle w:val="null3"/>
            </w:pPr>
            <w:r>
              <w:rPr>
                <w:rFonts w:ascii="仿宋_GB2312" w:hAnsi="仿宋_GB2312" w:cs="仿宋_GB2312" w:eastAsia="仿宋_GB2312"/>
              </w:rPr>
              <w:t>野生动物疫源疫病监测：及时了解保护区疫源疫病季节波动规律，对疫情的发生、种类及其可能随野生动物活动扩散的范围迅速做出判定，有效预防和应对疫源疫病发生的处置能力；提升保护区疫源疫病监测能力，使保护区乃至秦岭东部生物多样性及其生态环境得到更加有效的保护，为秦岭地区生物多样性保护起到积极的示范作用，促进自然保护区的可持续发展，逐步实现人与自然和谐共处。</w:t>
            </w:r>
          </w:p>
          <w:p>
            <w:pPr>
              <w:pStyle w:val="null3"/>
            </w:pPr>
            <w:r>
              <w:rPr>
                <w:rFonts w:ascii="仿宋_GB2312" w:hAnsi="仿宋_GB2312" w:cs="仿宋_GB2312" w:eastAsia="仿宋_GB2312"/>
                <w:b/>
              </w:rPr>
              <w:t>四、建设依据：</w:t>
            </w:r>
          </w:p>
          <w:p>
            <w:pPr>
              <w:pStyle w:val="null3"/>
            </w:pPr>
            <w:r>
              <w:rPr>
                <w:rFonts w:ascii="仿宋_GB2312" w:hAnsi="仿宋_GB2312" w:cs="仿宋_GB2312" w:eastAsia="仿宋_GB2312"/>
              </w:rPr>
              <w:t>1.法律法规： 1.《中华人民共和国森林法》（2019 年修订）； 2.《中华人民共和国野生动物保护法》（2022 年修正）； 3.《中华人民共和国环境保护法》（2014 年修订）； 4.《中华人民共和国陆生野生动物保护实施条例》（2016 年修订）； 5.《中华人民共和国自然保护区条例》（2017 年修正）； 6.《陕西省秦岭生态环境保护条例》（2019 年修订）；</w:t>
            </w:r>
          </w:p>
          <w:p>
            <w:pPr>
              <w:pStyle w:val="null3"/>
            </w:pPr>
            <w:r>
              <w:rPr>
                <w:rFonts w:ascii="仿宋_GB2312" w:hAnsi="仿宋_GB2312" w:cs="仿宋_GB2312" w:eastAsia="仿宋_GB2312"/>
              </w:rPr>
              <w:t>2.标准规范 ：1. 《自然保护区总体规划技术规程》（GB/T20399-2006）； 2. 《自然保护区工程设计规范》（LY/T5126-04）； 3. 《自然保护区功能区划技术规程》）（GB/T 35822-2018）； 4. 《自然保护区工程项目建设标准》（建标 195-2018）； 5. 《电子计算机系统设备的性能表示》（GB3874-83）； 6. 《信息技术设备（包括电气事务设备）的安全》（GB4943-1995）； 7. 《 微 波 电 路传 输 继 电 保 护信 息 设 计 技 术 规定 》 （ DL/T 5062-1996）； 8. 《 森 林 生 态 系 统 生 物 多 样 性 监 测 与 评 估 规 范 》 （ LY/T 2241-2014）； 9. 《IP 网络技术要求网络性能测量方法》（YD/T1381-2022）； 10. 《视频监 控无线传输设备射频技术指标与测试方法》 （GB/T33778-2017）； 11. 《林业信息化网络系统建设规范》（LY/T2172-2013）； 12. 《陕西牛背梁国家级自然保护区总体规划（2021-2030）》 13. 《野生动物疫源疫病监测技术规程》（LY/T 2845-2023） 14. 其他与本项目有关的国家现行设计规范、技术标准及技术规程 等。</w:t>
            </w:r>
          </w:p>
          <w:p>
            <w:pPr>
              <w:pStyle w:val="null3"/>
            </w:pPr>
            <w:r>
              <w:rPr>
                <w:rFonts w:ascii="仿宋_GB2312" w:hAnsi="仿宋_GB2312" w:cs="仿宋_GB2312" w:eastAsia="仿宋_GB2312"/>
              </w:rPr>
              <w:t>3.其他 ：1. 陕西省林业局 陕西省财政厅关于印发《中央财政国家公园和林 业草原项目入库指南的通知》（陕林财发〔2023〕87 号）； 2. 《林业草原生态保护恢复资金管理办法》（财资环〔2024〕159 号）； 3. 《中央财政林业草原项目实施方案编制大纲（试行）》（2023 年 6 月 ）； 4. 陕西省林业局《关于提前下达2025 年林业草原生态保护恢复资 金计划通知》（陕林财字〔2024〕477 号）。</w:t>
            </w:r>
          </w:p>
          <w:p>
            <w:pPr>
              <w:pStyle w:val="null3"/>
            </w:pPr>
            <w:r>
              <w:rPr>
                <w:rFonts w:ascii="仿宋_GB2312" w:hAnsi="仿宋_GB2312" w:cs="仿宋_GB2312" w:eastAsia="仿宋_GB2312"/>
                <w:b/>
              </w:rPr>
              <w:t>五、建设要求</w:t>
            </w:r>
          </w:p>
          <w:p>
            <w:pPr>
              <w:pStyle w:val="null3"/>
            </w:pPr>
            <w:r>
              <w:rPr>
                <w:rFonts w:ascii="仿宋_GB2312" w:hAnsi="仿宋_GB2312" w:cs="仿宋_GB2312" w:eastAsia="仿宋_GB2312"/>
                <w:b/>
              </w:rPr>
              <w:t>（一）野生动物监测系统：</w:t>
            </w:r>
          </w:p>
          <w:p>
            <w:pPr>
              <w:pStyle w:val="null3"/>
            </w:pPr>
            <w:r>
              <w:rPr>
                <w:rFonts w:ascii="仿宋_GB2312" w:hAnsi="仿宋_GB2312" w:cs="仿宋_GB2312" w:eastAsia="仿宋_GB2312"/>
              </w:rPr>
              <w:t>本次共建设 1 套自组网中心处理站，主要接收前端自组网红外相机所采集的数据，采用太阳能供电系统进行供电，根据对已建监测铁塔供电系统进行检测，已建监测铁塔供电系统满足自组网中心处理站的供电需求，且不影响监测铁塔自身系统的正常运行。 根据自组网中心处理站信号范围、传输宽带计算及现场野生动物活动情况数据等因素，自组网中心处理站配备 18 台自组网红外相机，可满足监测区域内野生动物监测工作。自组网红外相机均采用太阳能进行供电。 传输系统采用自组网和无线网桥混合传输模式，红外相机及中心处理站设备进行自动组网，无线网桥用于中心处理站与管护站之间的组网，经检测前期已建监测铁塔传输系统满足本次自组网红外相机监测数据传输，且不影响原有数据传输效率。</w:t>
            </w:r>
          </w:p>
          <w:p>
            <w:pPr>
              <w:pStyle w:val="null3"/>
            </w:pPr>
            <w:r>
              <w:rPr>
                <w:rFonts w:ascii="仿宋_GB2312" w:hAnsi="仿宋_GB2312" w:cs="仿宋_GB2312" w:eastAsia="仿宋_GB2312"/>
              </w:rPr>
              <w:t>1. 太阳能供电系统：本次所布设红外相机均属于自带组网功能的红外相机，能够进行自动数据采集及回传，为实现所布设红外相机长期进行自动监测工作，所以红外相机均采用太阳能系统进行供电，每台自组网红外相机太阳能供电系统选用 18V20W 单晶硅太阳能板以及9 节 18650 锂电池进行供电。为节省功耗, 自组网红外相机采用自动触发工作模式，在有动物经过时红外相机自动触发拍摄并进行数据上传,其他时间处于低功耗休眠状态。减少红外相机供电需求。</w:t>
            </w:r>
          </w:p>
          <w:p>
            <w:pPr>
              <w:pStyle w:val="null3"/>
            </w:pPr>
            <w:r>
              <w:rPr>
                <w:rFonts w:ascii="仿宋_GB2312" w:hAnsi="仿宋_GB2312" w:cs="仿宋_GB2312" w:eastAsia="仿宋_GB2312"/>
              </w:rPr>
              <w:t>2. 数据传输：本次野生动物监测系统采用自组网架构实现前端数据采集与汇聚。利用自组网中心处理站自主组网传输数据，传输速率需能够满足本采购需求。 传输流程如下：</w:t>
            </w:r>
          </w:p>
          <w:p>
            <w:pPr>
              <w:pStyle w:val="null3"/>
            </w:pPr>
            <w:r>
              <w:rPr>
                <w:rFonts w:ascii="仿宋_GB2312" w:hAnsi="仿宋_GB2312" w:cs="仿宋_GB2312" w:eastAsia="仿宋_GB2312"/>
              </w:rPr>
              <w:t>第一步：数据采集与区域汇聚：部署在各监测点的自组网红外相机通过其内置组网模块，将采集到的数据实时传输至已建监测铁塔上部署的自组网中心处理站（区域汇聚节点），自组网中心处理站通过监测铁塔已有的交换机与无线网桥互通。</w:t>
            </w:r>
          </w:p>
          <w:p>
            <w:pPr>
              <w:pStyle w:val="null3"/>
            </w:pPr>
            <w:r>
              <w:rPr>
                <w:rFonts w:ascii="仿宋_GB2312" w:hAnsi="仿宋_GB2312" w:cs="仿宋_GB2312" w:eastAsia="仿宋_GB2312"/>
              </w:rPr>
              <w:t>第二步：已有无线传输系统（高带宽、独立链路）：自组网中心处理站汇聚的数据，由架设在同监测铁塔上的已有高带宽无线网桥设备承载，直接或通过中继的方式传输至指定的各个保护站。</w:t>
            </w:r>
          </w:p>
          <w:p>
            <w:pPr>
              <w:pStyle w:val="null3"/>
            </w:pPr>
            <w:r>
              <w:rPr>
                <w:rFonts w:ascii="仿宋_GB2312" w:hAnsi="仿宋_GB2312" w:cs="仿宋_GB2312" w:eastAsia="仿宋_GB2312"/>
              </w:rPr>
              <w:t>第三步：数据中心接入保护站接收无线网桥传输的数据后，经由保护站至管理局之间已建设的数字专线链路，最终回传至局数据中心机房。</w:t>
            </w:r>
          </w:p>
          <w:p>
            <w:pPr>
              <w:pStyle w:val="null3"/>
              <w:spacing w:before="105" w:after="105"/>
              <w:jc w:val="center"/>
            </w:pPr>
            <w:r>
              <w:rPr>
                <w:rFonts w:ascii="仿宋_GB2312" w:hAnsi="仿宋_GB2312" w:cs="仿宋_GB2312" w:eastAsia="仿宋_GB2312"/>
                <w:sz w:val="21"/>
                <w:b/>
                <w:color w:val="000000"/>
              </w:rPr>
              <w:t>表</w:t>
            </w:r>
            <w:r>
              <w:rPr>
                <w:rFonts w:ascii="仿宋_GB2312" w:hAnsi="仿宋_GB2312" w:cs="仿宋_GB2312" w:eastAsia="仿宋_GB2312"/>
                <w:sz w:val="21"/>
                <w:b/>
                <w:color w:val="000000"/>
              </w:rPr>
              <w:t>4-1野生动物监测系统点位图</w:t>
            </w:r>
          </w:p>
          <w:tbl>
            <w:tblPr>
              <w:tblInd w:type="dxa" w:w="210"/>
              <w:tblBorders>
                <w:top w:val="none" w:color="000000" w:sz="4"/>
                <w:left w:val="none" w:color="000000" w:sz="4"/>
                <w:bottom w:val="none" w:color="000000" w:sz="4"/>
                <w:right w:val="none" w:color="000000" w:sz="4"/>
                <w:insideH w:val="none"/>
                <w:insideV w:val="none"/>
              </w:tblBorders>
            </w:tblPr>
            <w:tblGrid>
              <w:gridCol w:w="176"/>
              <w:gridCol w:w="400"/>
              <w:gridCol w:w="344"/>
              <w:gridCol w:w="412"/>
              <w:gridCol w:w="380"/>
              <w:gridCol w:w="300"/>
              <w:gridCol w:w="517"/>
            </w:tblGrid>
            <w:tr>
              <w:tc>
                <w:tcPr>
                  <w:tcW w:type="dxa" w:w="176"/>
                  <w:tcBorders>
                    <w:top w:val="singl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b/>
                      <w:color w:val="000000"/>
                    </w:rPr>
                    <w:t>序号</w:t>
                  </w:r>
                </w:p>
              </w:tc>
              <w:tc>
                <w:tcPr>
                  <w:tcW w:type="dxa" w:w="400"/>
                  <w:tcBorders>
                    <w:top w:val="singl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b/>
                      <w:color w:val="000000"/>
                    </w:rPr>
                    <w:t>点位名称</w:t>
                  </w:r>
                </w:p>
              </w:tc>
              <w:tc>
                <w:tcPr>
                  <w:tcW w:type="dxa" w:w="344"/>
                  <w:tcBorders>
                    <w:top w:val="singl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b/>
                      <w:color w:val="000000"/>
                    </w:rPr>
                    <w:t>隶属保护</w:t>
                  </w:r>
                </w:p>
                <w:p>
                  <w:pPr>
                    <w:pStyle w:val="null3"/>
                    <w:spacing w:before="105" w:after="105"/>
                    <w:jc w:val="center"/>
                  </w:pPr>
                  <w:r>
                    <w:rPr>
                      <w:rFonts w:ascii="仿宋_GB2312" w:hAnsi="仿宋_GB2312" w:cs="仿宋_GB2312" w:eastAsia="仿宋_GB2312"/>
                      <w:sz w:val="21"/>
                      <w:b/>
                      <w:color w:val="000000"/>
                    </w:rPr>
                    <w:t>站</w:t>
                  </w:r>
                </w:p>
              </w:tc>
              <w:tc>
                <w:tcPr>
                  <w:tcW w:type="dxa" w:w="412"/>
                  <w:tcBorders>
                    <w:top w:val="singl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b/>
                      <w:color w:val="000000"/>
                    </w:rPr>
                    <w:t>经度</w:t>
                  </w:r>
                </w:p>
              </w:tc>
              <w:tc>
                <w:tcPr>
                  <w:tcW w:type="dxa" w:w="380"/>
                  <w:tcBorders>
                    <w:top w:val="singl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b/>
                      <w:color w:val="000000"/>
                    </w:rPr>
                    <w:t>纬度</w:t>
                  </w:r>
                </w:p>
              </w:tc>
              <w:tc>
                <w:tcPr>
                  <w:tcW w:type="dxa" w:w="300"/>
                  <w:tcBorders>
                    <w:top w:val="singl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b/>
                      <w:color w:val="000000"/>
                    </w:rPr>
                    <w:t>海拔（</w:t>
                  </w:r>
                  <w:r>
                    <w:rPr>
                      <w:rFonts w:ascii="仿宋_GB2312" w:hAnsi="仿宋_GB2312" w:cs="仿宋_GB2312" w:eastAsia="仿宋_GB2312"/>
                      <w:sz w:val="21"/>
                      <w:b/>
                      <w:color w:val="000000"/>
                    </w:rPr>
                    <w:t>M）</w:t>
                  </w:r>
                </w:p>
              </w:tc>
              <w:tc>
                <w:tcPr>
                  <w:tcW w:type="dxa" w:w="517"/>
                  <w:tcBorders>
                    <w:top w:val="singl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b/>
                      <w:color w:val="000000"/>
                    </w:rPr>
                    <w:t>备注</w:t>
                  </w:r>
                </w:p>
              </w:tc>
            </w:tr>
            <w:tr>
              <w:tc>
                <w:tcPr>
                  <w:tcW w:type="dxa" w:w="176"/>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b/>
                      <w:color w:val="000000"/>
                    </w:rPr>
                    <w:t>1</w:t>
                  </w:r>
                </w:p>
              </w:tc>
              <w:tc>
                <w:tcPr>
                  <w:tcW w:type="dxa" w:w="40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b/>
                      <w:color w:val="000000"/>
                    </w:rPr>
                    <w:t>中心处理站</w:t>
                  </w:r>
                </w:p>
              </w:tc>
              <w:tc>
                <w:tcPr>
                  <w:tcW w:type="dxa" w:w="344"/>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b/>
                      <w:color w:val="000000"/>
                    </w:rPr>
                    <w:t>广货街保</w:t>
                  </w:r>
                </w:p>
                <w:p>
                  <w:pPr>
                    <w:pStyle w:val="null3"/>
                    <w:spacing w:before="105" w:after="105"/>
                    <w:jc w:val="center"/>
                  </w:pPr>
                  <w:r>
                    <w:rPr>
                      <w:rFonts w:ascii="仿宋_GB2312" w:hAnsi="仿宋_GB2312" w:cs="仿宋_GB2312" w:eastAsia="仿宋_GB2312"/>
                      <w:sz w:val="21"/>
                      <w:b/>
                      <w:color w:val="000000"/>
                    </w:rPr>
                    <w:t>护站</w:t>
                  </w:r>
                </w:p>
              </w:tc>
              <w:tc>
                <w:tcPr>
                  <w:tcW w:type="dxa" w:w="412"/>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b/>
                      <w:color w:val="000000"/>
                    </w:rPr>
                    <w:t>108.828249</w:t>
                  </w:r>
                </w:p>
              </w:tc>
              <w:tc>
                <w:tcPr>
                  <w:tcW w:type="dxa" w:w="38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b/>
                      <w:color w:val="000000"/>
                    </w:rPr>
                    <w:t>33.788004</w:t>
                  </w:r>
                </w:p>
              </w:tc>
              <w:tc>
                <w:tcPr>
                  <w:tcW w:type="dxa" w:w="30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b/>
                      <w:color w:val="000000"/>
                    </w:rPr>
                    <w:t>2190</w:t>
                  </w:r>
                </w:p>
              </w:tc>
              <w:tc>
                <w:tcPr>
                  <w:tcW w:type="dxa" w:w="517"/>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b/>
                      <w:color w:val="000000"/>
                    </w:rPr>
                    <w:t>已建梯子沟监测塔</w:t>
                  </w:r>
                </w:p>
              </w:tc>
            </w:tr>
            <w:tr>
              <w:tc>
                <w:tcPr>
                  <w:tcW w:type="dxa" w:w="176"/>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2</w:t>
                  </w:r>
                </w:p>
              </w:tc>
              <w:tc>
                <w:tcPr>
                  <w:tcW w:type="dxa" w:w="40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自组网红外相机</w:t>
                  </w:r>
                  <w:r>
                    <w:rPr>
                      <w:rFonts w:ascii="仿宋_GB2312" w:hAnsi="仿宋_GB2312" w:cs="仿宋_GB2312" w:eastAsia="仿宋_GB2312"/>
                      <w:sz w:val="21"/>
                      <w:color w:val="000000"/>
                    </w:rPr>
                    <w:t>1</w:t>
                  </w:r>
                </w:p>
              </w:tc>
              <w:tc>
                <w:tcPr>
                  <w:tcW w:type="dxa" w:w="344"/>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广货街保</w:t>
                  </w:r>
                </w:p>
                <w:p>
                  <w:pPr>
                    <w:pStyle w:val="null3"/>
                    <w:spacing w:before="105" w:after="105"/>
                    <w:jc w:val="center"/>
                  </w:pPr>
                  <w:r>
                    <w:rPr>
                      <w:rFonts w:ascii="仿宋_GB2312" w:hAnsi="仿宋_GB2312" w:cs="仿宋_GB2312" w:eastAsia="仿宋_GB2312"/>
                      <w:sz w:val="21"/>
                      <w:color w:val="000000"/>
                    </w:rPr>
                    <w:t>护站</w:t>
                  </w:r>
                </w:p>
              </w:tc>
              <w:tc>
                <w:tcPr>
                  <w:tcW w:type="dxa" w:w="412"/>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108.830319</w:t>
                  </w:r>
                </w:p>
              </w:tc>
              <w:tc>
                <w:tcPr>
                  <w:tcW w:type="dxa" w:w="38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33.787045</w:t>
                  </w:r>
                </w:p>
              </w:tc>
              <w:tc>
                <w:tcPr>
                  <w:tcW w:type="dxa" w:w="30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2116</w:t>
                  </w:r>
                </w:p>
              </w:tc>
              <w:tc>
                <w:tcPr>
                  <w:tcW w:type="dxa" w:w="517"/>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both"/>
                  </w:pPr>
                </w:p>
              </w:tc>
            </w:tr>
            <w:tr>
              <w:tc>
                <w:tcPr>
                  <w:tcW w:type="dxa" w:w="176"/>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3</w:t>
                  </w:r>
                </w:p>
              </w:tc>
              <w:tc>
                <w:tcPr>
                  <w:tcW w:type="dxa" w:w="40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自组网红外相机</w:t>
                  </w:r>
                  <w:r>
                    <w:rPr>
                      <w:rFonts w:ascii="仿宋_GB2312" w:hAnsi="仿宋_GB2312" w:cs="仿宋_GB2312" w:eastAsia="仿宋_GB2312"/>
                      <w:sz w:val="21"/>
                      <w:color w:val="000000"/>
                    </w:rPr>
                    <w:t>2</w:t>
                  </w:r>
                </w:p>
              </w:tc>
              <w:tc>
                <w:tcPr>
                  <w:tcW w:type="dxa" w:w="344"/>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广货街保</w:t>
                  </w:r>
                </w:p>
                <w:p>
                  <w:pPr>
                    <w:pStyle w:val="null3"/>
                    <w:spacing w:before="105" w:after="105"/>
                    <w:jc w:val="center"/>
                  </w:pPr>
                  <w:r>
                    <w:rPr>
                      <w:rFonts w:ascii="仿宋_GB2312" w:hAnsi="仿宋_GB2312" w:cs="仿宋_GB2312" w:eastAsia="仿宋_GB2312"/>
                      <w:sz w:val="21"/>
                      <w:color w:val="000000"/>
                    </w:rPr>
                    <w:t>护站</w:t>
                  </w:r>
                </w:p>
              </w:tc>
              <w:tc>
                <w:tcPr>
                  <w:tcW w:type="dxa" w:w="412"/>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108.831284</w:t>
                  </w:r>
                </w:p>
              </w:tc>
              <w:tc>
                <w:tcPr>
                  <w:tcW w:type="dxa" w:w="38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33.786157</w:t>
                  </w:r>
                </w:p>
              </w:tc>
              <w:tc>
                <w:tcPr>
                  <w:tcW w:type="dxa" w:w="30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2051</w:t>
                  </w:r>
                </w:p>
              </w:tc>
              <w:tc>
                <w:tcPr>
                  <w:tcW w:type="dxa" w:w="517"/>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both"/>
                  </w:pPr>
                </w:p>
              </w:tc>
            </w:tr>
            <w:tr>
              <w:tc>
                <w:tcPr>
                  <w:tcW w:type="dxa" w:w="176"/>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4</w:t>
                  </w:r>
                </w:p>
              </w:tc>
              <w:tc>
                <w:tcPr>
                  <w:tcW w:type="dxa" w:w="40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自组网红外相机</w:t>
                  </w:r>
                  <w:r>
                    <w:rPr>
                      <w:rFonts w:ascii="仿宋_GB2312" w:hAnsi="仿宋_GB2312" w:cs="仿宋_GB2312" w:eastAsia="仿宋_GB2312"/>
                      <w:sz w:val="21"/>
                      <w:color w:val="000000"/>
                    </w:rPr>
                    <w:t>3</w:t>
                  </w:r>
                </w:p>
              </w:tc>
              <w:tc>
                <w:tcPr>
                  <w:tcW w:type="dxa" w:w="344"/>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广货街保</w:t>
                  </w:r>
                </w:p>
                <w:p>
                  <w:pPr>
                    <w:pStyle w:val="null3"/>
                    <w:spacing w:before="105" w:after="105"/>
                    <w:jc w:val="center"/>
                  </w:pPr>
                  <w:r>
                    <w:rPr>
                      <w:rFonts w:ascii="仿宋_GB2312" w:hAnsi="仿宋_GB2312" w:cs="仿宋_GB2312" w:eastAsia="仿宋_GB2312"/>
                      <w:sz w:val="21"/>
                      <w:color w:val="000000"/>
                    </w:rPr>
                    <w:t>护站</w:t>
                  </w:r>
                </w:p>
              </w:tc>
              <w:tc>
                <w:tcPr>
                  <w:tcW w:type="dxa" w:w="412"/>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108.831987</w:t>
                  </w:r>
                </w:p>
              </w:tc>
              <w:tc>
                <w:tcPr>
                  <w:tcW w:type="dxa" w:w="38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33.785506</w:t>
                  </w:r>
                </w:p>
              </w:tc>
              <w:tc>
                <w:tcPr>
                  <w:tcW w:type="dxa" w:w="30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1989</w:t>
                  </w:r>
                </w:p>
              </w:tc>
              <w:tc>
                <w:tcPr>
                  <w:tcW w:type="dxa" w:w="517"/>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both"/>
                  </w:pPr>
                </w:p>
              </w:tc>
            </w:tr>
            <w:tr>
              <w:tc>
                <w:tcPr>
                  <w:tcW w:type="dxa" w:w="176"/>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5</w:t>
                  </w:r>
                </w:p>
              </w:tc>
              <w:tc>
                <w:tcPr>
                  <w:tcW w:type="dxa" w:w="40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自组网红外相机</w:t>
                  </w:r>
                  <w:r>
                    <w:rPr>
                      <w:rFonts w:ascii="仿宋_GB2312" w:hAnsi="仿宋_GB2312" w:cs="仿宋_GB2312" w:eastAsia="仿宋_GB2312"/>
                      <w:sz w:val="21"/>
                      <w:color w:val="000000"/>
                    </w:rPr>
                    <w:t>4</w:t>
                  </w:r>
                </w:p>
              </w:tc>
              <w:tc>
                <w:tcPr>
                  <w:tcW w:type="dxa" w:w="344"/>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广货街保</w:t>
                  </w:r>
                </w:p>
                <w:p>
                  <w:pPr>
                    <w:pStyle w:val="null3"/>
                    <w:spacing w:before="105" w:after="105"/>
                    <w:jc w:val="center"/>
                  </w:pPr>
                  <w:r>
                    <w:rPr>
                      <w:rFonts w:ascii="仿宋_GB2312" w:hAnsi="仿宋_GB2312" w:cs="仿宋_GB2312" w:eastAsia="仿宋_GB2312"/>
                      <w:sz w:val="21"/>
                      <w:color w:val="000000"/>
                    </w:rPr>
                    <w:t>护站</w:t>
                  </w:r>
                </w:p>
              </w:tc>
              <w:tc>
                <w:tcPr>
                  <w:tcW w:type="dxa" w:w="412"/>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108.826147</w:t>
                  </w:r>
                </w:p>
              </w:tc>
              <w:tc>
                <w:tcPr>
                  <w:tcW w:type="dxa" w:w="38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33.787134</w:t>
                  </w:r>
                </w:p>
              </w:tc>
              <w:tc>
                <w:tcPr>
                  <w:tcW w:type="dxa" w:w="30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2195</w:t>
                  </w:r>
                </w:p>
              </w:tc>
              <w:tc>
                <w:tcPr>
                  <w:tcW w:type="dxa" w:w="517"/>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both"/>
                  </w:pPr>
                </w:p>
              </w:tc>
            </w:tr>
            <w:tr>
              <w:tc>
                <w:tcPr>
                  <w:tcW w:type="dxa" w:w="176"/>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6</w:t>
                  </w:r>
                </w:p>
              </w:tc>
              <w:tc>
                <w:tcPr>
                  <w:tcW w:type="dxa" w:w="40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自组网红外相机</w:t>
                  </w:r>
                  <w:r>
                    <w:rPr>
                      <w:rFonts w:ascii="仿宋_GB2312" w:hAnsi="仿宋_GB2312" w:cs="仿宋_GB2312" w:eastAsia="仿宋_GB2312"/>
                      <w:sz w:val="21"/>
                      <w:color w:val="000000"/>
                    </w:rPr>
                    <w:t>5</w:t>
                  </w:r>
                </w:p>
              </w:tc>
              <w:tc>
                <w:tcPr>
                  <w:tcW w:type="dxa" w:w="344"/>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广货街保</w:t>
                  </w:r>
                </w:p>
                <w:p>
                  <w:pPr>
                    <w:pStyle w:val="null3"/>
                    <w:spacing w:before="105" w:after="105"/>
                    <w:jc w:val="center"/>
                  </w:pPr>
                  <w:r>
                    <w:rPr>
                      <w:rFonts w:ascii="仿宋_GB2312" w:hAnsi="仿宋_GB2312" w:cs="仿宋_GB2312" w:eastAsia="仿宋_GB2312"/>
                      <w:sz w:val="21"/>
                      <w:color w:val="000000"/>
                    </w:rPr>
                    <w:t>护站</w:t>
                  </w:r>
                </w:p>
              </w:tc>
              <w:tc>
                <w:tcPr>
                  <w:tcW w:type="dxa" w:w="412"/>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108.827245</w:t>
                  </w:r>
                </w:p>
              </w:tc>
              <w:tc>
                <w:tcPr>
                  <w:tcW w:type="dxa" w:w="38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33.787354</w:t>
                  </w:r>
                </w:p>
              </w:tc>
              <w:tc>
                <w:tcPr>
                  <w:tcW w:type="dxa" w:w="30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2206</w:t>
                  </w:r>
                </w:p>
              </w:tc>
              <w:tc>
                <w:tcPr>
                  <w:tcW w:type="dxa" w:w="517"/>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both"/>
                  </w:pPr>
                </w:p>
              </w:tc>
            </w:tr>
            <w:tr>
              <w:tc>
                <w:tcPr>
                  <w:tcW w:type="dxa" w:w="176"/>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7</w:t>
                  </w:r>
                </w:p>
              </w:tc>
              <w:tc>
                <w:tcPr>
                  <w:tcW w:type="dxa" w:w="40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自组网红外相机</w:t>
                  </w:r>
                  <w:r>
                    <w:rPr>
                      <w:rFonts w:ascii="仿宋_GB2312" w:hAnsi="仿宋_GB2312" w:cs="仿宋_GB2312" w:eastAsia="仿宋_GB2312"/>
                      <w:sz w:val="21"/>
                      <w:color w:val="000000"/>
                    </w:rPr>
                    <w:t>6</w:t>
                  </w:r>
                </w:p>
              </w:tc>
              <w:tc>
                <w:tcPr>
                  <w:tcW w:type="dxa" w:w="344"/>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广货街保</w:t>
                  </w:r>
                </w:p>
                <w:p>
                  <w:pPr>
                    <w:pStyle w:val="null3"/>
                    <w:spacing w:before="105" w:after="105"/>
                    <w:jc w:val="center"/>
                  </w:pPr>
                  <w:r>
                    <w:rPr>
                      <w:rFonts w:ascii="仿宋_GB2312" w:hAnsi="仿宋_GB2312" w:cs="仿宋_GB2312" w:eastAsia="仿宋_GB2312"/>
                      <w:sz w:val="21"/>
                      <w:color w:val="000000"/>
                    </w:rPr>
                    <w:t>护站</w:t>
                  </w:r>
                </w:p>
              </w:tc>
              <w:tc>
                <w:tcPr>
                  <w:tcW w:type="dxa" w:w="412"/>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108.825126</w:t>
                  </w:r>
                </w:p>
              </w:tc>
              <w:tc>
                <w:tcPr>
                  <w:tcW w:type="dxa" w:w="38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33.787197</w:t>
                  </w:r>
                </w:p>
              </w:tc>
              <w:tc>
                <w:tcPr>
                  <w:tcW w:type="dxa" w:w="30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2210</w:t>
                  </w:r>
                </w:p>
              </w:tc>
              <w:tc>
                <w:tcPr>
                  <w:tcW w:type="dxa" w:w="517"/>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both"/>
                  </w:pPr>
                </w:p>
              </w:tc>
            </w:tr>
            <w:tr>
              <w:tc>
                <w:tcPr>
                  <w:tcW w:type="dxa" w:w="176"/>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8</w:t>
                  </w:r>
                </w:p>
              </w:tc>
              <w:tc>
                <w:tcPr>
                  <w:tcW w:type="dxa" w:w="40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自组网红外相机</w:t>
                  </w:r>
                  <w:r>
                    <w:rPr>
                      <w:rFonts w:ascii="仿宋_GB2312" w:hAnsi="仿宋_GB2312" w:cs="仿宋_GB2312" w:eastAsia="仿宋_GB2312"/>
                      <w:sz w:val="21"/>
                      <w:color w:val="000000"/>
                    </w:rPr>
                    <w:t>7</w:t>
                  </w:r>
                </w:p>
              </w:tc>
              <w:tc>
                <w:tcPr>
                  <w:tcW w:type="dxa" w:w="344"/>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广货街保</w:t>
                  </w:r>
                </w:p>
                <w:p>
                  <w:pPr>
                    <w:pStyle w:val="null3"/>
                    <w:spacing w:before="105" w:after="105"/>
                    <w:jc w:val="center"/>
                  </w:pPr>
                  <w:r>
                    <w:rPr>
                      <w:rFonts w:ascii="仿宋_GB2312" w:hAnsi="仿宋_GB2312" w:cs="仿宋_GB2312" w:eastAsia="仿宋_GB2312"/>
                      <w:sz w:val="21"/>
                      <w:color w:val="000000"/>
                    </w:rPr>
                    <w:t>护站</w:t>
                  </w:r>
                </w:p>
              </w:tc>
              <w:tc>
                <w:tcPr>
                  <w:tcW w:type="dxa" w:w="412"/>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108.829946</w:t>
                  </w:r>
                </w:p>
              </w:tc>
              <w:tc>
                <w:tcPr>
                  <w:tcW w:type="dxa" w:w="38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33.788737</w:t>
                  </w:r>
                </w:p>
              </w:tc>
              <w:tc>
                <w:tcPr>
                  <w:tcW w:type="dxa" w:w="30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2234</w:t>
                  </w:r>
                </w:p>
              </w:tc>
              <w:tc>
                <w:tcPr>
                  <w:tcW w:type="dxa" w:w="517"/>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both"/>
                  </w:pPr>
                </w:p>
              </w:tc>
            </w:tr>
            <w:tr>
              <w:tc>
                <w:tcPr>
                  <w:tcW w:type="dxa" w:w="176"/>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9</w:t>
                  </w:r>
                </w:p>
              </w:tc>
              <w:tc>
                <w:tcPr>
                  <w:tcW w:type="dxa" w:w="40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自组网红外相机</w:t>
                  </w:r>
                  <w:r>
                    <w:rPr>
                      <w:rFonts w:ascii="仿宋_GB2312" w:hAnsi="仿宋_GB2312" w:cs="仿宋_GB2312" w:eastAsia="仿宋_GB2312"/>
                      <w:sz w:val="21"/>
                      <w:color w:val="000000"/>
                    </w:rPr>
                    <w:t>8</w:t>
                  </w:r>
                </w:p>
              </w:tc>
              <w:tc>
                <w:tcPr>
                  <w:tcW w:type="dxa" w:w="344"/>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广货街保</w:t>
                  </w:r>
                </w:p>
                <w:p>
                  <w:pPr>
                    <w:pStyle w:val="null3"/>
                    <w:spacing w:before="105" w:after="105"/>
                    <w:jc w:val="center"/>
                  </w:pPr>
                  <w:r>
                    <w:rPr>
                      <w:rFonts w:ascii="仿宋_GB2312" w:hAnsi="仿宋_GB2312" w:cs="仿宋_GB2312" w:eastAsia="仿宋_GB2312"/>
                      <w:sz w:val="21"/>
                      <w:color w:val="000000"/>
                    </w:rPr>
                    <w:t>护站</w:t>
                  </w:r>
                </w:p>
              </w:tc>
              <w:tc>
                <w:tcPr>
                  <w:tcW w:type="dxa" w:w="412"/>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108.829334</w:t>
                  </w:r>
                </w:p>
              </w:tc>
              <w:tc>
                <w:tcPr>
                  <w:tcW w:type="dxa" w:w="38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33.788285</w:t>
                  </w:r>
                </w:p>
              </w:tc>
              <w:tc>
                <w:tcPr>
                  <w:tcW w:type="dxa" w:w="30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2204</w:t>
                  </w:r>
                </w:p>
              </w:tc>
              <w:tc>
                <w:tcPr>
                  <w:tcW w:type="dxa" w:w="517"/>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both"/>
                  </w:pPr>
                </w:p>
              </w:tc>
            </w:tr>
            <w:tr>
              <w:tc>
                <w:tcPr>
                  <w:tcW w:type="dxa" w:w="176"/>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10</w:t>
                  </w:r>
                </w:p>
              </w:tc>
              <w:tc>
                <w:tcPr>
                  <w:tcW w:type="dxa" w:w="40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自组网红外相机</w:t>
                  </w:r>
                  <w:r>
                    <w:rPr>
                      <w:rFonts w:ascii="仿宋_GB2312" w:hAnsi="仿宋_GB2312" w:cs="仿宋_GB2312" w:eastAsia="仿宋_GB2312"/>
                      <w:sz w:val="21"/>
                      <w:color w:val="000000"/>
                    </w:rPr>
                    <w:t>9</w:t>
                  </w:r>
                </w:p>
              </w:tc>
              <w:tc>
                <w:tcPr>
                  <w:tcW w:type="dxa" w:w="344"/>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广货街保</w:t>
                  </w:r>
                </w:p>
                <w:p>
                  <w:pPr>
                    <w:pStyle w:val="null3"/>
                    <w:spacing w:before="105" w:after="105"/>
                    <w:jc w:val="center"/>
                  </w:pPr>
                  <w:r>
                    <w:rPr>
                      <w:rFonts w:ascii="仿宋_GB2312" w:hAnsi="仿宋_GB2312" w:cs="仿宋_GB2312" w:eastAsia="仿宋_GB2312"/>
                      <w:sz w:val="21"/>
                      <w:color w:val="000000"/>
                    </w:rPr>
                    <w:t>护站</w:t>
                  </w:r>
                </w:p>
              </w:tc>
              <w:tc>
                <w:tcPr>
                  <w:tcW w:type="dxa" w:w="412"/>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108.830549</w:t>
                  </w:r>
                </w:p>
              </w:tc>
              <w:tc>
                <w:tcPr>
                  <w:tcW w:type="dxa" w:w="38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33.789339</w:t>
                  </w:r>
                </w:p>
              </w:tc>
              <w:tc>
                <w:tcPr>
                  <w:tcW w:type="dxa" w:w="30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2271</w:t>
                  </w:r>
                </w:p>
              </w:tc>
              <w:tc>
                <w:tcPr>
                  <w:tcW w:type="dxa" w:w="517"/>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both"/>
                  </w:pPr>
                </w:p>
              </w:tc>
            </w:tr>
            <w:tr>
              <w:tc>
                <w:tcPr>
                  <w:tcW w:type="dxa" w:w="176"/>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11</w:t>
                  </w:r>
                </w:p>
              </w:tc>
              <w:tc>
                <w:tcPr>
                  <w:tcW w:type="dxa" w:w="40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自组网红外相机</w:t>
                  </w:r>
                  <w:r>
                    <w:rPr>
                      <w:rFonts w:ascii="仿宋_GB2312" w:hAnsi="仿宋_GB2312" w:cs="仿宋_GB2312" w:eastAsia="仿宋_GB2312"/>
                      <w:sz w:val="21"/>
                      <w:color w:val="000000"/>
                    </w:rPr>
                    <w:t>10</w:t>
                  </w:r>
                </w:p>
              </w:tc>
              <w:tc>
                <w:tcPr>
                  <w:tcW w:type="dxa" w:w="344"/>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广货街保</w:t>
                  </w:r>
                </w:p>
                <w:p>
                  <w:pPr>
                    <w:pStyle w:val="null3"/>
                    <w:spacing w:before="105" w:after="105"/>
                    <w:jc w:val="center"/>
                  </w:pPr>
                  <w:r>
                    <w:rPr>
                      <w:rFonts w:ascii="仿宋_GB2312" w:hAnsi="仿宋_GB2312" w:cs="仿宋_GB2312" w:eastAsia="仿宋_GB2312"/>
                      <w:sz w:val="21"/>
                      <w:color w:val="000000"/>
                    </w:rPr>
                    <w:t>护站</w:t>
                  </w:r>
                </w:p>
              </w:tc>
              <w:tc>
                <w:tcPr>
                  <w:tcW w:type="dxa" w:w="412"/>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108.831234</w:t>
                  </w:r>
                </w:p>
              </w:tc>
              <w:tc>
                <w:tcPr>
                  <w:tcW w:type="dxa" w:w="38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33.789874</w:t>
                  </w:r>
                </w:p>
              </w:tc>
              <w:tc>
                <w:tcPr>
                  <w:tcW w:type="dxa" w:w="30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2306</w:t>
                  </w:r>
                </w:p>
              </w:tc>
              <w:tc>
                <w:tcPr>
                  <w:tcW w:type="dxa" w:w="517"/>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both"/>
                  </w:pPr>
                </w:p>
              </w:tc>
            </w:tr>
            <w:tr>
              <w:tc>
                <w:tcPr>
                  <w:tcW w:type="dxa" w:w="176"/>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12</w:t>
                  </w:r>
                </w:p>
              </w:tc>
              <w:tc>
                <w:tcPr>
                  <w:tcW w:type="dxa" w:w="40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自组网红外相机</w:t>
                  </w:r>
                  <w:r>
                    <w:rPr>
                      <w:rFonts w:ascii="仿宋_GB2312" w:hAnsi="仿宋_GB2312" w:cs="仿宋_GB2312" w:eastAsia="仿宋_GB2312"/>
                      <w:sz w:val="21"/>
                      <w:color w:val="000000"/>
                    </w:rPr>
                    <w:t>11</w:t>
                  </w:r>
                </w:p>
              </w:tc>
              <w:tc>
                <w:tcPr>
                  <w:tcW w:type="dxa" w:w="344"/>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广货街保</w:t>
                  </w:r>
                </w:p>
                <w:p>
                  <w:pPr>
                    <w:pStyle w:val="null3"/>
                    <w:spacing w:before="105" w:after="105"/>
                    <w:jc w:val="center"/>
                  </w:pPr>
                  <w:r>
                    <w:rPr>
                      <w:rFonts w:ascii="仿宋_GB2312" w:hAnsi="仿宋_GB2312" w:cs="仿宋_GB2312" w:eastAsia="仿宋_GB2312"/>
                      <w:sz w:val="21"/>
                      <w:color w:val="000000"/>
                    </w:rPr>
                    <w:t>护站</w:t>
                  </w:r>
                </w:p>
              </w:tc>
              <w:tc>
                <w:tcPr>
                  <w:tcW w:type="dxa" w:w="412"/>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108.824847</w:t>
                  </w:r>
                </w:p>
              </w:tc>
              <w:tc>
                <w:tcPr>
                  <w:tcW w:type="dxa" w:w="38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33.788536</w:t>
                  </w:r>
                </w:p>
              </w:tc>
              <w:tc>
                <w:tcPr>
                  <w:tcW w:type="dxa" w:w="30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2201</w:t>
                  </w:r>
                </w:p>
              </w:tc>
              <w:tc>
                <w:tcPr>
                  <w:tcW w:type="dxa" w:w="517"/>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both"/>
                  </w:pPr>
                </w:p>
              </w:tc>
            </w:tr>
            <w:tr>
              <w:tc>
                <w:tcPr>
                  <w:tcW w:type="dxa" w:w="176"/>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13</w:t>
                  </w:r>
                </w:p>
              </w:tc>
              <w:tc>
                <w:tcPr>
                  <w:tcW w:type="dxa" w:w="40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自组网红外相机</w:t>
                  </w:r>
                  <w:r>
                    <w:rPr>
                      <w:rFonts w:ascii="仿宋_GB2312" w:hAnsi="仿宋_GB2312" w:cs="仿宋_GB2312" w:eastAsia="仿宋_GB2312"/>
                      <w:sz w:val="21"/>
                      <w:color w:val="000000"/>
                    </w:rPr>
                    <w:t>12</w:t>
                  </w:r>
                </w:p>
              </w:tc>
              <w:tc>
                <w:tcPr>
                  <w:tcW w:type="dxa" w:w="344"/>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广货街保</w:t>
                  </w:r>
                </w:p>
                <w:p>
                  <w:pPr>
                    <w:pStyle w:val="null3"/>
                    <w:spacing w:before="105" w:after="105"/>
                    <w:jc w:val="center"/>
                  </w:pPr>
                  <w:r>
                    <w:rPr>
                      <w:rFonts w:ascii="仿宋_GB2312" w:hAnsi="仿宋_GB2312" w:cs="仿宋_GB2312" w:eastAsia="仿宋_GB2312"/>
                      <w:sz w:val="21"/>
                      <w:color w:val="000000"/>
                    </w:rPr>
                    <w:t>护站</w:t>
                  </w:r>
                </w:p>
              </w:tc>
              <w:tc>
                <w:tcPr>
                  <w:tcW w:type="dxa" w:w="412"/>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108.824473</w:t>
                  </w:r>
                </w:p>
              </w:tc>
              <w:tc>
                <w:tcPr>
                  <w:tcW w:type="dxa" w:w="38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33.790133</w:t>
                  </w:r>
                </w:p>
              </w:tc>
              <w:tc>
                <w:tcPr>
                  <w:tcW w:type="dxa" w:w="30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2191</w:t>
                  </w:r>
                </w:p>
              </w:tc>
              <w:tc>
                <w:tcPr>
                  <w:tcW w:type="dxa" w:w="517"/>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both"/>
                  </w:pPr>
                </w:p>
              </w:tc>
            </w:tr>
            <w:tr>
              <w:tc>
                <w:tcPr>
                  <w:tcW w:type="dxa" w:w="176"/>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14</w:t>
                  </w:r>
                </w:p>
              </w:tc>
              <w:tc>
                <w:tcPr>
                  <w:tcW w:type="dxa" w:w="40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自组网红外相机</w:t>
                  </w:r>
                  <w:r>
                    <w:rPr>
                      <w:rFonts w:ascii="仿宋_GB2312" w:hAnsi="仿宋_GB2312" w:cs="仿宋_GB2312" w:eastAsia="仿宋_GB2312"/>
                      <w:sz w:val="21"/>
                      <w:color w:val="000000"/>
                    </w:rPr>
                    <w:t>13</w:t>
                  </w:r>
                </w:p>
              </w:tc>
              <w:tc>
                <w:tcPr>
                  <w:tcW w:type="dxa" w:w="344"/>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广货街保</w:t>
                  </w:r>
                </w:p>
                <w:p>
                  <w:pPr>
                    <w:pStyle w:val="null3"/>
                    <w:spacing w:before="105" w:after="105"/>
                    <w:jc w:val="center"/>
                  </w:pPr>
                  <w:r>
                    <w:rPr>
                      <w:rFonts w:ascii="仿宋_GB2312" w:hAnsi="仿宋_GB2312" w:cs="仿宋_GB2312" w:eastAsia="仿宋_GB2312"/>
                      <w:sz w:val="21"/>
                      <w:color w:val="000000"/>
                    </w:rPr>
                    <w:t>护站</w:t>
                  </w:r>
                </w:p>
              </w:tc>
              <w:tc>
                <w:tcPr>
                  <w:tcW w:type="dxa" w:w="412"/>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108.824139</w:t>
                  </w:r>
                </w:p>
              </w:tc>
              <w:tc>
                <w:tcPr>
                  <w:tcW w:type="dxa" w:w="38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33.791808</w:t>
                  </w:r>
                </w:p>
              </w:tc>
              <w:tc>
                <w:tcPr>
                  <w:tcW w:type="dxa" w:w="30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2146</w:t>
                  </w:r>
                </w:p>
              </w:tc>
              <w:tc>
                <w:tcPr>
                  <w:tcW w:type="dxa" w:w="517"/>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both"/>
                  </w:pPr>
                </w:p>
              </w:tc>
            </w:tr>
            <w:tr>
              <w:tc>
                <w:tcPr>
                  <w:tcW w:type="dxa" w:w="176"/>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15</w:t>
                  </w:r>
                </w:p>
              </w:tc>
              <w:tc>
                <w:tcPr>
                  <w:tcW w:type="dxa" w:w="40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自组网红外相机</w:t>
                  </w:r>
                  <w:r>
                    <w:rPr>
                      <w:rFonts w:ascii="仿宋_GB2312" w:hAnsi="仿宋_GB2312" w:cs="仿宋_GB2312" w:eastAsia="仿宋_GB2312"/>
                      <w:sz w:val="21"/>
                      <w:color w:val="000000"/>
                    </w:rPr>
                    <w:t>14</w:t>
                  </w:r>
                </w:p>
              </w:tc>
              <w:tc>
                <w:tcPr>
                  <w:tcW w:type="dxa" w:w="344"/>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广货街保</w:t>
                  </w:r>
                </w:p>
                <w:p>
                  <w:pPr>
                    <w:pStyle w:val="null3"/>
                    <w:spacing w:before="105" w:after="105"/>
                    <w:jc w:val="center"/>
                  </w:pPr>
                  <w:r>
                    <w:rPr>
                      <w:rFonts w:ascii="仿宋_GB2312" w:hAnsi="仿宋_GB2312" w:cs="仿宋_GB2312" w:eastAsia="仿宋_GB2312"/>
                      <w:sz w:val="21"/>
                      <w:color w:val="000000"/>
                    </w:rPr>
                    <w:t>护站</w:t>
                  </w:r>
                </w:p>
              </w:tc>
              <w:tc>
                <w:tcPr>
                  <w:tcW w:type="dxa" w:w="412"/>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108.828694</w:t>
                  </w:r>
                </w:p>
              </w:tc>
              <w:tc>
                <w:tcPr>
                  <w:tcW w:type="dxa" w:w="38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33.786999</w:t>
                  </w:r>
                </w:p>
              </w:tc>
              <w:tc>
                <w:tcPr>
                  <w:tcW w:type="dxa" w:w="30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2168</w:t>
                  </w:r>
                </w:p>
              </w:tc>
              <w:tc>
                <w:tcPr>
                  <w:tcW w:type="dxa" w:w="517"/>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both"/>
                  </w:pPr>
                </w:p>
              </w:tc>
            </w:tr>
            <w:tr>
              <w:tc>
                <w:tcPr>
                  <w:tcW w:type="dxa" w:w="176"/>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16</w:t>
                  </w:r>
                </w:p>
              </w:tc>
              <w:tc>
                <w:tcPr>
                  <w:tcW w:type="dxa" w:w="40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自组网红外相机</w:t>
                  </w:r>
                  <w:r>
                    <w:rPr>
                      <w:rFonts w:ascii="仿宋_GB2312" w:hAnsi="仿宋_GB2312" w:cs="仿宋_GB2312" w:eastAsia="仿宋_GB2312"/>
                      <w:sz w:val="21"/>
                      <w:color w:val="000000"/>
                    </w:rPr>
                    <w:t>15</w:t>
                  </w:r>
                </w:p>
              </w:tc>
              <w:tc>
                <w:tcPr>
                  <w:tcW w:type="dxa" w:w="344"/>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广货街保</w:t>
                  </w:r>
                </w:p>
                <w:p>
                  <w:pPr>
                    <w:pStyle w:val="null3"/>
                    <w:spacing w:before="105" w:after="105"/>
                    <w:jc w:val="center"/>
                  </w:pPr>
                  <w:r>
                    <w:rPr>
                      <w:rFonts w:ascii="仿宋_GB2312" w:hAnsi="仿宋_GB2312" w:cs="仿宋_GB2312" w:eastAsia="仿宋_GB2312"/>
                      <w:sz w:val="21"/>
                      <w:color w:val="000000"/>
                    </w:rPr>
                    <w:t>护站</w:t>
                  </w:r>
                </w:p>
              </w:tc>
              <w:tc>
                <w:tcPr>
                  <w:tcW w:type="dxa" w:w="412"/>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108.832897</w:t>
                  </w:r>
                </w:p>
              </w:tc>
              <w:tc>
                <w:tcPr>
                  <w:tcW w:type="dxa" w:w="38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33.784644</w:t>
                  </w:r>
                </w:p>
              </w:tc>
              <w:tc>
                <w:tcPr>
                  <w:tcW w:type="dxa" w:w="30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1965</w:t>
                  </w:r>
                </w:p>
              </w:tc>
              <w:tc>
                <w:tcPr>
                  <w:tcW w:type="dxa" w:w="517"/>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both"/>
                  </w:pPr>
                </w:p>
              </w:tc>
            </w:tr>
            <w:tr>
              <w:tc>
                <w:tcPr>
                  <w:tcW w:type="dxa" w:w="176"/>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17</w:t>
                  </w:r>
                </w:p>
              </w:tc>
              <w:tc>
                <w:tcPr>
                  <w:tcW w:type="dxa" w:w="40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自组网红外相机</w:t>
                  </w:r>
                  <w:r>
                    <w:rPr>
                      <w:rFonts w:ascii="仿宋_GB2312" w:hAnsi="仿宋_GB2312" w:cs="仿宋_GB2312" w:eastAsia="仿宋_GB2312"/>
                      <w:sz w:val="21"/>
                      <w:color w:val="000000"/>
                    </w:rPr>
                    <w:t>16</w:t>
                  </w:r>
                </w:p>
              </w:tc>
              <w:tc>
                <w:tcPr>
                  <w:tcW w:type="dxa" w:w="344"/>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广货街保</w:t>
                  </w:r>
                </w:p>
                <w:p>
                  <w:pPr>
                    <w:pStyle w:val="null3"/>
                    <w:spacing w:before="105" w:after="105"/>
                    <w:jc w:val="center"/>
                  </w:pPr>
                  <w:r>
                    <w:rPr>
                      <w:rFonts w:ascii="仿宋_GB2312" w:hAnsi="仿宋_GB2312" w:cs="仿宋_GB2312" w:eastAsia="仿宋_GB2312"/>
                      <w:sz w:val="21"/>
                      <w:color w:val="000000"/>
                    </w:rPr>
                    <w:t>护站</w:t>
                  </w:r>
                </w:p>
              </w:tc>
              <w:tc>
                <w:tcPr>
                  <w:tcW w:type="dxa" w:w="412"/>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108.829198</w:t>
                  </w:r>
                </w:p>
              </w:tc>
              <w:tc>
                <w:tcPr>
                  <w:tcW w:type="dxa" w:w="38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33.784300</w:t>
                  </w:r>
                </w:p>
              </w:tc>
              <w:tc>
                <w:tcPr>
                  <w:tcW w:type="dxa" w:w="30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1984</w:t>
                  </w:r>
                </w:p>
              </w:tc>
              <w:tc>
                <w:tcPr>
                  <w:tcW w:type="dxa" w:w="517"/>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both"/>
                  </w:pPr>
                </w:p>
              </w:tc>
            </w:tr>
            <w:tr>
              <w:tc>
                <w:tcPr>
                  <w:tcW w:type="dxa" w:w="176"/>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18</w:t>
                  </w:r>
                </w:p>
              </w:tc>
              <w:tc>
                <w:tcPr>
                  <w:tcW w:type="dxa" w:w="40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自组网红外相机</w:t>
                  </w:r>
                  <w:r>
                    <w:rPr>
                      <w:rFonts w:ascii="仿宋_GB2312" w:hAnsi="仿宋_GB2312" w:cs="仿宋_GB2312" w:eastAsia="仿宋_GB2312"/>
                      <w:sz w:val="21"/>
                      <w:color w:val="000000"/>
                    </w:rPr>
                    <w:t>17</w:t>
                  </w:r>
                </w:p>
              </w:tc>
              <w:tc>
                <w:tcPr>
                  <w:tcW w:type="dxa" w:w="344"/>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广货街保</w:t>
                  </w:r>
                </w:p>
                <w:p>
                  <w:pPr>
                    <w:pStyle w:val="null3"/>
                    <w:spacing w:before="105" w:after="105"/>
                    <w:jc w:val="center"/>
                  </w:pPr>
                  <w:r>
                    <w:rPr>
                      <w:rFonts w:ascii="仿宋_GB2312" w:hAnsi="仿宋_GB2312" w:cs="仿宋_GB2312" w:eastAsia="仿宋_GB2312"/>
                      <w:sz w:val="21"/>
                      <w:color w:val="000000"/>
                    </w:rPr>
                    <w:t>护站</w:t>
                  </w:r>
                </w:p>
              </w:tc>
              <w:tc>
                <w:tcPr>
                  <w:tcW w:type="dxa" w:w="412"/>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108.828414</w:t>
                  </w:r>
                </w:p>
              </w:tc>
              <w:tc>
                <w:tcPr>
                  <w:tcW w:type="dxa" w:w="38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33.785002</w:t>
                  </w:r>
                </w:p>
              </w:tc>
              <w:tc>
                <w:tcPr>
                  <w:tcW w:type="dxa" w:w="30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2024</w:t>
                  </w:r>
                </w:p>
              </w:tc>
              <w:tc>
                <w:tcPr>
                  <w:tcW w:type="dxa" w:w="517"/>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both"/>
                  </w:pPr>
                </w:p>
              </w:tc>
            </w:tr>
            <w:tr>
              <w:tc>
                <w:tcPr>
                  <w:tcW w:type="dxa" w:w="176"/>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19</w:t>
                  </w:r>
                </w:p>
              </w:tc>
              <w:tc>
                <w:tcPr>
                  <w:tcW w:type="dxa" w:w="40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自组网红外相机</w:t>
                  </w:r>
                  <w:r>
                    <w:rPr>
                      <w:rFonts w:ascii="仿宋_GB2312" w:hAnsi="仿宋_GB2312" w:cs="仿宋_GB2312" w:eastAsia="仿宋_GB2312"/>
                      <w:sz w:val="21"/>
                      <w:color w:val="000000"/>
                    </w:rPr>
                    <w:t>18</w:t>
                  </w:r>
                </w:p>
              </w:tc>
              <w:tc>
                <w:tcPr>
                  <w:tcW w:type="dxa" w:w="344"/>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广货街保</w:t>
                  </w:r>
                </w:p>
                <w:p>
                  <w:pPr>
                    <w:pStyle w:val="null3"/>
                    <w:spacing w:before="105" w:after="105"/>
                    <w:jc w:val="center"/>
                  </w:pPr>
                  <w:r>
                    <w:rPr>
                      <w:rFonts w:ascii="仿宋_GB2312" w:hAnsi="仿宋_GB2312" w:cs="仿宋_GB2312" w:eastAsia="仿宋_GB2312"/>
                      <w:sz w:val="21"/>
                      <w:color w:val="000000"/>
                    </w:rPr>
                    <w:t>护站</w:t>
                  </w:r>
                </w:p>
              </w:tc>
              <w:tc>
                <w:tcPr>
                  <w:tcW w:type="dxa" w:w="412"/>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108.828036</w:t>
                  </w:r>
                </w:p>
              </w:tc>
              <w:tc>
                <w:tcPr>
                  <w:tcW w:type="dxa" w:w="38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33.785604</w:t>
                  </w:r>
                </w:p>
              </w:tc>
              <w:tc>
                <w:tcPr>
                  <w:tcW w:type="dxa" w:w="30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2091</w:t>
                  </w:r>
                </w:p>
              </w:tc>
              <w:tc>
                <w:tcPr>
                  <w:tcW w:type="dxa" w:w="517"/>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both"/>
                  </w:pPr>
                </w:p>
              </w:tc>
            </w:tr>
          </w:tbl>
          <w:p>
            <w:pPr>
              <w:pStyle w:val="null3"/>
              <w:jc w:val="center"/>
            </w:pPr>
            <w:r>
              <w:rPr>
                <w:rFonts w:ascii="仿宋_GB2312" w:hAnsi="仿宋_GB2312" w:cs="仿宋_GB2312" w:eastAsia="仿宋_GB2312"/>
                <w:sz w:val="21"/>
                <w:b/>
                <w:color w:val="000000"/>
              </w:rPr>
              <w:t>表</w:t>
            </w:r>
            <w:r>
              <w:rPr>
                <w:rFonts w:ascii="仿宋_GB2312" w:hAnsi="仿宋_GB2312" w:cs="仿宋_GB2312" w:eastAsia="仿宋_GB2312"/>
                <w:sz w:val="21"/>
                <w:b/>
                <w:color w:val="000000"/>
              </w:rPr>
              <w:t>4-2 自组网红外相机监测系统主要设备技术参数</w:t>
            </w:r>
          </w:p>
          <w:tbl>
            <w:tblPr>
              <w:tblInd w:type="dxa" w:w="210"/>
              <w:tblBorders>
                <w:top w:val="none" w:color="000000" w:sz="4"/>
                <w:left w:val="none" w:color="000000" w:sz="4"/>
                <w:bottom w:val="none" w:color="000000" w:sz="4"/>
                <w:right w:val="none" w:color="000000" w:sz="4"/>
                <w:insideH w:val="none"/>
                <w:insideV w:val="none"/>
              </w:tblBorders>
            </w:tblPr>
            <w:tblGrid>
              <w:gridCol w:w="233"/>
              <w:gridCol w:w="310"/>
              <w:gridCol w:w="1550"/>
              <w:gridCol w:w="155"/>
              <w:gridCol w:w="151"/>
              <w:gridCol w:w="143"/>
            </w:tblGrid>
            <w:tr>
              <w:tc>
                <w:tcPr>
                  <w:tcW w:type="dxa" w:w="233"/>
                  <w:tcBorders>
                    <w:top w:val="singl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b/>
                      <w:color w:val="000000"/>
                    </w:rPr>
                    <w:t>序号</w:t>
                  </w:r>
                </w:p>
              </w:tc>
              <w:tc>
                <w:tcPr>
                  <w:tcW w:type="dxa" w:w="310"/>
                  <w:tcBorders>
                    <w:top w:val="singl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b/>
                      <w:color w:val="000000"/>
                    </w:rPr>
                    <w:t>设备名称</w:t>
                  </w:r>
                </w:p>
              </w:tc>
              <w:tc>
                <w:tcPr>
                  <w:tcW w:type="dxa" w:w="1550"/>
                  <w:tcBorders>
                    <w:top w:val="singl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b/>
                      <w:color w:val="000000"/>
                    </w:rPr>
                    <w:t>设备参数</w:t>
                  </w:r>
                </w:p>
              </w:tc>
              <w:tc>
                <w:tcPr>
                  <w:tcW w:type="dxa" w:w="155"/>
                  <w:tcBorders>
                    <w:top w:val="singl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b/>
                      <w:color w:val="000000"/>
                    </w:rPr>
                    <w:t>单位</w:t>
                  </w:r>
                </w:p>
              </w:tc>
              <w:tc>
                <w:tcPr>
                  <w:tcW w:type="dxa" w:w="151"/>
                  <w:tcBorders>
                    <w:top w:val="singl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b/>
                      <w:color w:val="000000"/>
                    </w:rPr>
                    <w:t>数量</w:t>
                  </w:r>
                </w:p>
              </w:tc>
              <w:tc>
                <w:tcPr>
                  <w:tcW w:type="dxa" w:w="143"/>
                  <w:tcBorders>
                    <w:top w:val="singl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b/>
                      <w:color w:val="000000"/>
                    </w:rPr>
                    <w:t>备注</w:t>
                  </w:r>
                </w:p>
              </w:tc>
            </w:tr>
            <w:tr>
              <w:tc>
                <w:tcPr>
                  <w:tcW w:type="dxa" w:w="233"/>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1</w:t>
                  </w:r>
                </w:p>
              </w:tc>
              <w:tc>
                <w:tcPr>
                  <w:tcW w:type="dxa" w:w="31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自组网中心处理站</w:t>
                  </w:r>
                </w:p>
              </w:tc>
              <w:tc>
                <w:tcPr>
                  <w:tcW w:type="dxa" w:w="155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both"/>
                  </w:pPr>
                  <w:r>
                    <w:rPr>
                      <w:rFonts w:ascii="仿宋_GB2312" w:hAnsi="仿宋_GB2312" w:cs="仿宋_GB2312" w:eastAsia="仿宋_GB2312"/>
                      <w:sz w:val="21"/>
                      <w:color w:val="000000"/>
                    </w:rPr>
                    <w:t>支持跳频，避免同频干扰；</w:t>
                  </w:r>
                </w:p>
                <w:p>
                  <w:pPr>
                    <w:pStyle w:val="null3"/>
                    <w:spacing w:before="105" w:after="105"/>
                    <w:jc w:val="both"/>
                  </w:pPr>
                  <w:r>
                    <w:rPr>
                      <w:rFonts w:ascii="仿宋_GB2312" w:hAnsi="仿宋_GB2312" w:cs="仿宋_GB2312" w:eastAsia="仿宋_GB2312"/>
                      <w:sz w:val="21"/>
                      <w:color w:val="000000"/>
                    </w:rPr>
                    <w:t>支持多种组网方式：点对点，点对多；</w:t>
                  </w:r>
                </w:p>
                <w:p>
                  <w:pPr>
                    <w:pStyle w:val="null3"/>
                    <w:spacing w:before="105" w:after="105"/>
                    <w:jc w:val="both"/>
                  </w:pPr>
                  <w:r>
                    <w:rPr>
                      <w:rFonts w:ascii="仿宋_GB2312" w:hAnsi="仿宋_GB2312" w:cs="仿宋_GB2312" w:eastAsia="仿宋_GB2312"/>
                      <w:sz w:val="21"/>
                      <w:color w:val="000000"/>
                    </w:rPr>
                    <w:t>灵敏度最高可达：</w:t>
                  </w:r>
                  <w:r>
                    <w:rPr>
                      <w:rFonts w:ascii="仿宋_GB2312" w:hAnsi="仿宋_GB2312" w:cs="仿宋_GB2312" w:eastAsia="仿宋_GB2312"/>
                      <w:sz w:val="21"/>
                      <w:color w:val="000000"/>
                    </w:rPr>
                    <w:t>-106dBm@3M</w:t>
                  </w:r>
                </w:p>
                <w:p>
                  <w:pPr>
                    <w:pStyle w:val="null3"/>
                    <w:spacing w:before="105" w:after="105"/>
                    <w:jc w:val="both"/>
                  </w:pPr>
                  <w:r>
                    <w:rPr>
                      <w:rFonts w:ascii="仿宋_GB2312" w:hAnsi="仿宋_GB2312" w:cs="仿宋_GB2312" w:eastAsia="仿宋_GB2312"/>
                      <w:sz w:val="21"/>
                      <w:color w:val="000000"/>
                    </w:rPr>
                    <w:t>双天线设计，支持双向通信，支持单发单收，单发双收</w:t>
                  </w:r>
                </w:p>
                <w:p>
                  <w:pPr>
                    <w:pStyle w:val="null3"/>
                    <w:spacing w:before="105" w:after="105"/>
                    <w:jc w:val="both"/>
                  </w:pPr>
                  <w:r>
                    <w:rPr>
                      <w:rFonts w:ascii="仿宋_GB2312" w:hAnsi="仿宋_GB2312" w:cs="仿宋_GB2312" w:eastAsia="仿宋_GB2312"/>
                      <w:sz w:val="21"/>
                      <w:color w:val="000000"/>
                    </w:rPr>
                    <w:t>低功耗设计，整机功耗不大于</w:t>
                  </w:r>
                  <w:r>
                    <w:rPr>
                      <w:rFonts w:ascii="仿宋_GB2312" w:hAnsi="仿宋_GB2312" w:cs="仿宋_GB2312" w:eastAsia="仿宋_GB2312"/>
                      <w:sz w:val="21"/>
                      <w:color w:val="000000"/>
                    </w:rPr>
                    <w:t>3.5W</w:t>
                  </w:r>
                </w:p>
                <w:p>
                  <w:pPr>
                    <w:pStyle w:val="null3"/>
                    <w:spacing w:before="105" w:after="105"/>
                    <w:jc w:val="both"/>
                  </w:pPr>
                  <w:r>
                    <w:rPr>
                      <w:rFonts w:ascii="仿宋_GB2312" w:hAnsi="仿宋_GB2312" w:cs="仿宋_GB2312" w:eastAsia="仿宋_GB2312"/>
                      <w:sz w:val="21"/>
                      <w:color w:val="000000"/>
                    </w:rPr>
                    <w:t>非视距低功耗远距离传输，视距</w:t>
                  </w:r>
                  <w:r>
                    <w:rPr>
                      <w:rFonts w:ascii="仿宋_GB2312" w:hAnsi="仿宋_GB2312" w:cs="仿宋_GB2312" w:eastAsia="仿宋_GB2312"/>
                      <w:sz w:val="21"/>
                      <w:color w:val="000000"/>
                    </w:rPr>
                    <w:t>&gt;5km ，山地林区 1～3km；</w:t>
                  </w:r>
                </w:p>
                <w:p>
                  <w:pPr>
                    <w:pStyle w:val="null3"/>
                    <w:spacing w:before="105" w:after="105"/>
                    <w:jc w:val="both"/>
                  </w:pPr>
                  <w:r>
                    <w:rPr>
                      <w:rFonts w:ascii="仿宋_GB2312" w:hAnsi="仿宋_GB2312" w:cs="仿宋_GB2312" w:eastAsia="仿宋_GB2312"/>
                      <w:sz w:val="21"/>
                      <w:color w:val="000000"/>
                    </w:rPr>
                    <w:t>最大并发数不小于</w:t>
                  </w:r>
                  <w:r>
                    <w:rPr>
                      <w:rFonts w:ascii="仿宋_GB2312" w:hAnsi="仿宋_GB2312" w:cs="仿宋_GB2312" w:eastAsia="仿宋_GB2312"/>
                      <w:sz w:val="21"/>
                      <w:color w:val="000000"/>
                    </w:rPr>
                    <w:t>16 个</w:t>
                  </w:r>
                </w:p>
                <w:p>
                  <w:pPr>
                    <w:pStyle w:val="null3"/>
                    <w:spacing w:before="105" w:after="105"/>
                    <w:jc w:val="both"/>
                  </w:pPr>
                  <w:r>
                    <w:rPr>
                      <w:rFonts w:ascii="仿宋_GB2312" w:hAnsi="仿宋_GB2312" w:cs="仿宋_GB2312" w:eastAsia="仿宋_GB2312"/>
                      <w:sz w:val="21"/>
                      <w:color w:val="000000"/>
                    </w:rPr>
                    <w:t>最大速率不小于</w:t>
                  </w:r>
                  <w:r>
                    <w:rPr>
                      <w:rFonts w:ascii="仿宋_GB2312" w:hAnsi="仿宋_GB2312" w:cs="仿宋_GB2312" w:eastAsia="仿宋_GB2312"/>
                      <w:sz w:val="21"/>
                      <w:color w:val="000000"/>
                    </w:rPr>
                    <w:t>30Mbps，可直接回传原图原视频及实时视频流</w:t>
                  </w:r>
                </w:p>
                <w:p>
                  <w:pPr>
                    <w:pStyle w:val="null3"/>
                    <w:spacing w:before="105" w:after="105"/>
                    <w:jc w:val="both"/>
                  </w:pPr>
                  <w:r>
                    <w:rPr>
                      <w:rFonts w:ascii="仿宋_GB2312" w:hAnsi="仿宋_GB2312" w:cs="仿宋_GB2312" w:eastAsia="仿宋_GB2312"/>
                      <w:sz w:val="21"/>
                      <w:color w:val="000000"/>
                    </w:rPr>
                    <w:t>工作温度</w:t>
                  </w:r>
                  <w:r>
                    <w:rPr>
                      <w:rFonts w:ascii="仿宋_GB2312" w:hAnsi="仿宋_GB2312" w:cs="仿宋_GB2312" w:eastAsia="仿宋_GB2312"/>
                      <w:sz w:val="21"/>
                      <w:color w:val="000000"/>
                    </w:rPr>
                    <w:t>-40 至+80摄氏度，工作湿度最大98%，并能承受长时间高温低温高湿的反复冲击。</w:t>
                  </w:r>
                </w:p>
              </w:tc>
              <w:tc>
                <w:tcPr>
                  <w:tcW w:type="dxa" w:w="155"/>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台</w:t>
                  </w:r>
                </w:p>
              </w:tc>
              <w:tc>
                <w:tcPr>
                  <w:tcW w:type="dxa" w:w="151"/>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1</w:t>
                  </w:r>
                </w:p>
              </w:tc>
              <w:tc>
                <w:tcPr>
                  <w:tcW w:type="dxa" w:w="143"/>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both"/>
                  </w:pPr>
                </w:p>
              </w:tc>
            </w:tr>
            <w:tr>
              <w:tc>
                <w:tcPr>
                  <w:tcW w:type="dxa" w:w="233"/>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2</w:t>
                  </w:r>
                </w:p>
              </w:tc>
              <w:tc>
                <w:tcPr>
                  <w:tcW w:type="dxa" w:w="31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自组网红外相机</w:t>
                  </w:r>
                </w:p>
              </w:tc>
              <w:tc>
                <w:tcPr>
                  <w:tcW w:type="dxa" w:w="155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both"/>
                  </w:pPr>
                  <w:r>
                    <w:rPr>
                      <w:rFonts w:ascii="仿宋_GB2312" w:hAnsi="仿宋_GB2312" w:cs="仿宋_GB2312" w:eastAsia="仿宋_GB2312"/>
                      <w:sz w:val="21"/>
                      <w:color w:val="000000"/>
                    </w:rPr>
                    <w:t>相机内置自组网通讯模组，支持多频段可选</w:t>
                  </w:r>
                </w:p>
                <w:p>
                  <w:pPr>
                    <w:pStyle w:val="null3"/>
                    <w:spacing w:before="105" w:after="105"/>
                    <w:jc w:val="both"/>
                  </w:pPr>
                  <w:r>
                    <w:rPr>
                      <w:rFonts w:ascii="仿宋_GB2312" w:hAnsi="仿宋_GB2312" w:cs="仿宋_GB2312" w:eastAsia="仿宋_GB2312"/>
                      <w:sz w:val="21"/>
                      <w:color w:val="000000"/>
                    </w:rPr>
                    <w:t>最大传输速率不小于</w:t>
                  </w:r>
                  <w:r>
                    <w:rPr>
                      <w:rFonts w:ascii="仿宋_GB2312" w:hAnsi="仿宋_GB2312" w:cs="仿宋_GB2312" w:eastAsia="仿宋_GB2312"/>
                      <w:sz w:val="21"/>
                      <w:color w:val="000000"/>
                    </w:rPr>
                    <w:t>30Mbps</w:t>
                  </w:r>
                </w:p>
                <w:p>
                  <w:pPr>
                    <w:pStyle w:val="null3"/>
                    <w:spacing w:before="105" w:after="105"/>
                    <w:jc w:val="both"/>
                  </w:pPr>
                  <w:r>
                    <w:rPr>
                      <w:rFonts w:ascii="仿宋_GB2312" w:hAnsi="仿宋_GB2312" w:cs="仿宋_GB2312" w:eastAsia="仿宋_GB2312"/>
                      <w:sz w:val="21"/>
                      <w:color w:val="000000"/>
                    </w:rPr>
                    <w:t>支持上传原文件、压缩视频，缩略图可选</w:t>
                  </w:r>
                </w:p>
                <w:p>
                  <w:pPr>
                    <w:pStyle w:val="null3"/>
                    <w:spacing w:before="105" w:after="105"/>
                    <w:jc w:val="both"/>
                  </w:pPr>
                  <w:r>
                    <w:rPr>
                      <w:rFonts w:ascii="仿宋_GB2312" w:hAnsi="仿宋_GB2312" w:cs="仿宋_GB2312" w:eastAsia="仿宋_GB2312"/>
                      <w:sz w:val="21"/>
                      <w:color w:val="000000"/>
                    </w:rPr>
                    <w:t>支持直播实时推流</w:t>
                  </w:r>
                </w:p>
                <w:p>
                  <w:pPr>
                    <w:pStyle w:val="null3"/>
                    <w:spacing w:before="105" w:after="105"/>
                    <w:jc w:val="both"/>
                  </w:pPr>
                  <w:r>
                    <w:rPr>
                      <w:rFonts w:ascii="仿宋_GB2312" w:hAnsi="仿宋_GB2312" w:cs="仿宋_GB2312" w:eastAsia="仿宋_GB2312"/>
                      <w:sz w:val="21"/>
                      <w:color w:val="000000"/>
                    </w:rPr>
                    <w:t>双天线设计，支持双向通信，支持单发单收，单发双收</w:t>
                  </w:r>
                </w:p>
                <w:p>
                  <w:pPr>
                    <w:pStyle w:val="null3"/>
                    <w:spacing w:before="105" w:after="105"/>
                    <w:jc w:val="both"/>
                  </w:pPr>
                  <w:r>
                    <w:rPr>
                      <w:rFonts w:ascii="仿宋_GB2312" w:hAnsi="仿宋_GB2312" w:cs="仿宋_GB2312" w:eastAsia="仿宋_GB2312"/>
                      <w:sz w:val="21"/>
                      <w:color w:val="000000"/>
                    </w:rPr>
                    <w:t>支持跳频，避免同频干扰；</w:t>
                  </w:r>
                </w:p>
                <w:p>
                  <w:pPr>
                    <w:pStyle w:val="null3"/>
                    <w:spacing w:before="105" w:after="105"/>
                    <w:jc w:val="both"/>
                  </w:pPr>
                  <w:r>
                    <w:rPr>
                      <w:rFonts w:ascii="仿宋_GB2312" w:hAnsi="仿宋_GB2312" w:cs="仿宋_GB2312" w:eastAsia="仿宋_GB2312"/>
                      <w:sz w:val="21"/>
                      <w:color w:val="000000"/>
                    </w:rPr>
                    <w:t>支持</w:t>
                  </w:r>
                  <w:r>
                    <w:rPr>
                      <w:rFonts w:ascii="仿宋_GB2312" w:hAnsi="仿宋_GB2312" w:cs="仿宋_GB2312" w:eastAsia="仿宋_GB2312"/>
                      <w:sz w:val="21"/>
                      <w:color w:val="000000"/>
                    </w:rPr>
                    <w:t>GPS 自动定位及授时</w:t>
                  </w:r>
                </w:p>
                <w:p>
                  <w:pPr>
                    <w:pStyle w:val="null3"/>
                    <w:spacing w:before="105" w:after="105"/>
                    <w:jc w:val="both"/>
                  </w:pPr>
                  <w:r>
                    <w:rPr>
                      <w:rFonts w:ascii="仿宋_GB2312" w:hAnsi="仿宋_GB2312" w:cs="仿宋_GB2312" w:eastAsia="仿宋_GB2312"/>
                      <w:sz w:val="21"/>
                      <w:color w:val="000000"/>
                    </w:rPr>
                    <w:t>支持</w:t>
                  </w:r>
                  <w:r>
                    <w:rPr>
                      <w:rFonts w:ascii="仿宋_GB2312" w:hAnsi="仿宋_GB2312" w:cs="仿宋_GB2312" w:eastAsia="仿宋_GB2312"/>
                      <w:sz w:val="21"/>
                      <w:color w:val="000000"/>
                    </w:rPr>
                    <w:t>4K（3840×2160）有声视频可选，照片像素 3200 万</w:t>
                  </w:r>
                </w:p>
                <w:p>
                  <w:pPr>
                    <w:pStyle w:val="null3"/>
                    <w:spacing w:before="105" w:after="105"/>
                    <w:jc w:val="both"/>
                  </w:pPr>
                  <w:r>
                    <w:rPr>
                      <w:rFonts w:ascii="仿宋_GB2312" w:hAnsi="仿宋_GB2312" w:cs="仿宋_GB2312" w:eastAsia="仿宋_GB2312"/>
                      <w:sz w:val="21"/>
                      <w:color w:val="000000"/>
                    </w:rPr>
                    <w:t>镜头</w:t>
                  </w:r>
                  <w:r>
                    <w:rPr>
                      <w:rFonts w:ascii="仿宋_GB2312" w:hAnsi="仿宋_GB2312" w:cs="仿宋_GB2312" w:eastAsia="仿宋_GB2312"/>
                      <w:sz w:val="21"/>
                      <w:color w:val="000000"/>
                    </w:rPr>
                    <w:t>F= 1.6 大光圈镜头,FOV=65度</w:t>
                  </w:r>
                </w:p>
                <w:p>
                  <w:pPr>
                    <w:pStyle w:val="null3"/>
                    <w:spacing w:before="105" w:after="105"/>
                    <w:jc w:val="both"/>
                  </w:pPr>
                  <w:r>
                    <w:rPr>
                      <w:rFonts w:ascii="仿宋_GB2312" w:hAnsi="仿宋_GB2312" w:cs="仿宋_GB2312" w:eastAsia="仿宋_GB2312"/>
                      <w:sz w:val="21"/>
                      <w:color w:val="000000"/>
                    </w:rPr>
                    <w:t>工作温度</w:t>
                  </w:r>
                  <w:r>
                    <w:rPr>
                      <w:rFonts w:ascii="仿宋_GB2312" w:hAnsi="仿宋_GB2312" w:cs="仿宋_GB2312" w:eastAsia="仿宋_GB2312"/>
                      <w:sz w:val="21"/>
                      <w:color w:val="000000"/>
                    </w:rPr>
                    <w:t>-40 至+80 摄氏度，工作湿度最大98%，并能承受长时间高温低温高湿的反复冲击。</w:t>
                  </w:r>
                </w:p>
                <w:p>
                  <w:pPr>
                    <w:pStyle w:val="null3"/>
                    <w:spacing w:before="105" w:after="105"/>
                    <w:jc w:val="both"/>
                  </w:pPr>
                  <w:r>
                    <w:rPr>
                      <w:rFonts w:ascii="仿宋_GB2312" w:hAnsi="仿宋_GB2312" w:cs="仿宋_GB2312" w:eastAsia="仿宋_GB2312"/>
                      <w:sz w:val="21"/>
                      <w:color w:val="000000"/>
                    </w:rPr>
                    <w:t>支持低功耗休眠模式。</w:t>
                  </w:r>
                </w:p>
              </w:tc>
              <w:tc>
                <w:tcPr>
                  <w:tcW w:type="dxa" w:w="155"/>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台</w:t>
                  </w:r>
                </w:p>
              </w:tc>
              <w:tc>
                <w:tcPr>
                  <w:tcW w:type="dxa" w:w="151"/>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18</w:t>
                  </w:r>
                </w:p>
              </w:tc>
              <w:tc>
                <w:tcPr>
                  <w:tcW w:type="dxa" w:w="143"/>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both"/>
                  </w:pPr>
                </w:p>
              </w:tc>
            </w:tr>
            <w:tr>
              <w:tc>
                <w:tcPr>
                  <w:tcW w:type="dxa" w:w="233"/>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3</w:t>
                  </w:r>
                </w:p>
              </w:tc>
              <w:tc>
                <w:tcPr>
                  <w:tcW w:type="dxa" w:w="31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自组网红外相机供电</w:t>
                  </w:r>
                </w:p>
              </w:tc>
              <w:tc>
                <w:tcPr>
                  <w:tcW w:type="dxa" w:w="155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both"/>
                  </w:pPr>
                  <w:r>
                    <w:rPr>
                      <w:rFonts w:ascii="仿宋_GB2312" w:hAnsi="仿宋_GB2312" w:cs="仿宋_GB2312" w:eastAsia="仿宋_GB2312"/>
                      <w:sz w:val="21"/>
                      <w:color w:val="000000"/>
                    </w:rPr>
                    <w:t>最大功率：</w:t>
                  </w:r>
                  <w:r>
                    <w:rPr>
                      <w:rFonts w:ascii="仿宋_GB2312" w:hAnsi="仿宋_GB2312" w:cs="仿宋_GB2312" w:eastAsia="仿宋_GB2312"/>
                      <w:sz w:val="21"/>
                      <w:color w:val="000000"/>
                    </w:rPr>
                    <w:t>≥20Wp/块</w:t>
                  </w:r>
                </w:p>
                <w:p>
                  <w:pPr>
                    <w:pStyle w:val="null3"/>
                    <w:spacing w:before="105" w:after="105"/>
                    <w:jc w:val="both"/>
                  </w:pPr>
                  <w:r>
                    <w:rPr>
                      <w:rFonts w:ascii="仿宋_GB2312" w:hAnsi="仿宋_GB2312" w:cs="仿宋_GB2312" w:eastAsia="仿宋_GB2312"/>
                      <w:sz w:val="21"/>
                      <w:color w:val="000000"/>
                    </w:rPr>
                    <w:t>最佳工作电压：</w:t>
                  </w:r>
                  <w:r>
                    <w:rPr>
                      <w:rFonts w:ascii="仿宋_GB2312" w:hAnsi="仿宋_GB2312" w:cs="仿宋_GB2312" w:eastAsia="仿宋_GB2312"/>
                      <w:sz w:val="21"/>
                      <w:color w:val="000000"/>
                    </w:rPr>
                    <w:t>18.0V</w:t>
                  </w:r>
                </w:p>
                <w:p>
                  <w:pPr>
                    <w:pStyle w:val="null3"/>
                    <w:spacing w:before="105" w:after="105"/>
                    <w:jc w:val="both"/>
                  </w:pPr>
                  <w:r>
                    <w:rPr>
                      <w:rFonts w:ascii="仿宋_GB2312" w:hAnsi="仿宋_GB2312" w:cs="仿宋_GB2312" w:eastAsia="仿宋_GB2312"/>
                      <w:sz w:val="21"/>
                      <w:color w:val="000000"/>
                    </w:rPr>
                    <w:t>组件效率：</w:t>
                  </w:r>
                  <w:r>
                    <w:rPr>
                      <w:rFonts w:ascii="仿宋_GB2312" w:hAnsi="仿宋_GB2312" w:cs="仿宋_GB2312" w:eastAsia="仿宋_GB2312"/>
                      <w:sz w:val="21"/>
                      <w:color w:val="000000"/>
                    </w:rPr>
                    <w:t>21.1%</w:t>
                  </w:r>
                </w:p>
                <w:p>
                  <w:pPr>
                    <w:pStyle w:val="null3"/>
                    <w:spacing w:before="105" w:after="105"/>
                    <w:jc w:val="both"/>
                  </w:pPr>
                  <w:r>
                    <w:rPr>
                      <w:rFonts w:ascii="仿宋_GB2312" w:hAnsi="仿宋_GB2312" w:cs="仿宋_GB2312" w:eastAsia="仿宋_GB2312"/>
                      <w:sz w:val="21"/>
                      <w:color w:val="000000"/>
                    </w:rPr>
                    <w:t>工作温度范围：</w:t>
                  </w:r>
                  <w:r>
                    <w:rPr>
                      <w:rFonts w:ascii="仿宋_GB2312" w:hAnsi="仿宋_GB2312" w:cs="仿宋_GB2312" w:eastAsia="仿宋_GB2312"/>
                      <w:sz w:val="21"/>
                      <w:color w:val="000000"/>
                    </w:rPr>
                    <w:t>-40～+85℃</w:t>
                  </w:r>
                </w:p>
                <w:p>
                  <w:pPr>
                    <w:pStyle w:val="null3"/>
                    <w:spacing w:before="105" w:after="105"/>
                    <w:jc w:val="both"/>
                  </w:pPr>
                  <w:r>
                    <w:rPr>
                      <w:rFonts w:ascii="仿宋_GB2312" w:hAnsi="仿宋_GB2312" w:cs="仿宋_GB2312" w:eastAsia="仿宋_GB2312"/>
                      <w:sz w:val="21"/>
                      <w:color w:val="000000"/>
                    </w:rPr>
                    <w:t>18650 锂电池组（每组 9 节） 电压：12V，</w:t>
                  </w:r>
                </w:p>
                <w:p>
                  <w:pPr>
                    <w:pStyle w:val="null3"/>
                    <w:spacing w:before="105" w:after="105"/>
                    <w:jc w:val="both"/>
                  </w:pPr>
                  <w:r>
                    <w:rPr>
                      <w:rFonts w:ascii="仿宋_GB2312" w:hAnsi="仿宋_GB2312" w:cs="仿宋_GB2312" w:eastAsia="仿宋_GB2312"/>
                      <w:sz w:val="21"/>
                      <w:color w:val="000000"/>
                    </w:rPr>
                    <w:t>容量：</w:t>
                  </w:r>
                  <w:r>
                    <w:rPr>
                      <w:rFonts w:ascii="仿宋_GB2312" w:hAnsi="仿宋_GB2312" w:cs="仿宋_GB2312" w:eastAsia="仿宋_GB2312"/>
                      <w:sz w:val="21"/>
                      <w:color w:val="000000"/>
                    </w:rPr>
                    <w:t>10000mah，</w:t>
                  </w:r>
                </w:p>
              </w:tc>
              <w:tc>
                <w:tcPr>
                  <w:tcW w:type="dxa" w:w="155"/>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块</w:t>
                  </w:r>
                </w:p>
              </w:tc>
              <w:tc>
                <w:tcPr>
                  <w:tcW w:type="dxa" w:w="151"/>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18</w:t>
                  </w:r>
                </w:p>
              </w:tc>
              <w:tc>
                <w:tcPr>
                  <w:tcW w:type="dxa" w:w="143"/>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both"/>
                  </w:pPr>
                </w:p>
              </w:tc>
            </w:tr>
            <w:tr>
              <w:tc>
                <w:tcPr>
                  <w:tcW w:type="dxa" w:w="233"/>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4</w:t>
                  </w:r>
                </w:p>
              </w:tc>
              <w:tc>
                <w:tcPr>
                  <w:tcW w:type="dxa" w:w="31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内存卡</w:t>
                  </w:r>
                </w:p>
              </w:tc>
              <w:tc>
                <w:tcPr>
                  <w:tcW w:type="dxa" w:w="155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both"/>
                  </w:pPr>
                  <w:r>
                    <w:rPr>
                      <w:rFonts w:ascii="仿宋_GB2312" w:hAnsi="仿宋_GB2312" w:cs="仿宋_GB2312" w:eastAsia="仿宋_GB2312"/>
                      <w:sz w:val="21"/>
                      <w:color w:val="000000"/>
                    </w:rPr>
                    <w:t>≥64G 内存</w:t>
                  </w:r>
                </w:p>
              </w:tc>
              <w:tc>
                <w:tcPr>
                  <w:tcW w:type="dxa" w:w="155"/>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张</w:t>
                  </w:r>
                </w:p>
              </w:tc>
              <w:tc>
                <w:tcPr>
                  <w:tcW w:type="dxa" w:w="151"/>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18</w:t>
                  </w:r>
                </w:p>
              </w:tc>
              <w:tc>
                <w:tcPr>
                  <w:tcW w:type="dxa" w:w="143"/>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both"/>
                  </w:pPr>
                </w:p>
              </w:tc>
            </w:tr>
            <w:tr>
              <w:tc>
                <w:tcPr>
                  <w:tcW w:type="dxa" w:w="233"/>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color w:val="000000"/>
                    </w:rPr>
                    <w:t>5</w:t>
                  </w:r>
                </w:p>
              </w:tc>
              <w:tc>
                <w:tcPr>
                  <w:tcW w:type="dxa" w:w="31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辅材配件</w:t>
                  </w:r>
                </w:p>
              </w:tc>
              <w:tc>
                <w:tcPr>
                  <w:tcW w:type="dxa" w:w="155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both"/>
                  </w:pPr>
                  <w:r>
                    <w:rPr>
                      <w:rFonts w:ascii="仿宋_GB2312" w:hAnsi="仿宋_GB2312" w:cs="仿宋_GB2312" w:eastAsia="仿宋_GB2312"/>
                      <w:sz w:val="21"/>
                      <w:color w:val="000000"/>
                    </w:rPr>
                    <w:t>管、线、卡、扣、接头、胶带等辅材</w:t>
                  </w:r>
                </w:p>
              </w:tc>
              <w:tc>
                <w:tcPr>
                  <w:tcW w:type="dxa" w:w="155"/>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批</w:t>
                  </w:r>
                </w:p>
              </w:tc>
              <w:tc>
                <w:tcPr>
                  <w:tcW w:type="dxa" w:w="151"/>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spacing w:before="105" w:after="105"/>
                    <w:jc w:val="center"/>
                  </w:pPr>
                  <w:r>
                    <w:rPr>
                      <w:rFonts w:ascii="仿宋_GB2312" w:hAnsi="仿宋_GB2312" w:cs="仿宋_GB2312" w:eastAsia="仿宋_GB2312"/>
                      <w:sz w:val="21"/>
                      <w:color w:val="000000"/>
                    </w:rPr>
                    <w:t>1</w:t>
                  </w:r>
                </w:p>
              </w:tc>
              <w:tc>
                <w:tcPr>
                  <w:tcW w:type="dxa" w:w="143"/>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both"/>
                  </w:pPr>
                </w:p>
              </w:tc>
            </w:tr>
          </w:tbl>
          <w:p>
            <w:pPr>
              <w:pStyle w:val="null3"/>
              <w:jc w:val="center"/>
            </w:pPr>
            <w:r>
              <w:rPr>
                <w:rFonts w:ascii="仿宋_GB2312" w:hAnsi="仿宋_GB2312" w:cs="仿宋_GB2312" w:eastAsia="仿宋_GB2312"/>
                <w:sz w:val="21"/>
                <w:b/>
                <w:color w:val="000000"/>
              </w:rPr>
              <w:t>图（</w:t>
            </w:r>
            <w:r>
              <w:rPr>
                <w:rFonts w:ascii="仿宋_GB2312" w:hAnsi="仿宋_GB2312" w:cs="仿宋_GB2312" w:eastAsia="仿宋_GB2312"/>
                <w:sz w:val="21"/>
                <w:b/>
                <w:color w:val="000000"/>
              </w:rPr>
              <w:t>4-1）野生动物监测系统点位分布图</w:t>
            </w:r>
          </w:p>
          <w:p>
            <w:pPr>
              <w:pStyle w:val="null3"/>
              <w:spacing w:before="105" w:after="105"/>
              <w:jc w:val="center"/>
            </w:pPr>
            <w:r>
              <w:drawing>
                <wp:inline distT="0" distR="0" distB="0" distL="0">
                  <wp:extent cx="1621155" cy="1148469"/>
                  <wp:docPr id="4" name="Drawing 4" descr="img"/>
                  <a:graphic xmlns:a="http://schemas.openxmlformats.org/drawingml/2006/main">
                    <a:graphicData uri="http://schemas.openxmlformats.org/drawingml/2006/picture">
                      <pic:pic xmlns:pic="http://schemas.openxmlformats.org/drawingml/2006/picture">
                        <pic:nvPicPr>
                          <pic:cNvPr id="0" name="Picture 4" descr="img"/>
                          <pic:cNvPicPr>
                            <a:picLocks noChangeAspect="true"/>
                          </pic:cNvPicPr>
                        </pic:nvPicPr>
                        <pic:blipFill>
                          <a:blip r:embed="rId9"/>
                          <a:stretch>
                            <a:fillRect/>
                          </a:stretch>
                        </pic:blipFill>
                        <pic:spPr>
                          <a:xfrm>
                            <a:off x="0" y="0"/>
                            <a:ext cx="1621155" cy="1148469"/>
                          </a:xfrm>
                          <a:prstGeom prst="rect">
                            <a:avLst/>
                          </a:prstGeom>
                        </pic:spPr>
                      </pic:pic>
                    </a:graphicData>
                  </a:graphic>
                </wp:inline>
              </w:drawing>
            </w:r>
          </w:p>
          <w:p>
            <w:pPr>
              <w:pStyle w:val="null3"/>
              <w:spacing w:before="105" w:after="105"/>
              <w:jc w:val="center"/>
            </w:pPr>
            <w:r>
              <w:rPr>
                <w:rFonts w:ascii="仿宋_GB2312" w:hAnsi="仿宋_GB2312" w:cs="仿宋_GB2312" w:eastAsia="仿宋_GB2312"/>
                <w:sz w:val="21"/>
                <w:b/>
                <w:color w:val="000000"/>
              </w:rPr>
              <w:t>图（</w:t>
            </w:r>
            <w:r>
              <w:rPr>
                <w:rFonts w:ascii="仿宋_GB2312" w:hAnsi="仿宋_GB2312" w:cs="仿宋_GB2312" w:eastAsia="仿宋_GB2312"/>
                <w:sz w:val="21"/>
                <w:b/>
                <w:color w:val="000000"/>
              </w:rPr>
              <w:t>4-2）野生动物监测系统数据传输拓扑图</w:t>
            </w:r>
          </w:p>
          <w:p>
            <w:pPr>
              <w:pStyle w:val="null3"/>
              <w:spacing w:before="105" w:after="105"/>
              <w:jc w:val="center"/>
            </w:pPr>
            <w:r>
              <w:drawing>
                <wp:inline distT="0" distR="0" distB="0" distL="0">
                  <wp:extent cx="1621155" cy="2235291"/>
                  <wp:docPr id="5" name="Drawing 5" descr="img"/>
                  <a:graphic xmlns:a="http://schemas.openxmlformats.org/drawingml/2006/main">
                    <a:graphicData uri="http://schemas.openxmlformats.org/drawingml/2006/picture">
                      <pic:pic xmlns:pic="http://schemas.openxmlformats.org/drawingml/2006/picture">
                        <pic:nvPicPr>
                          <pic:cNvPr id="0" name="Picture 5" descr="img"/>
                          <pic:cNvPicPr>
                            <a:picLocks noChangeAspect="true"/>
                          </pic:cNvPicPr>
                        </pic:nvPicPr>
                        <pic:blipFill>
                          <a:blip r:embed="rId10"/>
                          <a:stretch>
                            <a:fillRect/>
                          </a:stretch>
                        </pic:blipFill>
                        <pic:spPr>
                          <a:xfrm>
                            <a:off x="0" y="0"/>
                            <a:ext cx="1621155" cy="2235291"/>
                          </a:xfrm>
                          <a:prstGeom prst="rect">
                            <a:avLst/>
                          </a:prstGeom>
                        </pic:spPr>
                      </pic:pic>
                    </a:graphicData>
                  </a:graphic>
                </wp:inline>
              </w:drawing>
            </w:r>
          </w:p>
          <w:p>
            <w:pPr>
              <w:pStyle w:val="null3"/>
              <w:spacing w:before="105" w:after="105"/>
            </w:pPr>
            <w:r>
              <w:rPr>
                <w:rFonts w:ascii="仿宋_GB2312" w:hAnsi="仿宋_GB2312" w:cs="仿宋_GB2312" w:eastAsia="仿宋_GB2312"/>
                <w:b/>
              </w:rPr>
              <w:t>（二）野生动物疫源疫病监测：</w:t>
            </w:r>
          </w:p>
          <w:p>
            <w:pPr>
              <w:pStyle w:val="null3"/>
              <w:ind w:left="15" w:right="195" w:firstLine="559"/>
              <w:jc w:val="both"/>
            </w:pPr>
            <w:r>
              <w:rPr>
                <w:rFonts w:ascii="仿宋_GB2312" w:hAnsi="仿宋_GB2312" w:cs="仿宋_GB2312" w:eastAsia="仿宋_GB2312"/>
                <w:sz w:val="18"/>
                <w:color w:val="000000"/>
              </w:rPr>
              <w:t>本次野生动物疫源疫病监测主要是在重点区域，常态化执行每季度</w:t>
            </w:r>
            <w:r>
              <w:rPr>
                <w:rFonts w:ascii="仿宋_GB2312" w:hAnsi="仿宋_GB2312" w:cs="仿宋_GB2312" w:eastAsia="仿宋_GB2312"/>
                <w:sz w:val="18"/>
                <w:color w:val="000000"/>
              </w:rPr>
              <w:t>两次、为期一年的疫源疫病监测工作。每次监测任务由一支不少于</w:t>
            </w:r>
            <w:r>
              <w:rPr>
                <w:rFonts w:ascii="仿宋_GB2312" w:hAnsi="仿宋_GB2312" w:cs="仿宋_GB2312" w:eastAsia="仿宋_GB2312"/>
                <w:sz w:val="18"/>
                <w:color w:val="000000"/>
              </w:rPr>
              <w:t>3</w:t>
            </w:r>
            <w:r>
              <w:rPr>
                <w:rFonts w:ascii="仿宋_GB2312" w:hAnsi="仿宋_GB2312" w:cs="仿宋_GB2312" w:eastAsia="仿宋_GB2312"/>
                <w:sz w:val="18"/>
                <w:color w:val="000000"/>
              </w:rPr>
              <w:t>人专业小</w:t>
            </w:r>
            <w:r>
              <w:rPr>
                <w:rFonts w:ascii="仿宋_GB2312" w:hAnsi="仿宋_GB2312" w:cs="仿宋_GB2312" w:eastAsia="仿宋_GB2312"/>
                <w:sz w:val="18"/>
                <w:color w:val="000000"/>
              </w:rPr>
              <w:t>组负责执行，同时配置相关疫病防控设备。</w:t>
            </w:r>
          </w:p>
          <w:p>
            <w:pPr>
              <w:pStyle w:val="null3"/>
              <w:ind w:left="615"/>
              <w:jc w:val="left"/>
            </w:pPr>
            <w:r>
              <w:rPr>
                <w:rFonts w:ascii="仿宋_GB2312" w:hAnsi="仿宋_GB2312" w:cs="仿宋_GB2312" w:eastAsia="仿宋_GB2312"/>
                <w:sz w:val="18"/>
                <w:color w:val="000000"/>
              </w:rPr>
              <w:t>(1)重点监测区域</w:t>
            </w:r>
          </w:p>
          <w:p>
            <w:pPr>
              <w:pStyle w:val="null3"/>
              <w:ind w:left="585"/>
              <w:jc w:val="left"/>
            </w:pPr>
            <w:r>
              <w:rPr>
                <w:rFonts w:ascii="仿宋_GB2312" w:hAnsi="仿宋_GB2312" w:cs="仿宋_GB2312" w:eastAsia="仿宋_GB2312"/>
                <w:sz w:val="18"/>
                <w:color w:val="000000"/>
              </w:rPr>
              <w:t>1)保护区周边防控带</w:t>
            </w:r>
          </w:p>
          <w:p>
            <w:pPr>
              <w:pStyle w:val="null3"/>
              <w:numPr>
                <w:ilvl w:val="0"/>
                <w:numId w:val="1"/>
              </w:numPr>
              <w:jc w:val="left"/>
            </w:pPr>
            <w:r>
              <w:rPr>
                <w:rFonts w:ascii="仿宋_GB2312" w:hAnsi="仿宋_GB2312" w:cs="仿宋_GB2312" w:eastAsia="仿宋_GB2312"/>
                <w:sz w:val="18"/>
                <w:color w:val="000000"/>
              </w:rPr>
              <w:t>村镇畜牧圈家养</w:t>
            </w:r>
            <w:r>
              <w:rPr>
                <w:rFonts w:ascii="仿宋_GB2312" w:hAnsi="仿宋_GB2312" w:cs="仿宋_GB2312" w:eastAsia="仿宋_GB2312"/>
                <w:sz w:val="18"/>
                <w:color w:val="000000"/>
              </w:rPr>
              <w:t>-野生交叉感染高风险区（农户家禽养殖区</w:t>
            </w:r>
            <w:r>
              <w:rPr>
                <w:rFonts w:ascii="仿宋_GB2312" w:hAnsi="仿宋_GB2312" w:cs="仿宋_GB2312" w:eastAsia="仿宋_GB2312"/>
                <w:sz w:val="18"/>
                <w:color w:val="000000"/>
              </w:rPr>
              <w:t>）；</w:t>
            </w:r>
          </w:p>
          <w:p>
            <w:pPr>
              <w:pStyle w:val="null3"/>
              <w:numPr>
                <w:ilvl w:val="0"/>
                <w:numId w:val="1"/>
              </w:numPr>
              <w:jc w:val="left"/>
            </w:pPr>
            <w:r>
              <w:rPr>
                <w:rFonts w:ascii="仿宋_GB2312" w:hAnsi="仿宋_GB2312" w:cs="仿宋_GB2312" w:eastAsia="仿宋_GB2312"/>
                <w:sz w:val="18"/>
                <w:color w:val="000000"/>
              </w:rPr>
              <w:t>社区垃圾集中转运站流浪动物病原富集点；</w:t>
            </w:r>
          </w:p>
          <w:p>
            <w:pPr>
              <w:pStyle w:val="null3"/>
              <w:numPr>
                <w:ilvl w:val="0"/>
                <w:numId w:val="1"/>
              </w:numPr>
              <w:jc w:val="left"/>
            </w:pPr>
            <w:r>
              <w:rPr>
                <w:rFonts w:ascii="仿宋_GB2312" w:hAnsi="仿宋_GB2312" w:cs="仿宋_GB2312" w:eastAsia="仿宋_GB2312"/>
                <w:sz w:val="18"/>
                <w:color w:val="000000"/>
              </w:rPr>
              <w:t>人为活动密集处（</w:t>
            </w:r>
            <w:r>
              <w:rPr>
                <w:rFonts w:ascii="仿宋_GB2312" w:hAnsi="仿宋_GB2312" w:cs="仿宋_GB2312" w:eastAsia="仿宋_GB2312"/>
                <w:sz w:val="18"/>
                <w:color w:val="000000"/>
              </w:rPr>
              <w:t>G210</w:t>
            </w:r>
            <w:r>
              <w:rPr>
                <w:rFonts w:ascii="仿宋_GB2312" w:hAnsi="仿宋_GB2312" w:cs="仿宋_GB2312" w:eastAsia="仿宋_GB2312"/>
                <w:sz w:val="28"/>
                <w:color w:val="000000"/>
              </w:rPr>
              <w:t xml:space="preserve"> </w:t>
            </w:r>
            <w:r>
              <w:rPr>
                <w:rFonts w:ascii="仿宋_GB2312" w:hAnsi="仿宋_GB2312" w:cs="仿宋_GB2312" w:eastAsia="仿宋_GB2312"/>
                <w:sz w:val="18"/>
                <w:color w:val="000000"/>
              </w:rPr>
              <w:t>等国道周边、旅游景区等）。</w:t>
            </w:r>
          </w:p>
          <w:p>
            <w:pPr>
              <w:pStyle w:val="null3"/>
              <w:ind w:left="570"/>
              <w:jc w:val="left"/>
            </w:pPr>
            <w:r>
              <w:rPr>
                <w:rFonts w:ascii="仿宋_GB2312" w:hAnsi="仿宋_GB2312" w:cs="仿宋_GB2312" w:eastAsia="仿宋_GB2312"/>
                <w:sz w:val="18"/>
                <w:color w:val="000000"/>
              </w:rPr>
              <w:t>2)野生动物种群集中分布区</w:t>
            </w:r>
          </w:p>
          <w:p>
            <w:pPr>
              <w:pStyle w:val="null3"/>
              <w:numPr>
                <w:ilvl w:val="0"/>
                <w:numId w:val="1"/>
              </w:numPr>
              <w:jc w:val="left"/>
            </w:pPr>
            <w:r>
              <w:rPr>
                <w:rFonts w:ascii="仿宋_GB2312" w:hAnsi="仿宋_GB2312" w:cs="仿宋_GB2312" w:eastAsia="仿宋_GB2312"/>
                <w:sz w:val="18"/>
                <w:color w:val="000000"/>
              </w:rPr>
              <w:t>高山鸟兽核心区（光头山、牛背梁主峰等）；</w:t>
            </w:r>
          </w:p>
          <w:p>
            <w:pPr>
              <w:pStyle w:val="null3"/>
              <w:numPr>
                <w:ilvl w:val="0"/>
                <w:numId w:val="1"/>
              </w:numPr>
              <w:jc w:val="left"/>
            </w:pPr>
            <w:r>
              <w:rPr>
                <w:rFonts w:ascii="仿宋_GB2312" w:hAnsi="仿宋_GB2312" w:cs="仿宋_GB2312" w:eastAsia="仿宋_GB2312"/>
                <w:sz w:val="18"/>
                <w:color w:val="000000"/>
              </w:rPr>
              <w:t>关键栖息功能区（石窑沟、石砭峪水系等）。</w:t>
            </w:r>
          </w:p>
          <w:p>
            <w:pPr>
              <w:pStyle w:val="null3"/>
              <w:ind w:left="615"/>
              <w:jc w:val="left"/>
            </w:pPr>
            <w:r>
              <w:rPr>
                <w:rFonts w:ascii="仿宋_GB2312" w:hAnsi="仿宋_GB2312" w:cs="仿宋_GB2312" w:eastAsia="仿宋_GB2312"/>
                <w:sz w:val="18"/>
                <w:color w:val="000000"/>
              </w:rPr>
              <w:t>(2)监测巡护的核心要求是“三个第一</w:t>
            </w:r>
            <w:r>
              <w:rPr>
                <w:rFonts w:ascii="仿宋_GB2312" w:hAnsi="仿宋_GB2312" w:cs="仿宋_GB2312" w:eastAsia="仿宋_GB2312"/>
                <w:sz w:val="28"/>
                <w:color w:val="000000"/>
              </w:rPr>
              <w:t xml:space="preserve"> </w:t>
            </w:r>
            <w:r>
              <w:rPr>
                <w:rFonts w:ascii="仿宋_GB2312" w:hAnsi="仿宋_GB2312" w:cs="仿宋_GB2312" w:eastAsia="仿宋_GB2312"/>
                <w:sz w:val="18"/>
                <w:color w:val="000000"/>
              </w:rPr>
              <w:t>”</w:t>
            </w:r>
          </w:p>
          <w:p>
            <w:pPr>
              <w:pStyle w:val="null3"/>
              <w:numPr>
                <w:ilvl w:val="0"/>
                <w:numId w:val="1"/>
              </w:numPr>
              <w:jc w:val="left"/>
            </w:pPr>
            <w:r>
              <w:rPr>
                <w:rFonts w:ascii="仿宋_GB2312" w:hAnsi="仿宋_GB2312" w:cs="仿宋_GB2312" w:eastAsia="仿宋_GB2312"/>
                <w:sz w:val="18"/>
                <w:color w:val="000000"/>
              </w:rPr>
              <w:t>第一时间精准发现异常死亡或发病情况；</w:t>
            </w:r>
          </w:p>
          <w:p>
            <w:pPr>
              <w:pStyle w:val="null3"/>
              <w:numPr>
                <w:ilvl w:val="0"/>
                <w:numId w:val="1"/>
              </w:numPr>
              <w:jc w:val="left"/>
            </w:pPr>
            <w:r>
              <w:rPr>
                <w:rFonts w:ascii="仿宋_GB2312" w:hAnsi="仿宋_GB2312" w:cs="仿宋_GB2312" w:eastAsia="仿宋_GB2312"/>
                <w:sz w:val="18"/>
                <w:color w:val="000000"/>
              </w:rPr>
              <w:t>第一时间规范报送样本至指定检测机构；</w:t>
            </w:r>
          </w:p>
          <w:p>
            <w:pPr>
              <w:pStyle w:val="null3"/>
              <w:numPr>
                <w:ilvl w:val="0"/>
                <w:numId w:val="1"/>
              </w:numPr>
              <w:jc w:val="left"/>
            </w:pPr>
            <w:r>
              <w:rPr>
                <w:rFonts w:ascii="仿宋_GB2312" w:hAnsi="仿宋_GB2312" w:cs="仿宋_GB2312" w:eastAsia="仿宋_GB2312"/>
                <w:sz w:val="18"/>
                <w:color w:val="000000"/>
              </w:rPr>
              <w:t>第一时间完整上报监测信息至主管部门。</w:t>
            </w:r>
          </w:p>
          <w:p>
            <w:pPr>
              <w:pStyle w:val="null3"/>
              <w:ind w:left="615"/>
              <w:jc w:val="left"/>
            </w:pPr>
            <w:r>
              <w:rPr>
                <w:rFonts w:ascii="仿宋_GB2312" w:hAnsi="仿宋_GB2312" w:cs="仿宋_GB2312" w:eastAsia="仿宋_GB2312"/>
                <w:sz w:val="18"/>
                <w:color w:val="000000"/>
              </w:rPr>
              <w:t>(3)具体监测巡护内容</w:t>
            </w:r>
          </w:p>
          <w:p>
            <w:pPr>
              <w:pStyle w:val="null3"/>
              <w:ind w:left="15" w:right="105" w:firstLine="574"/>
              <w:jc w:val="left"/>
            </w:pPr>
            <w:r>
              <w:rPr>
                <w:rFonts w:ascii="仿宋_GB2312" w:hAnsi="仿宋_GB2312" w:cs="仿宋_GB2312" w:eastAsia="仿宋_GB2312"/>
                <w:sz w:val="18"/>
                <w:color w:val="000000"/>
              </w:rPr>
              <w:t>1)动物行为状态观察与记录：系统性地观察区域内野生动物行为，</w:t>
            </w:r>
            <w:r>
              <w:rPr>
                <w:rFonts w:ascii="仿宋_GB2312" w:hAnsi="仿宋_GB2312" w:cs="仿宋_GB2312" w:eastAsia="仿宋_GB2312"/>
                <w:sz w:val="28"/>
                <w:color w:val="000000"/>
              </w:rPr>
              <w:t xml:space="preserve"> </w:t>
            </w:r>
            <w:r>
              <w:rPr>
                <w:rFonts w:ascii="仿宋_GB2312" w:hAnsi="仿宋_GB2312" w:cs="仿宋_GB2312" w:eastAsia="仿宋_GB2312"/>
                <w:sz w:val="18"/>
                <w:color w:val="000000"/>
              </w:rPr>
              <w:t>重点识别并详细记录如运动障碍、呼吸急促、精神萎靡、离群独处等具</w:t>
            </w:r>
            <w:r>
              <w:rPr>
                <w:rFonts w:ascii="仿宋_GB2312" w:hAnsi="仿宋_GB2312" w:cs="仿宋_GB2312" w:eastAsia="仿宋_GB2312"/>
                <w:sz w:val="28"/>
                <w:color w:val="000000"/>
              </w:rPr>
              <w:t xml:space="preserve"> </w:t>
            </w:r>
            <w:r>
              <w:rPr>
                <w:rFonts w:ascii="仿宋_GB2312" w:hAnsi="仿宋_GB2312" w:cs="仿宋_GB2312" w:eastAsia="仿宋_GB2312"/>
                <w:sz w:val="18"/>
                <w:color w:val="000000"/>
              </w:rPr>
              <w:t>有疫病预警意义的异常表现。</w:t>
            </w:r>
          </w:p>
          <w:p>
            <w:pPr>
              <w:pStyle w:val="null3"/>
              <w:ind w:left="15" w:right="105" w:firstLine="552"/>
              <w:jc w:val="left"/>
            </w:pPr>
            <w:r>
              <w:rPr>
                <w:rFonts w:ascii="仿宋_GB2312" w:hAnsi="仿宋_GB2312" w:cs="仿宋_GB2312" w:eastAsia="仿宋_GB2312"/>
                <w:sz w:val="18"/>
                <w:color w:val="000000"/>
              </w:rPr>
              <w:t>2)样本采集：在巡护过程中，应规范采集区域内野生动物遗留的新鲜粪便、脱落毛发等可能携带病原体的样本。</w:t>
            </w:r>
          </w:p>
          <w:p>
            <w:pPr>
              <w:pStyle w:val="null3"/>
              <w:ind w:left="570"/>
              <w:jc w:val="left"/>
            </w:pPr>
            <w:r>
              <w:rPr>
                <w:rFonts w:ascii="仿宋_GB2312" w:hAnsi="仿宋_GB2312" w:cs="仿宋_GB2312" w:eastAsia="仿宋_GB2312"/>
                <w:sz w:val="18"/>
                <w:color w:val="000000"/>
              </w:rPr>
              <w:t>3)死亡个体处理：</w:t>
            </w:r>
          </w:p>
          <w:p>
            <w:pPr>
              <w:pStyle w:val="null3"/>
              <w:numPr>
                <w:ilvl w:val="0"/>
                <w:numId w:val="1"/>
              </w:numPr>
              <w:jc w:val="left"/>
            </w:pPr>
            <w:r>
              <w:rPr>
                <w:rFonts w:ascii="仿宋_GB2312" w:hAnsi="仿宋_GB2312" w:cs="仿宋_GB2312" w:eastAsia="仿宋_GB2312"/>
                <w:sz w:val="18"/>
                <w:color w:val="000000"/>
              </w:rPr>
              <w:t>发现野生动物尸体时，立即使用</w:t>
            </w:r>
            <w:r>
              <w:rPr>
                <w:rFonts w:ascii="仿宋_GB2312" w:hAnsi="仿宋_GB2312" w:cs="仿宋_GB2312" w:eastAsia="仿宋_GB2312"/>
                <w:sz w:val="18"/>
                <w:color w:val="000000"/>
              </w:rPr>
              <w:t>GPS设备精确定位并记录坐标点；</w:t>
            </w:r>
          </w:p>
          <w:p>
            <w:pPr>
              <w:pStyle w:val="null3"/>
              <w:numPr>
                <w:ilvl w:val="0"/>
                <w:numId w:val="1"/>
              </w:numPr>
              <w:jc w:val="left"/>
            </w:pPr>
            <w:r>
              <w:rPr>
                <w:rFonts w:ascii="仿宋_GB2312" w:hAnsi="仿宋_GB2312" w:cs="仿宋_GB2312" w:eastAsia="仿宋_GB2312"/>
                <w:sz w:val="18"/>
                <w:color w:val="000000"/>
              </w:rPr>
              <w:t>同步采集包括体表寄生虫、可见出血点</w:t>
            </w:r>
            <w:r>
              <w:rPr>
                <w:rFonts w:ascii="仿宋_GB2312" w:hAnsi="仿宋_GB2312" w:cs="仿宋_GB2312" w:eastAsia="仿宋_GB2312"/>
                <w:sz w:val="18"/>
                <w:color w:val="000000"/>
              </w:rPr>
              <w:t>/斑、伤口等关键特征的清晰影像资料；</w:t>
            </w:r>
          </w:p>
          <w:p>
            <w:pPr>
              <w:pStyle w:val="null3"/>
              <w:numPr>
                <w:ilvl w:val="0"/>
                <w:numId w:val="1"/>
              </w:numPr>
              <w:jc w:val="left"/>
            </w:pPr>
            <w:r>
              <w:rPr>
                <w:rFonts w:ascii="仿宋_GB2312" w:hAnsi="仿宋_GB2312" w:cs="仿宋_GB2312" w:eastAsia="仿宋_GB2312"/>
                <w:sz w:val="18"/>
                <w:color w:val="000000"/>
              </w:rPr>
              <w:t>同步向管理局、动物疫病预防控制机构（动检站）等部门进行紧急</w:t>
            </w:r>
            <w:r>
              <w:rPr>
                <w:rFonts w:ascii="仿宋_GB2312" w:hAnsi="仿宋_GB2312" w:cs="仿宋_GB2312" w:eastAsia="仿宋_GB2312"/>
                <w:sz w:val="18"/>
                <w:color w:val="000000"/>
              </w:rPr>
              <w:t>/例行报告。</w:t>
            </w:r>
          </w:p>
          <w:p>
            <w:pPr>
              <w:pStyle w:val="null3"/>
              <w:ind w:left="675"/>
              <w:jc w:val="left"/>
            </w:pPr>
            <w:r>
              <w:rPr>
                <w:rFonts w:ascii="仿宋_GB2312" w:hAnsi="仿宋_GB2312" w:cs="仿宋_GB2312" w:eastAsia="仿宋_GB2312"/>
                <w:sz w:val="18"/>
                <w:color w:val="000000"/>
              </w:rPr>
              <w:t>4)现场处置</w:t>
            </w:r>
          </w:p>
          <w:p>
            <w:pPr>
              <w:pStyle w:val="null3"/>
              <w:numPr>
                <w:ilvl w:val="0"/>
                <w:numId w:val="1"/>
              </w:numPr>
              <w:jc w:val="left"/>
            </w:pPr>
            <w:r>
              <w:rPr>
                <w:rFonts w:ascii="仿宋_GB2312" w:hAnsi="仿宋_GB2312" w:cs="仿宋_GB2312" w:eastAsia="仿宋_GB2312"/>
                <w:sz w:val="18"/>
                <w:color w:val="000000"/>
              </w:rPr>
              <w:t>在严格做好个人防护装备穿戴的前提下，对发现的受伤活体动物，采取安全措施进行应急救助与转移；对确认死亡的个体，严格按规范进行无害化处置，具体措施包括：运至安全地点后实施焚烧灭菌，并深挖覆土掩埋。</w:t>
            </w:r>
          </w:p>
          <w:p>
            <w:pPr>
              <w:pStyle w:val="null3"/>
              <w:numPr>
                <w:ilvl w:val="0"/>
                <w:numId w:val="1"/>
              </w:numPr>
              <w:jc w:val="left"/>
            </w:pPr>
            <w:r>
              <w:rPr>
                <w:rFonts w:ascii="仿宋_GB2312" w:hAnsi="仿宋_GB2312" w:cs="仿宋_GB2312" w:eastAsia="仿宋_GB2312"/>
                <w:sz w:val="18"/>
                <w:color w:val="000000"/>
              </w:rPr>
              <w:t>处置完成后，必须对尸体发现点及处置现场进行彻底消毒灭菌处理，以最大限度阻断潜在疫源疫病传播扩散的风险链。</w:t>
            </w:r>
          </w:p>
          <w:p>
            <w:pPr>
              <w:pStyle w:val="null3"/>
              <w:ind w:left="690"/>
              <w:jc w:val="left"/>
            </w:pPr>
            <w:r>
              <w:rPr>
                <w:rFonts w:ascii="仿宋_GB2312" w:hAnsi="仿宋_GB2312" w:cs="仿宋_GB2312" w:eastAsia="仿宋_GB2312"/>
                <w:sz w:val="18"/>
                <w:b/>
                <w:color w:val="000000"/>
              </w:rPr>
              <w:t>数据记录</w:t>
            </w:r>
          </w:p>
          <w:p>
            <w:pPr>
              <w:pStyle w:val="null3"/>
              <w:ind w:left="15" w:right="105" w:firstLine="574"/>
              <w:jc w:val="left"/>
            </w:pPr>
            <w:r>
              <w:rPr>
                <w:rFonts w:ascii="仿宋_GB2312" w:hAnsi="仿宋_GB2312" w:cs="仿宋_GB2312" w:eastAsia="仿宋_GB2312"/>
                <w:sz w:val="18"/>
                <w:color w:val="000000"/>
              </w:rPr>
              <w:t>在监测巡护中所有异常数据均进行实时记录，记录时应包含时间、位置（坐标）、物种、数量、症状描述等，同时附相关照片及视频。最终形成野生动物疫源疫病监测报告。</w:t>
            </w:r>
          </w:p>
          <w:p>
            <w:pPr>
              <w:pStyle w:val="null3"/>
              <w:ind w:left="675"/>
              <w:jc w:val="left"/>
            </w:pPr>
            <w:r>
              <w:rPr>
                <w:rFonts w:ascii="仿宋_GB2312" w:hAnsi="仿宋_GB2312" w:cs="仿宋_GB2312" w:eastAsia="仿宋_GB2312"/>
                <w:sz w:val="18"/>
                <w:b/>
                <w:color w:val="000000"/>
              </w:rPr>
              <w:t>4.</w:t>
            </w:r>
            <w:r>
              <w:rPr>
                <w:rFonts w:ascii="仿宋_GB2312" w:hAnsi="仿宋_GB2312" w:cs="仿宋_GB2312" w:eastAsia="仿宋_GB2312"/>
                <w:sz w:val="28"/>
                <w:color w:val="000000"/>
              </w:rPr>
              <w:t xml:space="preserve"> </w:t>
            </w:r>
            <w:r>
              <w:rPr>
                <w:rFonts w:ascii="仿宋_GB2312" w:hAnsi="仿宋_GB2312" w:cs="仿宋_GB2312" w:eastAsia="仿宋_GB2312"/>
                <w:sz w:val="18"/>
                <w:b/>
                <w:color w:val="000000"/>
              </w:rPr>
              <w:t>疫源疫病防控相关设备采购</w:t>
            </w:r>
          </w:p>
          <w:tbl>
            <w:tblPr>
              <w:tblInd w:type="dxa" w:w="105"/>
              <w:tblBorders>
                <w:top w:val="none" w:color="000000" w:sz="4"/>
                <w:left w:val="none" w:color="000000" w:sz="4"/>
                <w:bottom w:val="none" w:color="000000" w:sz="4"/>
                <w:right w:val="none" w:color="000000" w:sz="4"/>
                <w:insideH w:val="none"/>
                <w:insideV w:val="none"/>
              </w:tblBorders>
            </w:tblPr>
            <w:tblGrid>
              <w:gridCol w:w="182"/>
              <w:gridCol w:w="387"/>
              <w:gridCol w:w="1459"/>
              <w:gridCol w:w="144"/>
              <w:gridCol w:w="148"/>
              <w:gridCol w:w="221"/>
            </w:tblGrid>
            <w:tr>
              <w:tc>
                <w:tcPr>
                  <w:tcW w:type="dxa" w:w="182"/>
                  <w:tcBorders>
                    <w:top w:val="singl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spacing w:before="75"/>
                    <w:jc w:val="center"/>
                  </w:pPr>
                  <w:r>
                    <w:rPr>
                      <w:rFonts w:ascii="仿宋_GB2312" w:hAnsi="仿宋_GB2312" w:cs="仿宋_GB2312" w:eastAsia="仿宋_GB2312"/>
                      <w:sz w:val="18"/>
                      <w:b/>
                      <w:color w:val="000000"/>
                    </w:rPr>
                    <w:t>序号</w:t>
                  </w:r>
                </w:p>
              </w:tc>
              <w:tc>
                <w:tcPr>
                  <w:tcW w:type="dxa" w:w="387"/>
                  <w:tcBorders>
                    <w:top w:val="singl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spacing w:before="75"/>
                    <w:jc w:val="center"/>
                  </w:pPr>
                  <w:r>
                    <w:rPr>
                      <w:rFonts w:ascii="仿宋_GB2312" w:hAnsi="仿宋_GB2312" w:cs="仿宋_GB2312" w:eastAsia="仿宋_GB2312"/>
                      <w:sz w:val="18"/>
                      <w:b/>
                      <w:color w:val="000000"/>
                    </w:rPr>
                    <w:t>设备名称</w:t>
                  </w:r>
                </w:p>
              </w:tc>
              <w:tc>
                <w:tcPr>
                  <w:tcW w:type="dxa" w:w="1459"/>
                  <w:tcBorders>
                    <w:top w:val="singl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spacing w:before="75"/>
                    <w:jc w:val="center"/>
                  </w:pPr>
                  <w:r>
                    <w:rPr>
                      <w:rFonts w:ascii="仿宋_GB2312" w:hAnsi="仿宋_GB2312" w:cs="仿宋_GB2312" w:eastAsia="仿宋_GB2312"/>
                      <w:sz w:val="18"/>
                      <w:b/>
                      <w:color w:val="000000"/>
                    </w:rPr>
                    <w:t>参数、规格</w:t>
                  </w:r>
                </w:p>
              </w:tc>
              <w:tc>
                <w:tcPr>
                  <w:tcW w:type="dxa" w:w="144"/>
                  <w:tcBorders>
                    <w:top w:val="singl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spacing w:before="75"/>
                    <w:jc w:val="center"/>
                  </w:pPr>
                  <w:r>
                    <w:rPr>
                      <w:rFonts w:ascii="仿宋_GB2312" w:hAnsi="仿宋_GB2312" w:cs="仿宋_GB2312" w:eastAsia="仿宋_GB2312"/>
                      <w:sz w:val="18"/>
                      <w:b/>
                      <w:color w:val="000000"/>
                    </w:rPr>
                    <w:t>单位</w:t>
                  </w:r>
                </w:p>
              </w:tc>
              <w:tc>
                <w:tcPr>
                  <w:tcW w:type="dxa" w:w="148"/>
                  <w:tcBorders>
                    <w:top w:val="singl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spacing w:before="75"/>
                    <w:jc w:val="center"/>
                  </w:pPr>
                  <w:r>
                    <w:rPr>
                      <w:rFonts w:ascii="仿宋_GB2312" w:hAnsi="仿宋_GB2312" w:cs="仿宋_GB2312" w:eastAsia="仿宋_GB2312"/>
                      <w:sz w:val="18"/>
                      <w:b/>
                      <w:color w:val="000000"/>
                    </w:rPr>
                    <w:t>数量</w:t>
                  </w:r>
                </w:p>
              </w:tc>
              <w:tc>
                <w:tcPr>
                  <w:tcW w:type="dxa" w:w="221"/>
                  <w:tcBorders>
                    <w:top w:val="singl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spacing w:before="75"/>
                    <w:jc w:val="center"/>
                  </w:pPr>
                  <w:r>
                    <w:rPr>
                      <w:rFonts w:ascii="仿宋_GB2312" w:hAnsi="仿宋_GB2312" w:cs="仿宋_GB2312" w:eastAsia="仿宋_GB2312"/>
                      <w:sz w:val="18"/>
                      <w:b/>
                      <w:color w:val="000000"/>
                    </w:rPr>
                    <w:t>备注</w:t>
                  </w:r>
                </w:p>
              </w:tc>
            </w:tr>
            <w:tr>
              <w:tc>
                <w:tcPr>
                  <w:tcW w:type="dxa" w:w="182"/>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spacing w:before="75"/>
                    <w:jc w:val="center"/>
                  </w:pPr>
                  <w:r>
                    <w:rPr>
                      <w:rFonts w:ascii="仿宋_GB2312" w:hAnsi="仿宋_GB2312" w:cs="仿宋_GB2312" w:eastAsia="仿宋_GB2312"/>
                      <w:sz w:val="18"/>
                      <w:color w:val="000000"/>
                    </w:rPr>
                    <w:t>1</w:t>
                  </w:r>
                </w:p>
              </w:tc>
              <w:tc>
                <w:tcPr>
                  <w:tcW w:type="dxa" w:w="387"/>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spacing w:before="75"/>
                    <w:jc w:val="center"/>
                  </w:pPr>
                  <w:r>
                    <w:rPr>
                      <w:rFonts w:ascii="仿宋_GB2312" w:hAnsi="仿宋_GB2312" w:cs="仿宋_GB2312" w:eastAsia="仿宋_GB2312"/>
                      <w:sz w:val="18"/>
                      <w:color w:val="000000"/>
                    </w:rPr>
                    <w:t>个人防护用品</w:t>
                  </w:r>
                </w:p>
              </w:tc>
              <w:tc>
                <w:tcPr>
                  <w:tcW w:type="dxa" w:w="1459"/>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spacing w:before="30"/>
                    <w:ind w:left="45"/>
                    <w:jc w:val="left"/>
                  </w:pPr>
                  <w:r>
                    <w:rPr>
                      <w:rFonts w:ascii="仿宋_GB2312" w:hAnsi="仿宋_GB2312" w:cs="仿宋_GB2312" w:eastAsia="仿宋_GB2312"/>
                      <w:sz w:val="18"/>
                      <w:color w:val="000000"/>
                    </w:rPr>
                    <w:t>医用防护衣：</w:t>
                  </w:r>
                  <w:r>
                    <w:rPr>
                      <w:rFonts w:ascii="仿宋_GB2312" w:hAnsi="仿宋_GB2312" w:cs="仿宋_GB2312" w:eastAsia="仿宋_GB2312"/>
                      <w:sz w:val="18"/>
                      <w:color w:val="000000"/>
                    </w:rPr>
                    <w:t>10 件，医用一次性；</w:t>
                  </w:r>
                </w:p>
                <w:p>
                  <w:pPr>
                    <w:pStyle w:val="null3"/>
                    <w:spacing w:before="30"/>
                    <w:ind w:left="45" w:right="75"/>
                    <w:jc w:val="left"/>
                  </w:pPr>
                  <w:r>
                    <w:rPr>
                      <w:rFonts w:ascii="仿宋_GB2312" w:hAnsi="仿宋_GB2312" w:cs="仿宋_GB2312" w:eastAsia="仿宋_GB2312"/>
                      <w:sz w:val="18"/>
                      <w:color w:val="000000"/>
                    </w:rPr>
                    <w:t>执行标准：</w:t>
                  </w:r>
                  <w:r>
                    <w:rPr>
                      <w:rFonts w:ascii="仿宋_GB2312" w:hAnsi="仿宋_GB2312" w:cs="仿宋_GB2312" w:eastAsia="仿宋_GB2312"/>
                      <w:sz w:val="18"/>
                      <w:color w:val="000000"/>
                    </w:rPr>
                    <w:t>GB19082-2009；材质：</w:t>
                  </w:r>
                  <w:r>
                    <w:rPr>
                      <w:rFonts w:ascii="仿宋_GB2312" w:hAnsi="仿宋_GB2312" w:cs="仿宋_GB2312" w:eastAsia="仿宋_GB2312"/>
                      <w:sz w:val="18"/>
                      <w:color w:val="000000"/>
                    </w:rPr>
                    <w:t>无纺布</w:t>
                  </w:r>
                  <w:r>
                    <w:rPr>
                      <w:rFonts w:ascii="仿宋_GB2312" w:hAnsi="仿宋_GB2312" w:cs="仿宋_GB2312" w:eastAsia="仿宋_GB2312"/>
                      <w:sz w:val="18"/>
                      <w:color w:val="000000"/>
                    </w:rPr>
                    <w:t>+PE覆膜；结构：连体式防</w:t>
                  </w:r>
                  <w:r>
                    <w:rPr>
                      <w:rFonts w:ascii="仿宋_GB2312" w:hAnsi="仿宋_GB2312" w:cs="仿宋_GB2312" w:eastAsia="仿宋_GB2312"/>
                      <w:sz w:val="18"/>
                      <w:color w:val="000000"/>
                    </w:rPr>
                    <w:t>护服。</w:t>
                  </w:r>
                </w:p>
                <w:p>
                  <w:pPr>
                    <w:pStyle w:val="null3"/>
                    <w:ind w:left="45"/>
                    <w:jc w:val="left"/>
                  </w:pPr>
                  <w:r>
                    <w:rPr>
                      <w:rFonts w:ascii="仿宋_GB2312" w:hAnsi="仿宋_GB2312" w:cs="仿宋_GB2312" w:eastAsia="仿宋_GB2312"/>
                      <w:sz w:val="18"/>
                      <w:color w:val="000000"/>
                    </w:rPr>
                    <w:t>消防护目镜：</w:t>
                  </w:r>
                  <w:r>
                    <w:rPr>
                      <w:rFonts w:ascii="仿宋_GB2312" w:hAnsi="仿宋_GB2312" w:cs="仿宋_GB2312" w:eastAsia="仿宋_GB2312"/>
                      <w:sz w:val="18"/>
                      <w:color w:val="000000"/>
                    </w:rPr>
                    <w:t>10 件</w:t>
                  </w:r>
                  <w:r>
                    <w:rPr>
                      <w:rFonts w:ascii="仿宋_GB2312" w:hAnsi="仿宋_GB2312" w:cs="仿宋_GB2312" w:eastAsia="仿宋_GB2312"/>
                    </w:rPr>
                    <w:t xml:space="preserve"> </w:t>
                  </w:r>
                  <w:r>
                    <w:rPr>
                      <w:rFonts w:ascii="仿宋_GB2312" w:hAnsi="仿宋_GB2312" w:cs="仿宋_GB2312" w:eastAsia="仿宋_GB2312"/>
                      <w:sz w:val="18"/>
                      <w:color w:val="000000"/>
                    </w:rPr>
                    <w:t>符合</w:t>
                  </w:r>
                  <w:r>
                    <w:rPr>
                      <w:rFonts w:ascii="仿宋_GB2312" w:hAnsi="仿宋_GB2312" w:cs="仿宋_GB2312" w:eastAsia="仿宋_GB2312"/>
                    </w:rPr>
                    <w:t xml:space="preserve"> </w:t>
                  </w:r>
                  <w:r>
                    <w:rPr>
                      <w:rFonts w:ascii="仿宋_GB2312" w:hAnsi="仿宋_GB2312" w:cs="仿宋_GB2312" w:eastAsia="仿宋_GB2312"/>
                      <w:sz w:val="18"/>
                      <w:color w:val="000000"/>
                    </w:rPr>
                    <w:t>GA</w:t>
                  </w:r>
                  <w:r>
                    <w:rPr>
                      <w:rFonts w:ascii="仿宋_GB2312" w:hAnsi="仿宋_GB2312" w:cs="仿宋_GB2312" w:eastAsia="仿宋_GB2312"/>
                      <w:sz w:val="18"/>
                      <w:color w:val="000000"/>
                    </w:rPr>
                    <w:t>1273-2015《消防员防护辅助装备消</w:t>
                  </w:r>
                  <w:r>
                    <w:rPr>
                      <w:rFonts w:ascii="仿宋_GB2312" w:hAnsi="仿宋_GB2312" w:cs="仿宋_GB2312" w:eastAsia="仿宋_GB2312"/>
                      <w:sz w:val="18"/>
                      <w:color w:val="000000"/>
                    </w:rPr>
                    <w:t>防护目镜》标准；可与近视银镜同时佩戴，材质：聚碳酸酯镜片，乙</w:t>
                  </w:r>
                  <w:r>
                    <w:rPr>
                      <w:rFonts w:ascii="仿宋_GB2312" w:hAnsi="仿宋_GB2312" w:cs="仿宋_GB2312" w:eastAsia="仿宋_GB2312"/>
                      <w:sz w:val="18"/>
                      <w:color w:val="000000"/>
                    </w:rPr>
                    <w:t>烯镜框。</w:t>
                  </w:r>
                </w:p>
                <w:p>
                  <w:pPr>
                    <w:pStyle w:val="null3"/>
                    <w:ind w:left="45"/>
                    <w:jc w:val="left"/>
                  </w:pPr>
                  <w:r>
                    <w:rPr>
                      <w:rFonts w:ascii="仿宋_GB2312" w:hAnsi="仿宋_GB2312" w:cs="仿宋_GB2312" w:eastAsia="仿宋_GB2312"/>
                      <w:sz w:val="18"/>
                      <w:color w:val="000000"/>
                    </w:rPr>
                    <w:t>医用外科口罩：</w:t>
                  </w:r>
                  <w:r>
                    <w:rPr>
                      <w:rFonts w:ascii="仿宋_GB2312" w:hAnsi="仿宋_GB2312" w:cs="仿宋_GB2312" w:eastAsia="仿宋_GB2312"/>
                      <w:sz w:val="18"/>
                      <w:color w:val="000000"/>
                    </w:rPr>
                    <w:t>1 箱（2000 只</w:t>
                  </w:r>
                  <w:r>
                    <w:rPr>
                      <w:rFonts w:ascii="仿宋_GB2312" w:hAnsi="仿宋_GB2312" w:cs="仿宋_GB2312" w:eastAsia="仿宋_GB2312"/>
                      <w:sz w:val="18"/>
                      <w:color w:val="000000"/>
                    </w:rPr>
                    <w:t>），</w:t>
                  </w:r>
                </w:p>
                <w:p>
                  <w:pPr>
                    <w:pStyle w:val="null3"/>
                    <w:spacing w:before="30"/>
                    <w:ind w:left="45"/>
                    <w:jc w:val="left"/>
                  </w:pPr>
                  <w:r>
                    <w:rPr>
                      <w:rFonts w:ascii="仿宋_GB2312" w:hAnsi="仿宋_GB2312" w:cs="仿宋_GB2312" w:eastAsia="仿宋_GB2312"/>
                      <w:sz w:val="18"/>
                      <w:color w:val="000000"/>
                    </w:rPr>
                    <w:t>执行标准号</w:t>
                  </w:r>
                  <w:r>
                    <w:rPr>
                      <w:rFonts w:ascii="仿宋_GB2312" w:hAnsi="仿宋_GB2312" w:cs="仿宋_GB2312" w:eastAsia="仿宋_GB2312"/>
                      <w:sz w:val="18"/>
                      <w:color w:val="000000"/>
                    </w:rPr>
                    <w:t>：</w:t>
                  </w:r>
                  <w:r>
                    <w:rPr>
                      <w:rFonts w:ascii="仿宋_GB2312" w:hAnsi="仿宋_GB2312" w:cs="仿宋_GB2312" w:eastAsia="仿宋_GB2312"/>
                      <w:sz w:val="18"/>
                      <w:color w:val="000000"/>
                    </w:rPr>
                    <w:t xml:space="preserve"> </w:t>
                  </w:r>
                  <w:r>
                    <w:rPr>
                      <w:rFonts w:ascii="仿宋_GB2312" w:hAnsi="仿宋_GB2312" w:cs="仿宋_GB2312" w:eastAsia="仿宋_GB2312"/>
                      <w:sz w:val="18"/>
                      <w:color w:val="000000"/>
                    </w:rPr>
                    <w:t>YY 0469-2011。</w:t>
                  </w:r>
                </w:p>
                <w:p>
                  <w:pPr>
                    <w:pStyle w:val="null3"/>
                    <w:spacing w:before="30"/>
                    <w:ind w:left="60" w:right="195"/>
                    <w:jc w:val="left"/>
                  </w:pPr>
                  <w:r>
                    <w:rPr>
                      <w:rFonts w:ascii="仿宋_GB2312" w:hAnsi="仿宋_GB2312" w:cs="仿宋_GB2312" w:eastAsia="仿宋_GB2312"/>
                      <w:sz w:val="18"/>
                      <w:color w:val="000000"/>
                    </w:rPr>
                    <w:t>PE 手套</w:t>
                  </w:r>
                  <w:r>
                    <w:rPr>
                      <w:rFonts w:ascii="仿宋_GB2312" w:hAnsi="仿宋_GB2312" w:cs="仿宋_GB2312" w:eastAsia="仿宋_GB2312"/>
                    </w:rPr>
                    <w:t xml:space="preserve"> </w:t>
                  </w:r>
                  <w:r>
                    <w:rPr>
                      <w:rFonts w:ascii="仿宋_GB2312" w:hAnsi="仿宋_GB2312" w:cs="仿宋_GB2312" w:eastAsia="仿宋_GB2312"/>
                      <w:sz w:val="18"/>
                      <w:color w:val="000000"/>
                    </w:rPr>
                    <w:t>1 箱（2000只）、一次性</w:t>
                  </w:r>
                  <w:r>
                    <w:rPr>
                      <w:rFonts w:ascii="仿宋_GB2312" w:hAnsi="仿宋_GB2312" w:cs="仿宋_GB2312" w:eastAsia="仿宋_GB2312"/>
                      <w:sz w:val="18"/>
                      <w:color w:val="000000"/>
                    </w:rPr>
                    <w:t>乳胶手套</w:t>
                  </w:r>
                  <w:r>
                    <w:rPr>
                      <w:rFonts w:ascii="仿宋_GB2312" w:hAnsi="仿宋_GB2312" w:cs="仿宋_GB2312" w:eastAsia="仿宋_GB2312"/>
                    </w:rPr>
                    <w:t xml:space="preserve"> </w:t>
                  </w:r>
                  <w:r>
                    <w:rPr>
                      <w:rFonts w:ascii="仿宋_GB2312" w:hAnsi="仿宋_GB2312" w:cs="仿宋_GB2312" w:eastAsia="仿宋_GB2312"/>
                      <w:sz w:val="18"/>
                      <w:color w:val="000000"/>
                    </w:rPr>
                    <w:t>1 箱（1000 只）</w:t>
                  </w:r>
                  <w:r>
                    <w:rPr>
                      <w:rFonts w:ascii="仿宋_GB2312" w:hAnsi="仿宋_GB2312" w:cs="仿宋_GB2312" w:eastAsia="仿宋_GB2312"/>
                      <w:sz w:val="18"/>
                      <w:color w:val="000000"/>
                    </w:rPr>
                    <w:t>。</w:t>
                  </w:r>
                </w:p>
                <w:p>
                  <w:pPr>
                    <w:pStyle w:val="null3"/>
                    <w:ind w:left="45" w:right="15"/>
                    <w:jc w:val="left"/>
                  </w:pPr>
                  <w:r>
                    <w:rPr>
                      <w:rFonts w:ascii="仿宋_GB2312" w:hAnsi="仿宋_GB2312" w:cs="仿宋_GB2312" w:eastAsia="仿宋_GB2312"/>
                      <w:sz w:val="18"/>
                      <w:color w:val="000000"/>
                    </w:rPr>
                    <w:t>消毒液</w:t>
                  </w:r>
                  <w:r>
                    <w:rPr>
                      <w:rFonts w:ascii="仿宋_GB2312" w:hAnsi="仿宋_GB2312" w:cs="仿宋_GB2312" w:eastAsia="仿宋_GB2312"/>
                    </w:rPr>
                    <w:t xml:space="preserve"> </w:t>
                  </w:r>
                  <w:r>
                    <w:rPr>
                      <w:rFonts w:ascii="仿宋_GB2312" w:hAnsi="仿宋_GB2312" w:cs="仿宋_GB2312" w:eastAsia="仿宋_GB2312"/>
                      <w:sz w:val="18"/>
                      <w:color w:val="000000"/>
                    </w:rPr>
                    <w:t>1 箱</w:t>
                  </w:r>
                  <w:r>
                    <w:rPr>
                      <w:rFonts w:ascii="仿宋_GB2312" w:hAnsi="仿宋_GB2312" w:cs="仿宋_GB2312" w:eastAsia="仿宋_GB2312"/>
                      <w:sz w:val="18"/>
                      <w:color w:val="000000"/>
                    </w:rPr>
                    <w:t>：（</w:t>
                  </w:r>
                  <w:r>
                    <w:rPr>
                      <w:rFonts w:ascii="仿宋_GB2312" w:hAnsi="仿宋_GB2312" w:cs="仿宋_GB2312" w:eastAsia="仿宋_GB2312"/>
                      <w:sz w:val="18"/>
                      <w:color w:val="000000"/>
                    </w:rPr>
                    <w:t>2.5L/瓶×10瓶</w:t>
                  </w:r>
                  <w:r>
                    <w:rPr>
                      <w:rFonts w:ascii="仿宋_GB2312" w:hAnsi="仿宋_GB2312" w:cs="仿宋_GB2312" w:eastAsia="仿宋_GB2312"/>
                      <w:sz w:val="18"/>
                      <w:color w:val="000000"/>
                    </w:rPr>
                    <w:t>），</w:t>
                  </w:r>
                  <w:r>
                    <w:rPr>
                      <w:rFonts w:ascii="仿宋_GB2312" w:hAnsi="仿宋_GB2312" w:cs="仿宋_GB2312" w:eastAsia="仿宋_GB2312"/>
                      <w:sz w:val="18"/>
                      <w:color w:val="000000"/>
                    </w:rPr>
                    <w:t>满足灭活病毒、消毒及漂白作用</w:t>
                  </w:r>
                  <w:r>
                    <w:rPr>
                      <w:rFonts w:ascii="仿宋_GB2312" w:hAnsi="仿宋_GB2312" w:cs="仿宋_GB2312" w:eastAsia="仿宋_GB2312"/>
                      <w:sz w:val="18"/>
                      <w:color w:val="000000"/>
                    </w:rPr>
                    <w:t>碘伏</w:t>
                  </w:r>
                  <w:r>
                    <w:rPr>
                      <w:rFonts w:ascii="仿宋_GB2312" w:hAnsi="仿宋_GB2312" w:cs="仿宋_GB2312" w:eastAsia="仿宋_GB2312"/>
                    </w:rPr>
                    <w:t xml:space="preserve"> </w:t>
                  </w:r>
                  <w:r>
                    <w:rPr>
                      <w:rFonts w:ascii="仿宋_GB2312" w:hAnsi="仿宋_GB2312" w:cs="仿宋_GB2312" w:eastAsia="仿宋_GB2312"/>
                      <w:sz w:val="18"/>
                      <w:color w:val="000000"/>
                    </w:rPr>
                    <w:t>1 箱：500ml/瓶×30 瓶、纱布</w:t>
                  </w:r>
                  <w:r>
                    <w:rPr>
                      <w:rFonts w:ascii="仿宋_GB2312" w:hAnsi="仿宋_GB2312" w:cs="仿宋_GB2312" w:eastAsia="仿宋_GB2312"/>
                      <w:sz w:val="18"/>
                      <w:color w:val="000000"/>
                    </w:rPr>
                    <w:t>等。</w:t>
                  </w:r>
                </w:p>
              </w:tc>
              <w:tc>
                <w:tcPr>
                  <w:tcW w:type="dxa" w:w="144"/>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spacing w:before="75"/>
                    <w:jc w:val="center"/>
                  </w:pPr>
                  <w:r>
                    <w:rPr>
                      <w:rFonts w:ascii="仿宋_GB2312" w:hAnsi="仿宋_GB2312" w:cs="仿宋_GB2312" w:eastAsia="仿宋_GB2312"/>
                      <w:sz w:val="18"/>
                      <w:color w:val="000000"/>
                    </w:rPr>
                    <w:t>项</w:t>
                  </w:r>
                </w:p>
              </w:tc>
              <w:tc>
                <w:tcPr>
                  <w:tcW w:type="dxa" w:w="148"/>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spacing w:before="75"/>
                    <w:jc w:val="center"/>
                  </w:pPr>
                  <w:r>
                    <w:rPr>
                      <w:rFonts w:ascii="仿宋_GB2312" w:hAnsi="仿宋_GB2312" w:cs="仿宋_GB2312" w:eastAsia="仿宋_GB2312"/>
                      <w:sz w:val="18"/>
                      <w:color w:val="000000"/>
                    </w:rPr>
                    <w:t>1</w:t>
                  </w:r>
                </w:p>
              </w:tc>
              <w:tc>
                <w:tcPr>
                  <w:tcW w:type="dxa" w:w="221"/>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spacing w:before="75"/>
                    <w:jc w:val="center"/>
                  </w:pPr>
                </w:p>
              </w:tc>
            </w:tr>
            <w:tr>
              <w:tc>
                <w:tcPr>
                  <w:tcW w:type="dxa" w:w="182"/>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18"/>
                      <w:color w:val="000000"/>
                    </w:rPr>
                    <w:t>2</w:t>
                  </w:r>
                </w:p>
              </w:tc>
              <w:tc>
                <w:tcPr>
                  <w:tcW w:type="dxa" w:w="387"/>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spacing w:before="75"/>
                    <w:jc w:val="center"/>
                  </w:pPr>
                  <w:r>
                    <w:rPr>
                      <w:rFonts w:ascii="仿宋_GB2312" w:hAnsi="仿宋_GB2312" w:cs="仿宋_GB2312" w:eastAsia="仿宋_GB2312"/>
                      <w:sz w:val="18"/>
                      <w:color w:val="000000"/>
                    </w:rPr>
                    <w:t>病疫采集设备</w:t>
                  </w:r>
                </w:p>
              </w:tc>
              <w:tc>
                <w:tcPr>
                  <w:tcW w:type="dxa" w:w="1459"/>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spacing w:before="30"/>
                    <w:ind w:left="45"/>
                    <w:jc w:val="both"/>
                  </w:pPr>
                  <w:r>
                    <w:rPr>
                      <w:rFonts w:ascii="仿宋_GB2312" w:hAnsi="仿宋_GB2312" w:cs="仿宋_GB2312" w:eastAsia="仿宋_GB2312"/>
                      <w:sz w:val="18"/>
                      <w:color w:val="000000"/>
                    </w:rPr>
                    <w:t>采集箱尺寸：</w:t>
                  </w:r>
                  <w:r>
                    <w:rPr>
                      <w:rFonts w:ascii="仿宋_GB2312" w:hAnsi="仿宋_GB2312" w:cs="仿宋_GB2312" w:eastAsia="仿宋_GB2312"/>
                      <w:sz w:val="18"/>
                      <w:color w:val="000000"/>
                    </w:rPr>
                    <w:t>60cm×40cm×40cm，</w:t>
                  </w:r>
                </w:p>
                <w:p>
                  <w:pPr>
                    <w:pStyle w:val="null3"/>
                    <w:spacing w:before="30"/>
                    <w:ind w:left="45"/>
                    <w:jc w:val="both"/>
                  </w:pPr>
                  <w:r>
                    <w:rPr>
                      <w:rFonts w:ascii="仿宋_GB2312" w:hAnsi="仿宋_GB2312" w:cs="仿宋_GB2312" w:eastAsia="仿宋_GB2312"/>
                      <w:sz w:val="18"/>
                      <w:color w:val="000000"/>
                    </w:rPr>
                    <w:t>内部装有：采集网、照明灯、镊子、</w:t>
                  </w:r>
                  <w:r>
                    <w:rPr>
                      <w:rFonts w:ascii="仿宋_GB2312" w:hAnsi="仿宋_GB2312" w:cs="仿宋_GB2312" w:eastAsia="仿宋_GB2312"/>
                      <w:sz w:val="18"/>
                      <w:color w:val="000000"/>
                    </w:rPr>
                    <w:t>记录本、记录笔、美工刀、标本袋、</w:t>
                  </w:r>
                  <w:r>
                    <w:rPr>
                      <w:rFonts w:ascii="仿宋_GB2312" w:hAnsi="仿宋_GB2312" w:cs="仿宋_GB2312" w:eastAsia="仿宋_GB2312"/>
                      <w:sz w:val="18"/>
                      <w:color w:val="000000"/>
                    </w:rPr>
                    <w:t>采样管、采血管、采血针、注射器、</w:t>
                  </w:r>
                  <w:r>
                    <w:rPr>
                      <w:rFonts w:ascii="仿宋_GB2312" w:hAnsi="仿宋_GB2312" w:cs="仿宋_GB2312" w:eastAsia="仿宋_GB2312"/>
                      <w:sz w:val="18"/>
                      <w:color w:val="000000"/>
                    </w:rPr>
                    <w:t>采样袋、冰袋等</w:t>
                  </w:r>
                </w:p>
              </w:tc>
              <w:tc>
                <w:tcPr>
                  <w:tcW w:type="dxa" w:w="144"/>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spacing w:before="75"/>
                    <w:jc w:val="center"/>
                  </w:pPr>
                  <w:r>
                    <w:rPr>
                      <w:rFonts w:ascii="仿宋_GB2312" w:hAnsi="仿宋_GB2312" w:cs="仿宋_GB2312" w:eastAsia="仿宋_GB2312"/>
                      <w:sz w:val="18"/>
                      <w:color w:val="000000"/>
                    </w:rPr>
                    <w:t>套</w:t>
                  </w:r>
                </w:p>
              </w:tc>
              <w:tc>
                <w:tcPr>
                  <w:tcW w:type="dxa" w:w="148"/>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spacing w:before="75"/>
                    <w:jc w:val="center"/>
                  </w:pPr>
                  <w:r>
                    <w:rPr>
                      <w:rFonts w:ascii="仿宋_GB2312" w:hAnsi="仿宋_GB2312" w:cs="仿宋_GB2312" w:eastAsia="仿宋_GB2312"/>
                      <w:sz w:val="18"/>
                      <w:color w:val="000000"/>
                    </w:rPr>
                    <w:t>3</w:t>
                  </w:r>
                </w:p>
              </w:tc>
              <w:tc>
                <w:tcPr>
                  <w:tcW w:type="dxa" w:w="221"/>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left"/>
                  </w:pPr>
                </w:p>
              </w:tc>
            </w:tr>
            <w:tr>
              <w:tc>
                <w:tcPr>
                  <w:tcW w:type="dxa" w:w="182"/>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18"/>
                      <w:color w:val="000000"/>
                    </w:rPr>
                    <w:t>3</w:t>
                  </w:r>
                </w:p>
              </w:tc>
              <w:tc>
                <w:tcPr>
                  <w:tcW w:type="dxa" w:w="387"/>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spacing w:before="75"/>
                    <w:jc w:val="center"/>
                  </w:pPr>
                  <w:r>
                    <w:rPr>
                      <w:rFonts w:ascii="仿宋_GB2312" w:hAnsi="仿宋_GB2312" w:cs="仿宋_GB2312" w:eastAsia="仿宋_GB2312"/>
                      <w:sz w:val="18"/>
                      <w:color w:val="000000"/>
                    </w:rPr>
                    <w:t>便携式保存箱</w:t>
                  </w:r>
                </w:p>
              </w:tc>
              <w:tc>
                <w:tcPr>
                  <w:tcW w:type="dxa" w:w="1459"/>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spacing w:before="30"/>
                    <w:ind w:left="45"/>
                    <w:jc w:val="both"/>
                  </w:pPr>
                  <w:r>
                    <w:rPr>
                      <w:rFonts w:ascii="仿宋_GB2312" w:hAnsi="仿宋_GB2312" w:cs="仿宋_GB2312" w:eastAsia="仿宋_GB2312"/>
                      <w:sz w:val="18"/>
                      <w:color w:val="000000"/>
                    </w:rPr>
                    <w:t>材质：箱体／</w:t>
                  </w:r>
                  <w:r>
                    <w:rPr>
                      <w:rFonts w:ascii="仿宋_GB2312" w:hAnsi="仿宋_GB2312" w:cs="仿宋_GB2312" w:eastAsia="仿宋_GB2312"/>
                      <w:sz w:val="18"/>
                      <w:color w:val="000000"/>
                    </w:rPr>
                    <w:t>PP（聚丙烯）、绝热 材料／发泡聚苯乙烯</w:t>
                  </w:r>
                </w:p>
                <w:p>
                  <w:pPr>
                    <w:pStyle w:val="null3"/>
                    <w:spacing w:before="30"/>
                    <w:ind w:left="45"/>
                    <w:jc w:val="both"/>
                  </w:pPr>
                  <w:r>
                    <w:rPr>
                      <w:rFonts w:ascii="仿宋_GB2312" w:hAnsi="仿宋_GB2312" w:cs="仿宋_GB2312" w:eastAsia="仿宋_GB2312"/>
                      <w:sz w:val="18"/>
                      <w:color w:val="000000"/>
                    </w:rPr>
                    <w:t>带肩背带</w:t>
                  </w:r>
                  <w:r>
                    <w:rPr>
                      <w:rFonts w:ascii="仿宋_GB2312" w:hAnsi="仿宋_GB2312" w:cs="仿宋_GB2312" w:eastAsia="仿宋_GB2312"/>
                      <w:sz w:val="18"/>
                      <w:color w:val="000000"/>
                    </w:rPr>
                    <w:t>容量：</w:t>
                  </w:r>
                  <w:r>
                    <w:rPr>
                      <w:rFonts w:ascii="仿宋_GB2312" w:hAnsi="仿宋_GB2312" w:cs="仿宋_GB2312" w:eastAsia="仿宋_GB2312"/>
                      <w:sz w:val="18"/>
                      <w:color w:val="000000"/>
                    </w:rPr>
                    <w:t>25L</w:t>
                  </w:r>
                </w:p>
              </w:tc>
              <w:tc>
                <w:tcPr>
                  <w:tcW w:type="dxa" w:w="144"/>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spacing w:before="75"/>
                    <w:jc w:val="center"/>
                  </w:pPr>
                  <w:r>
                    <w:rPr>
                      <w:rFonts w:ascii="仿宋_GB2312" w:hAnsi="仿宋_GB2312" w:cs="仿宋_GB2312" w:eastAsia="仿宋_GB2312"/>
                      <w:sz w:val="18"/>
                      <w:color w:val="000000"/>
                    </w:rPr>
                    <w:t>个</w:t>
                  </w:r>
                </w:p>
              </w:tc>
              <w:tc>
                <w:tcPr>
                  <w:tcW w:type="dxa" w:w="148"/>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spacing w:before="75"/>
                    <w:jc w:val="center"/>
                  </w:pPr>
                  <w:r>
                    <w:rPr>
                      <w:rFonts w:ascii="仿宋_GB2312" w:hAnsi="仿宋_GB2312" w:cs="仿宋_GB2312" w:eastAsia="仿宋_GB2312"/>
                      <w:sz w:val="18"/>
                      <w:color w:val="000000"/>
                    </w:rPr>
                    <w:t>2</w:t>
                  </w:r>
                </w:p>
              </w:tc>
              <w:tc>
                <w:tcPr>
                  <w:tcW w:type="dxa" w:w="221"/>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left"/>
                  </w:pPr>
                </w:p>
              </w:tc>
            </w:tr>
            <w:tr>
              <w:tc>
                <w:tcPr>
                  <w:tcW w:type="dxa" w:w="182"/>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18"/>
                      <w:color w:val="000000"/>
                    </w:rPr>
                    <w:t>4</w:t>
                  </w:r>
                </w:p>
              </w:tc>
              <w:tc>
                <w:tcPr>
                  <w:tcW w:type="dxa" w:w="387"/>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spacing w:before="75"/>
                    <w:jc w:val="center"/>
                  </w:pPr>
                  <w:r>
                    <w:rPr>
                      <w:rFonts w:ascii="仿宋_GB2312" w:hAnsi="仿宋_GB2312" w:cs="仿宋_GB2312" w:eastAsia="仿宋_GB2312"/>
                      <w:sz w:val="18"/>
                      <w:color w:val="000000"/>
                    </w:rPr>
                    <w:t>小型野生动物运</w:t>
                  </w:r>
                  <w:r>
                    <w:rPr>
                      <w:rFonts w:ascii="仿宋_GB2312" w:hAnsi="仿宋_GB2312" w:cs="仿宋_GB2312" w:eastAsia="仿宋_GB2312"/>
                      <w:sz w:val="18"/>
                      <w:color w:val="000000"/>
                    </w:rPr>
                    <w:t>输笼箱</w:t>
                  </w:r>
                </w:p>
              </w:tc>
              <w:tc>
                <w:tcPr>
                  <w:tcW w:type="dxa" w:w="1459"/>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spacing w:before="30"/>
                    <w:ind w:left="45"/>
                    <w:jc w:val="both"/>
                  </w:pPr>
                  <w:r>
                    <w:rPr>
                      <w:rFonts w:ascii="仿宋_GB2312" w:hAnsi="仿宋_GB2312" w:cs="仿宋_GB2312" w:eastAsia="仿宋_GB2312"/>
                      <w:sz w:val="18"/>
                      <w:color w:val="000000"/>
                    </w:rPr>
                    <w:t>笼体</w:t>
                  </w:r>
                  <w:r>
                    <w:rPr>
                      <w:rFonts w:ascii="仿宋_GB2312" w:hAnsi="仿宋_GB2312" w:cs="仿宋_GB2312" w:eastAsia="仿宋_GB2312"/>
                      <w:sz w:val="18"/>
                      <w:color w:val="000000"/>
                    </w:rPr>
                    <w:t>25 cm ×98 cm × 110 cm；天窗 95 cm ×76 cm</w:t>
                  </w:r>
                </w:p>
              </w:tc>
              <w:tc>
                <w:tcPr>
                  <w:tcW w:type="dxa" w:w="144"/>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spacing w:before="75"/>
                    <w:jc w:val="center"/>
                  </w:pPr>
                  <w:r>
                    <w:rPr>
                      <w:rFonts w:ascii="仿宋_GB2312" w:hAnsi="仿宋_GB2312" w:cs="仿宋_GB2312" w:eastAsia="仿宋_GB2312"/>
                      <w:sz w:val="18"/>
                      <w:color w:val="000000"/>
                    </w:rPr>
                    <w:t>个</w:t>
                  </w:r>
                </w:p>
              </w:tc>
              <w:tc>
                <w:tcPr>
                  <w:tcW w:type="dxa" w:w="148"/>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spacing w:before="75"/>
                    <w:jc w:val="center"/>
                  </w:pPr>
                  <w:r>
                    <w:rPr>
                      <w:rFonts w:ascii="仿宋_GB2312" w:hAnsi="仿宋_GB2312" w:cs="仿宋_GB2312" w:eastAsia="仿宋_GB2312"/>
                      <w:sz w:val="18"/>
                      <w:color w:val="000000"/>
                    </w:rPr>
                    <w:t>2</w:t>
                  </w:r>
                </w:p>
              </w:tc>
              <w:tc>
                <w:tcPr>
                  <w:tcW w:type="dxa" w:w="221"/>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left"/>
                  </w:pPr>
                </w:p>
              </w:tc>
            </w:tr>
            <w:tr>
              <w:tc>
                <w:tcPr>
                  <w:tcW w:type="dxa" w:w="182"/>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18"/>
                      <w:color w:val="000000"/>
                    </w:rPr>
                    <w:t>5</w:t>
                  </w:r>
                </w:p>
              </w:tc>
              <w:tc>
                <w:tcPr>
                  <w:tcW w:type="dxa" w:w="387"/>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spacing w:before="75"/>
                    <w:jc w:val="center"/>
                  </w:pPr>
                  <w:r>
                    <w:rPr>
                      <w:rFonts w:ascii="仿宋_GB2312" w:hAnsi="仿宋_GB2312" w:cs="仿宋_GB2312" w:eastAsia="仿宋_GB2312"/>
                      <w:sz w:val="18"/>
                      <w:color w:val="000000"/>
                    </w:rPr>
                    <w:t>捕捉工具</w:t>
                  </w:r>
                </w:p>
              </w:tc>
              <w:tc>
                <w:tcPr>
                  <w:tcW w:type="dxa" w:w="1459"/>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spacing w:before="30"/>
                    <w:ind w:left="45"/>
                    <w:jc w:val="both"/>
                  </w:pPr>
                  <w:r>
                    <w:rPr>
                      <w:rFonts w:ascii="仿宋_GB2312" w:hAnsi="仿宋_GB2312" w:cs="仿宋_GB2312" w:eastAsia="仿宋_GB2312"/>
                      <w:sz w:val="18"/>
                      <w:color w:val="000000"/>
                    </w:rPr>
                    <w:t>铁质笼子（中大型野生动物）；尺寸</w:t>
                  </w:r>
                  <w:r>
                    <w:rPr>
                      <w:rFonts w:ascii="仿宋_GB2312" w:hAnsi="仿宋_GB2312" w:cs="仿宋_GB2312" w:eastAsia="仿宋_GB2312"/>
                      <w:sz w:val="18"/>
                      <w:color w:val="000000"/>
                    </w:rPr>
                    <w:t>≥150cm×53cm×50cm；材质≥4.0 镀锌丝；</w:t>
                  </w:r>
                </w:p>
                <w:p>
                  <w:pPr>
                    <w:pStyle w:val="null3"/>
                    <w:spacing w:before="30"/>
                    <w:ind w:left="45"/>
                    <w:jc w:val="both"/>
                  </w:pPr>
                  <w:r>
                    <w:rPr>
                      <w:rFonts w:ascii="仿宋_GB2312" w:hAnsi="仿宋_GB2312" w:cs="仿宋_GB2312" w:eastAsia="仿宋_GB2312"/>
                      <w:sz w:val="18"/>
                      <w:color w:val="000000"/>
                    </w:rPr>
                    <w:t>夹子：总长</w:t>
                  </w:r>
                  <w:r>
                    <w:rPr>
                      <w:rFonts w:ascii="仿宋_GB2312" w:hAnsi="仿宋_GB2312" w:cs="仿宋_GB2312" w:eastAsia="仿宋_GB2312"/>
                      <w:sz w:val="18"/>
                      <w:color w:val="000000"/>
                    </w:rPr>
                    <w:t>≥1. 1m ，钳口直径≥ 10cm ，钳口张开≥35cm；</w:t>
                  </w:r>
                </w:p>
                <w:p>
                  <w:pPr>
                    <w:pStyle w:val="null3"/>
                    <w:spacing w:before="30"/>
                    <w:ind w:left="45"/>
                    <w:jc w:val="both"/>
                  </w:pPr>
                  <w:r>
                    <w:rPr>
                      <w:rFonts w:ascii="仿宋_GB2312" w:hAnsi="仿宋_GB2312" w:cs="仿宋_GB2312" w:eastAsia="仿宋_GB2312"/>
                      <w:sz w:val="18"/>
                      <w:color w:val="000000"/>
                    </w:rPr>
                    <w:t>抓捕网：总长</w:t>
                  </w:r>
                  <w:r>
                    <w:rPr>
                      <w:rFonts w:ascii="仿宋_GB2312" w:hAnsi="仿宋_GB2312" w:cs="仿宋_GB2312" w:eastAsia="仿宋_GB2312"/>
                      <w:sz w:val="18"/>
                      <w:color w:val="000000"/>
                    </w:rPr>
                    <w:t>≥2m ，圈内直径≥60cm， 网深≥1.3m。</w:t>
                  </w:r>
                </w:p>
              </w:tc>
              <w:tc>
                <w:tcPr>
                  <w:tcW w:type="dxa" w:w="144"/>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spacing w:before="75"/>
                    <w:jc w:val="center"/>
                  </w:pPr>
                  <w:r>
                    <w:rPr>
                      <w:rFonts w:ascii="仿宋_GB2312" w:hAnsi="仿宋_GB2312" w:cs="仿宋_GB2312" w:eastAsia="仿宋_GB2312"/>
                      <w:sz w:val="18"/>
                      <w:color w:val="000000"/>
                    </w:rPr>
                    <w:t>个</w:t>
                  </w:r>
                </w:p>
              </w:tc>
              <w:tc>
                <w:tcPr>
                  <w:tcW w:type="dxa" w:w="148"/>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spacing w:before="75"/>
                    <w:jc w:val="center"/>
                  </w:pPr>
                  <w:r>
                    <w:rPr>
                      <w:rFonts w:ascii="仿宋_GB2312" w:hAnsi="仿宋_GB2312" w:cs="仿宋_GB2312" w:eastAsia="仿宋_GB2312"/>
                      <w:sz w:val="18"/>
                      <w:color w:val="000000"/>
                    </w:rPr>
                    <w:t>2</w:t>
                  </w:r>
                </w:p>
              </w:tc>
              <w:tc>
                <w:tcPr>
                  <w:tcW w:type="dxa" w:w="221"/>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left"/>
                  </w:pPr>
                </w:p>
              </w:tc>
            </w:tr>
          </w:tbl>
          <w:p/>
        </w:tc>
      </w:tr>
    </w:tbl>
    <w:p>
      <w:pPr>
        <w:pStyle w:val="null3"/>
      </w:pPr>
      <w:r>
        <w:rPr>
          <w:rFonts w:ascii="仿宋_GB2312" w:hAnsi="仿宋_GB2312" w:cs="仿宋_GB2312" w:eastAsia="仿宋_GB2312"/>
        </w:rPr>
        <w:t>二、供应商针对本项目的施工，必须达到国家及行业现行技术规范标准，符合国家及行业验收合格标准：</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符合磋商文件要求、合同及国家相关标准。</w:t>
      </w:r>
    </w:p>
    <w:p>
      <w:pPr>
        <w:pStyle w:val="null3"/>
        <w:ind w:firstLine="480"/>
      </w:pPr>
      <w:r>
        <w:rPr>
          <w:rFonts w:ascii="仿宋_GB2312" w:hAnsi="仿宋_GB2312" w:cs="仿宋_GB2312" w:eastAsia="仿宋_GB2312"/>
        </w:rPr>
        <w:t>三、针对本项目的其他技术服务要求：</w:t>
      </w:r>
    </w:p>
    <w:p>
      <w:pPr>
        <w:pStyle w:val="null3"/>
      </w:pPr>
      <w:r>
        <w:rPr>
          <w:rFonts w:ascii="仿宋_GB2312" w:hAnsi="仿宋_GB2312" w:cs="仿宋_GB2312" w:eastAsia="仿宋_GB2312"/>
        </w:rPr>
        <w:t>符合磋商文件要求、合同及国家相关标准。</w:t>
      </w:r>
    </w:p>
    <w:p>
      <w:pPr>
        <w:pStyle w:val="null3"/>
        <w:ind w:firstLine="480"/>
      </w:pPr>
      <w:r>
        <w:rPr>
          <w:rFonts w:ascii="仿宋_GB2312" w:hAnsi="仿宋_GB2312" w:cs="仿宋_GB2312" w:eastAsia="仿宋_GB2312"/>
        </w:rPr>
        <w:t>四、工程量清单（详见附件）</w:t>
      </w:r>
    </w:p>
    <w:p>
      <w:pPr>
        <w:pStyle w:val="null3"/>
        <w:ind w:firstLine="480"/>
      </w:pPr>
      <w:r>
        <w:rPr>
          <w:rFonts w:ascii="仿宋_GB2312" w:hAnsi="仿宋_GB2312" w:cs="仿宋_GB2312" w:eastAsia="仿宋_GB2312"/>
        </w:rPr>
        <w:t xml:space="preserve"> （说明：工程量清单应当结合《政府采购需求管理办法》（财库〔2021〕22号）第六条第二款规定，明确相关性能、材料、结构、外观、安全、标准等。）</w:t>
      </w:r>
    </w:p>
    <w:p>
      <w:pPr>
        <w:pStyle w:val="null3"/>
        <w:outlineLvl w:val="2"/>
      </w:pPr>
      <w:r>
        <w:rPr>
          <w:rFonts w:ascii="仿宋_GB2312" w:hAnsi="仿宋_GB2312" w:cs="仿宋_GB2312" w:eastAsia="仿宋_GB2312"/>
          <w:sz w:val="28"/>
          <w:b/>
        </w:rPr>
        <w:t>3.2商务要求（说明：由采购人依据项目具体需求制定）</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pPr>
            <w:r>
              <w:rPr>
                <w:rFonts w:ascii="仿宋_GB2312" w:hAnsi="仿宋_GB2312" w:cs="仿宋_GB2312" w:eastAsia="仿宋_GB2312"/>
              </w:rPr>
              <w:t>序号</w:t>
            </w:r>
          </w:p>
        </w:tc>
        <w:tc>
          <w:tcPr>
            <w:tcW w:type="dxa" w:w="2769"/>
          </w:tcPr>
          <w:p>
            <w:pPr>
              <w:pStyle w:val="null3"/>
            </w:pPr>
            <w:r>
              <w:rPr>
                <w:rFonts w:ascii="仿宋_GB2312" w:hAnsi="仿宋_GB2312" w:cs="仿宋_GB2312" w:eastAsia="仿宋_GB2312"/>
              </w:rPr>
              <w:t>项目</w:t>
            </w:r>
          </w:p>
        </w:tc>
        <w:tc>
          <w:tcPr>
            <w:tcW w:type="dxa" w:w="2769"/>
          </w:tcPr>
          <w:p>
            <w:pPr>
              <w:pStyle w:val="null3"/>
            </w:pPr>
            <w:r>
              <w:rPr>
                <w:rFonts w:ascii="仿宋_GB2312" w:hAnsi="仿宋_GB2312" w:cs="仿宋_GB2312" w:eastAsia="仿宋_GB2312"/>
              </w:rPr>
              <w:t>要求</w:t>
            </w:r>
          </w:p>
        </w:tc>
      </w:tr>
      <w:tr>
        <w:tc>
          <w:tcPr>
            <w:tcW w:type="dxa" w:w="2769"/>
          </w:tcPr>
          <w:p>
            <w:pPr>
              <w:pStyle w:val="null3"/>
            </w:pPr>
            <w:r>
              <w:rPr>
                <w:rFonts w:ascii="仿宋_GB2312" w:hAnsi="仿宋_GB2312" w:cs="仿宋_GB2312" w:eastAsia="仿宋_GB2312"/>
              </w:rPr>
              <w:t>1</w:t>
            </w:r>
          </w:p>
        </w:tc>
        <w:tc>
          <w:tcPr>
            <w:tcW w:type="dxa" w:w="2769"/>
          </w:tcPr>
          <w:p>
            <w:pPr>
              <w:pStyle w:val="null3"/>
            </w:pPr>
            <w:r>
              <w:rPr>
                <w:rFonts w:ascii="仿宋_GB2312" w:hAnsi="仿宋_GB2312" w:cs="仿宋_GB2312" w:eastAsia="仿宋_GB2312"/>
              </w:rPr>
              <w:t>项目负责人（项目经理）</w:t>
            </w:r>
          </w:p>
        </w:tc>
        <w:tc>
          <w:tcPr>
            <w:tcW w:type="dxa" w:w="2769"/>
          </w:tcPr>
          <w:p>
            <w:pPr>
              <w:pStyle w:val="null3"/>
            </w:pPr>
            <w:r>
              <w:rPr>
                <w:rFonts w:ascii="仿宋_GB2312" w:hAnsi="仿宋_GB2312" w:cs="仿宋_GB2312" w:eastAsia="仿宋_GB2312"/>
              </w:rPr>
              <w:t>具体要求详见资格审查条款</w:t>
            </w:r>
          </w:p>
        </w:tc>
      </w:tr>
    </w:tbl>
    <w:p>
      <w:pPr>
        <w:pStyle w:val="null3"/>
        <w:outlineLvl w:val="3"/>
      </w:pPr>
      <w:r>
        <w:rPr>
          <w:rFonts w:ascii="仿宋_GB2312" w:hAnsi="仿宋_GB2312" w:cs="仿宋_GB2312" w:eastAsia="仿宋_GB2312"/>
          <w:sz w:val="24"/>
          <w:b/>
        </w:rPr>
        <w:t>说明：</w:t>
      </w:r>
    </w:p>
    <w:p>
      <w:pPr>
        <w:pStyle w:val="null3"/>
        <w:ind w:firstLine="480"/>
      </w:pPr>
      <w:r>
        <w:rPr>
          <w:rFonts w:ascii="仿宋_GB2312" w:hAnsi="仿宋_GB2312" w:cs="仿宋_GB2312" w:eastAsia="仿宋_GB2312"/>
        </w:rPr>
        <w:t>1.对于不允许偏离的实质性要求和条件，采购人或者代理机构应当在磋商文件中规定，并以醒目的方式标明。</w:t>
      </w:r>
    </w:p>
    <w:p>
      <w:pPr>
        <w:pStyle w:val="null3"/>
        <w:ind w:firstLine="480"/>
      </w:pPr>
      <w:r>
        <w:rPr>
          <w:rFonts w:ascii="仿宋_GB2312" w:hAnsi="仿宋_GB2312" w:cs="仿宋_GB2312" w:eastAsia="仿宋_GB2312"/>
        </w:rPr>
        <w:t xml:space="preserve"> 2.除相关法律或行政法规或规章要求供应商在响应或磋商阶段提供检测报告的，不得要求供应商在响应、磋商阶段提供检测报告，如确实需要检测报告，可要求供应商承诺在签订合同阶段或项目实施阶段提供。</w:t>
      </w:r>
    </w:p>
    <w:p>
      <w:pPr>
        <w:pStyle w:val="null3"/>
        <w:ind w:firstLine="480"/>
      </w:pPr>
      <w:r>
        <w:rPr>
          <w:rFonts w:ascii="仿宋_GB2312" w:hAnsi="仿宋_GB2312" w:cs="仿宋_GB2312" w:eastAsia="仿宋_GB2312"/>
        </w:rPr>
        <w:t xml:space="preserve"> 3.若要求供应商提供相关人员的职业资格的，不得要求提供除现行《国家职业资格目录》以外的职业资格，不得以不合理条件对供应商实行差别待遇或者歧视性待遇。</w:t>
      </w:r>
    </w:p>
    <w:p>
      <w:pPr>
        <w:pStyle w:val="null3"/>
        <w:outlineLvl w:val="2"/>
      </w:pPr>
      <w:r>
        <w:rPr>
          <w:rFonts w:ascii="仿宋_GB2312" w:hAnsi="仿宋_GB2312" w:cs="仿宋_GB2312" w:eastAsia="仿宋_GB2312"/>
          <w:sz w:val="28"/>
          <w:b/>
        </w:rPr>
        <w:t>3.3其他要求</w:t>
      </w:r>
    </w:p>
    <w:p>
      <w:pPr>
        <w:pStyle w:val="null3"/>
      </w:pPr>
      <w:r>
        <w:rPr>
          <w:rFonts w:ascii="仿宋_GB2312" w:hAnsi="仿宋_GB2312" w:cs="仿宋_GB2312" w:eastAsia="仿宋_GB2312"/>
        </w:rPr>
        <w:t>本项目实施期限为：合同签订后一年。</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第四章 资格审查</w:t>
      </w:r>
    </w:p>
    <w:p>
      <w:pPr>
        <w:pStyle w:val="null3"/>
        <w:ind w:firstLine="480"/>
      </w:pPr>
      <w:r>
        <w:rPr>
          <w:rFonts w:ascii="仿宋_GB2312" w:hAnsi="仿宋_GB2312" w:cs="仿宋_GB2312" w:eastAsia="仿宋_GB2312"/>
        </w:rPr>
        <w:t xml:space="preserve"> 资格审查由采购人或代理机构组建的资格审查小组依据法律法规和磋商文件的规定，对响应文件中的资格证明等进行审查，以确定投标人是否具备投标资格，并出具资格审查报告。</w:t>
      </w:r>
    </w:p>
    <w:p>
      <w:pPr>
        <w:pStyle w:val="null3"/>
        <w:ind w:firstLine="480"/>
      </w:pPr>
      <w:r>
        <w:rPr>
          <w:rFonts w:ascii="仿宋_GB2312" w:hAnsi="仿宋_GB2312" w:cs="仿宋_GB2312" w:eastAsia="仿宋_GB2312"/>
        </w:rPr>
        <w:t>资格审查标准及要求如下：</w:t>
      </w:r>
    </w:p>
    <w:p>
      <w:pPr>
        <w:pStyle w:val="null3"/>
        <w:outlineLvl w:val="3"/>
      </w:pPr>
      <w:r>
        <w:rPr>
          <w:rFonts w:ascii="仿宋_GB2312" w:hAnsi="仿宋_GB2312" w:cs="仿宋_GB2312" w:eastAsia="仿宋_GB2312"/>
          <w:sz w:val="24"/>
          <w:b/>
        </w:rPr>
        <w:t>4.1一般资格审查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供应商应具备《中华人民共和国政府采购法》第二十二条规定的条件。</w:t>
            </w:r>
          </w:p>
        </w:tc>
        <w:tc>
          <w:tcPr>
            <w:tcW w:type="dxa" w:w="3322"/>
          </w:tcPr>
          <w:p>
            <w:pPr>
              <w:pStyle w:val="null3"/>
            </w:pPr>
            <w:r>
              <w:rPr>
                <w:rFonts w:ascii="仿宋_GB2312" w:hAnsi="仿宋_GB2312" w:cs="仿宋_GB2312" w:eastAsia="仿宋_GB2312"/>
              </w:rPr>
              <w:t>供应商需在项目电子化交易系统中按要求填写《响应函》完成承诺并进行电子签章。并提供以下证明资料进行电子签章： 1.具有独立承担民事责任能力的法人、其他组织或自然人，并出具合法有效的营业执照或事业单位法人证书等国家规定的相关证明，自然人参与的提供其身份证明； 2.税收缴纳证明：提供开标截止时间前半年内已缴纳的至少一个月的纳税证明或完税证明（任意税种），依法免税的单位应提供相关证明材料； 3.社会保障资金缴纳证明：提供开标截止时间前半年内已缴存的至少一个月的社会保障资金缴存凭证或社保机构开具的社会保险参保证明，依法不需要缴纳社会保障资金的单位应提供相关证明材料； 4.承诺声明：提供具有履行合同所必需的设备和专业技术能力的承诺声明； 5.书面声明：提供参加政府采购活动前 3 年内在经营活动中没有重大违法记录的书面声明。</w:t>
            </w:r>
          </w:p>
        </w:tc>
        <w:tc>
          <w:tcPr>
            <w:tcW w:type="dxa" w:w="1661"/>
          </w:tcPr>
          <w:p>
            <w:pPr>
              <w:pStyle w:val="null3"/>
            </w:pPr>
            <w:r>
              <w:rPr>
                <w:rFonts w:ascii="仿宋_GB2312" w:hAnsi="仿宋_GB2312" w:cs="仿宋_GB2312" w:eastAsia="仿宋_GB2312"/>
              </w:rPr>
              <w:t>供应商应提交的相关资格证明材料.docx 响应函</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供应商应提供健全的财务会计制度的证明材料。</w:t>
            </w:r>
          </w:p>
        </w:tc>
        <w:tc>
          <w:tcPr>
            <w:tcW w:type="dxa" w:w="3322"/>
          </w:tcPr>
          <w:p>
            <w:pPr>
              <w:pStyle w:val="null3"/>
            </w:pPr>
            <w:r>
              <w:rPr>
                <w:rFonts w:ascii="仿宋_GB2312" w:hAnsi="仿宋_GB2312" w:cs="仿宋_GB2312" w:eastAsia="仿宋_GB2312"/>
              </w:rPr>
              <w:t>提供经审计的完整的2024年度财务报告（成立时间至竞争性磋商响应文件递交截止时间不足一年的，可提供成立后任意时段的资产负债表），或竞争性磋商响应文件递交截止时间前三个月内其开户银行出具的资信证明；供应商需在项目电子化交易系统中按要求上传相应证明文件并进行电子签章。</w:t>
            </w:r>
          </w:p>
        </w:tc>
        <w:tc>
          <w:tcPr>
            <w:tcW w:type="dxa" w:w="1661"/>
          </w:tcPr>
          <w:p>
            <w:pPr>
              <w:pStyle w:val="null3"/>
            </w:pPr>
            <w:r>
              <w:rPr>
                <w:rFonts w:ascii="仿宋_GB2312" w:hAnsi="仿宋_GB2312" w:cs="仿宋_GB2312" w:eastAsia="仿宋_GB2312"/>
              </w:rPr>
              <w:t>供应商应提交的相关资格证明材料.docx 响应函</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单位负责人为同一人或者存在直接控股、管理关系的不同供应商不得参加同一合同项下的政府采购活动； 为本项目提供整体设计、规范编制或者项目管理、监理、检测等服务的供应商，不得再参加该采购项目的其他采购活动。供应商为采购人、代理机构在确定采购需求、编制采购文件过程中提供咨询论证，其提供的咨询论证意见成为采购文件中规定的供应商资格条件、技术服务商务要求、评审因素和标准、政府采购合同等实质性内容条款的，视同为采购项目提供规范编制。</w:t>
            </w:r>
          </w:p>
        </w:tc>
        <w:tc>
          <w:tcPr>
            <w:tcW w:type="dxa" w:w="3322"/>
          </w:tcPr>
          <w:p>
            <w:pPr>
              <w:pStyle w:val="null3"/>
            </w:pPr>
            <w:r>
              <w:rPr>
                <w:rFonts w:ascii="仿宋_GB2312" w:hAnsi="仿宋_GB2312" w:cs="仿宋_GB2312" w:eastAsia="仿宋_GB2312"/>
              </w:rPr>
              <w:t>供应商需在项目电子化交易系统中按要求填写《响应函》完成承诺并进行电子签章。</w:t>
            </w:r>
          </w:p>
        </w:tc>
        <w:tc>
          <w:tcPr>
            <w:tcW w:type="dxa" w:w="1661"/>
          </w:tcPr>
          <w:p>
            <w:pPr>
              <w:pStyle w:val="null3"/>
            </w:pPr>
            <w:r>
              <w:rPr>
                <w:rFonts w:ascii="仿宋_GB2312" w:hAnsi="仿宋_GB2312" w:cs="仿宋_GB2312" w:eastAsia="仿宋_GB2312"/>
              </w:rPr>
              <w:t>供应商应提交的相关资格证明材料.docx 响应函</w:t>
            </w:r>
          </w:p>
        </w:tc>
      </w:tr>
    </w:tbl>
    <w:p>
      <w:pPr>
        <w:pStyle w:val="null3"/>
        <w:outlineLvl w:val="3"/>
      </w:pPr>
      <w:r>
        <w:rPr>
          <w:rFonts w:ascii="仿宋_GB2312" w:hAnsi="仿宋_GB2312" w:cs="仿宋_GB2312" w:eastAsia="仿宋_GB2312"/>
          <w:sz w:val="24"/>
          <w:b/>
        </w:rPr>
        <w:t>4.2落实政府采购政策资格审查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本采购包专门面向中小企业采购</w:t>
            </w:r>
          </w:p>
        </w:tc>
        <w:tc>
          <w:tcPr>
            <w:tcW w:type="dxa" w:w="3322"/>
          </w:tcPr>
          <w:p>
            <w:pPr>
              <w:pStyle w:val="null3"/>
            </w:pPr>
            <w:r>
              <w:rPr>
                <w:rFonts w:ascii="仿宋_GB2312" w:hAnsi="仿宋_GB2312" w:cs="仿宋_GB2312" w:eastAsia="仿宋_GB2312"/>
              </w:rPr>
              <w:t>参与的供应商（联合体）工程的施工单位全部为符合政策要求的中小企业。</w:t>
            </w:r>
          </w:p>
        </w:tc>
        <w:tc>
          <w:tcPr>
            <w:tcW w:type="dxa" w:w="1661"/>
          </w:tcPr>
          <w:p>
            <w:pPr>
              <w:pStyle w:val="null3"/>
            </w:pPr>
            <w:r>
              <w:rPr>
                <w:rFonts w:ascii="仿宋_GB2312" w:hAnsi="仿宋_GB2312" w:cs="仿宋_GB2312" w:eastAsia="仿宋_GB2312"/>
              </w:rPr>
              <w:t>中小企业声明函 残疾人福利性单位声明函 监狱企业的证明文件</w:t>
            </w:r>
          </w:p>
        </w:tc>
      </w:tr>
    </w:tbl>
    <w:p>
      <w:pPr>
        <w:pStyle w:val="null3"/>
        <w:outlineLvl w:val="3"/>
      </w:pPr>
      <w:r>
        <w:rPr>
          <w:rFonts w:ascii="仿宋_GB2312" w:hAnsi="仿宋_GB2312" w:cs="仿宋_GB2312" w:eastAsia="仿宋_GB2312"/>
          <w:sz w:val="24"/>
          <w:b/>
        </w:rPr>
        <w:t>4.3特殊资格审查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供应商资质</w:t>
            </w:r>
          </w:p>
        </w:tc>
        <w:tc>
          <w:tcPr>
            <w:tcW w:type="dxa" w:w="3322"/>
          </w:tcPr>
          <w:p>
            <w:pPr>
              <w:pStyle w:val="null3"/>
            </w:pPr>
            <w:r>
              <w:rPr>
                <w:rFonts w:ascii="仿宋_GB2312" w:hAnsi="仿宋_GB2312" w:cs="仿宋_GB2312" w:eastAsia="仿宋_GB2312"/>
              </w:rPr>
              <w:t>供应商须具备建设行政主管部门颁发的电子与智能化工程专业承包二级（含）以上资质证书，并具备合格有效的安全生产许可证。</w:t>
            </w:r>
          </w:p>
        </w:tc>
        <w:tc>
          <w:tcPr>
            <w:tcW w:type="dxa" w:w="1661"/>
          </w:tcPr>
          <w:p>
            <w:pPr>
              <w:pStyle w:val="null3"/>
            </w:pPr>
            <w:r>
              <w:rPr>
                <w:rFonts w:ascii="仿宋_GB2312" w:hAnsi="仿宋_GB2312" w:cs="仿宋_GB2312" w:eastAsia="仿宋_GB2312"/>
              </w:rPr>
              <w:t>供应商应提交的相关资格证明材料.docx</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拟派项目负责人资质和专业要求</w:t>
            </w:r>
          </w:p>
        </w:tc>
        <w:tc>
          <w:tcPr>
            <w:tcW w:type="dxa" w:w="3322"/>
          </w:tcPr>
          <w:p>
            <w:pPr>
              <w:pStyle w:val="null3"/>
            </w:pPr>
            <w:r>
              <w:rPr>
                <w:rFonts w:ascii="仿宋_GB2312" w:hAnsi="仿宋_GB2312" w:cs="仿宋_GB2312" w:eastAsia="仿宋_GB2312"/>
              </w:rPr>
              <w:t>拟派项目经理须具备机电工程专业二级（含）及以上注册建造师资格，须同时提供注册证、执业资格证及有效的建安B证。</w:t>
            </w:r>
          </w:p>
        </w:tc>
        <w:tc>
          <w:tcPr>
            <w:tcW w:type="dxa" w:w="1661"/>
          </w:tcPr>
          <w:p>
            <w:pPr>
              <w:pStyle w:val="null3"/>
            </w:pPr>
            <w:r>
              <w:rPr>
                <w:rFonts w:ascii="仿宋_GB2312" w:hAnsi="仿宋_GB2312" w:cs="仿宋_GB2312" w:eastAsia="仿宋_GB2312"/>
              </w:rPr>
              <w:t>供应商应提交的相关资格证明材料.docx</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授权委托</w:t>
            </w:r>
          </w:p>
        </w:tc>
        <w:tc>
          <w:tcPr>
            <w:tcW w:type="dxa" w:w="3322"/>
          </w:tcPr>
          <w:p>
            <w:pPr>
              <w:pStyle w:val="null3"/>
            </w:pPr>
            <w:r>
              <w:rPr>
                <w:rFonts w:ascii="仿宋_GB2312" w:hAnsi="仿宋_GB2312" w:cs="仿宋_GB2312" w:eastAsia="仿宋_GB2312"/>
              </w:rPr>
              <w:t>非法人参加磋商，须出具法定代表人授权书（附法定代表人、被授权人身份证复印件）及授权代表身份证；法定代表人参加磋商的，须提供法定代表人身份证明书及身份证；</w:t>
            </w:r>
          </w:p>
        </w:tc>
        <w:tc>
          <w:tcPr>
            <w:tcW w:type="dxa" w:w="1661"/>
          </w:tcPr>
          <w:p>
            <w:pPr>
              <w:pStyle w:val="null3"/>
            </w:pPr>
            <w:r>
              <w:rPr>
                <w:rFonts w:ascii="仿宋_GB2312" w:hAnsi="仿宋_GB2312" w:cs="仿宋_GB2312" w:eastAsia="仿宋_GB2312"/>
              </w:rPr>
              <w:t>供应商应提交的相关资格证明材料.docx</w:t>
            </w:r>
          </w:p>
        </w:tc>
      </w:tr>
      <w:tr>
        <w:tc>
          <w:tcPr>
            <w:tcW w:type="dxa" w:w="831"/>
          </w:tcPr>
          <w:p>
            <w:pPr>
              <w:pStyle w:val="null3"/>
            </w:pPr>
            <w:r>
              <w:rPr>
                <w:rFonts w:ascii="仿宋_GB2312" w:hAnsi="仿宋_GB2312" w:cs="仿宋_GB2312" w:eastAsia="仿宋_GB2312"/>
              </w:rPr>
              <w:t>4</w:t>
            </w:r>
          </w:p>
        </w:tc>
        <w:tc>
          <w:tcPr>
            <w:tcW w:type="dxa" w:w="2492"/>
          </w:tcPr>
          <w:p>
            <w:pPr>
              <w:pStyle w:val="null3"/>
            </w:pPr>
            <w:r>
              <w:rPr>
                <w:rFonts w:ascii="仿宋_GB2312" w:hAnsi="仿宋_GB2312" w:cs="仿宋_GB2312" w:eastAsia="仿宋_GB2312"/>
              </w:rPr>
              <w:t>信用查询</w:t>
            </w:r>
          </w:p>
        </w:tc>
        <w:tc>
          <w:tcPr>
            <w:tcW w:type="dxa" w:w="3322"/>
          </w:tcPr>
          <w:p>
            <w:pPr>
              <w:pStyle w:val="null3"/>
            </w:pPr>
            <w:r>
              <w:rPr>
                <w:rFonts w:ascii="仿宋_GB2312" w:hAnsi="仿宋_GB2312" w:cs="仿宋_GB2312" w:eastAsia="仿宋_GB2312"/>
              </w:rPr>
              <w:t>供应商不得为“信用中国”网站（www.creditchina.gov.cn）中列入失信被执行人和重大税收违法失信主体名单的供应商，不得为中国政府采购网 （www.ccgp.gov.cn）政府采购严重违法失信行为记录名单中被财政部门禁止参加政府采购活动的供应商；</w:t>
            </w:r>
          </w:p>
        </w:tc>
        <w:tc>
          <w:tcPr>
            <w:tcW w:type="dxa" w:w="1661"/>
          </w:tcPr>
          <w:p>
            <w:pPr>
              <w:pStyle w:val="null3"/>
            </w:pPr>
            <w:r>
              <w:rPr>
                <w:rFonts w:ascii="仿宋_GB2312" w:hAnsi="仿宋_GB2312" w:cs="仿宋_GB2312" w:eastAsia="仿宋_GB2312"/>
              </w:rPr>
              <w:t>供应商应提交的相关资格证明材料.docx</w:t>
            </w:r>
          </w:p>
        </w:tc>
      </w:tr>
      <w:tr>
        <w:tc>
          <w:tcPr>
            <w:tcW w:type="dxa" w:w="831"/>
          </w:tcPr>
          <w:p>
            <w:pPr>
              <w:pStyle w:val="null3"/>
            </w:pPr>
            <w:r>
              <w:rPr>
                <w:rFonts w:ascii="仿宋_GB2312" w:hAnsi="仿宋_GB2312" w:cs="仿宋_GB2312" w:eastAsia="仿宋_GB2312"/>
              </w:rPr>
              <w:t>5</w:t>
            </w:r>
          </w:p>
        </w:tc>
        <w:tc>
          <w:tcPr>
            <w:tcW w:type="dxa" w:w="2492"/>
          </w:tcPr>
          <w:p>
            <w:pPr>
              <w:pStyle w:val="null3"/>
            </w:pPr>
            <w:r>
              <w:rPr>
                <w:rFonts w:ascii="仿宋_GB2312" w:hAnsi="仿宋_GB2312" w:cs="仿宋_GB2312" w:eastAsia="仿宋_GB2312"/>
              </w:rPr>
              <w:t>企业关联声明</w:t>
            </w:r>
          </w:p>
        </w:tc>
        <w:tc>
          <w:tcPr>
            <w:tcW w:type="dxa" w:w="3322"/>
          </w:tcPr>
          <w:p>
            <w:pPr>
              <w:pStyle w:val="null3"/>
            </w:pPr>
            <w:r>
              <w:rPr>
                <w:rFonts w:ascii="仿宋_GB2312" w:hAnsi="仿宋_GB2312" w:cs="仿宋_GB2312" w:eastAsia="仿宋_GB2312"/>
              </w:rPr>
              <w:t>单位负责人为同一人或者存在直接控股、管理关系的不同投标人，不得参加同一招标项目的投标活动。</w:t>
            </w:r>
          </w:p>
        </w:tc>
        <w:tc>
          <w:tcPr>
            <w:tcW w:type="dxa" w:w="1661"/>
          </w:tcPr>
          <w:p>
            <w:pPr>
              <w:pStyle w:val="null3"/>
            </w:pPr>
            <w:r>
              <w:rPr>
                <w:rFonts w:ascii="仿宋_GB2312" w:hAnsi="仿宋_GB2312" w:cs="仿宋_GB2312" w:eastAsia="仿宋_GB2312"/>
              </w:rPr>
              <w:t>供应商应提交的相关资格证明材料.docx</w:t>
            </w:r>
          </w:p>
        </w:tc>
      </w:tr>
    </w:tbl>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第五章 磋商过程中可实质性变动的内容</w:t>
      </w:r>
    </w:p>
    <w:p>
      <w:pPr>
        <w:pStyle w:val="null3"/>
        <w:ind w:firstLine="480"/>
      </w:pPr>
      <w:r>
        <w:rPr>
          <w:rFonts w:ascii="仿宋_GB2312" w:hAnsi="仿宋_GB2312" w:cs="仿宋_GB2312" w:eastAsia="仿宋_GB2312"/>
        </w:rPr>
        <w:t xml:space="preserve"> 磋商小组可以根据磋商文件和磋商情况实质性变动第三章“磋商项目技术、服务、商务及其他要求”、第八章“拟签订采购合同文本”，但不得变动磋商文件中的其他内容。实质性变动的内容，须经采购人代表确认。</w:t>
      </w:r>
    </w:p>
    <w:p>
      <w:pPr>
        <w:pStyle w:val="null3"/>
      </w:pPr>
      <w:r>
        <w:rPr>
          <w:rFonts w:ascii="仿宋_GB2312" w:hAnsi="仿宋_GB2312" w:cs="仿宋_GB2312" w:eastAsia="仿宋_GB2312"/>
        </w:rPr>
        <w:t>在磋商过程中，磋商小组根据项目实际需要制定磋商内容，在获得采购人代表确认的前提下，可以根据磋商情况实质性变动相关内容。磋商小组对磋商文件作出的实质性变动是磋商文件的有效组成部分，磋商小组应及时通知所有参加磋商的供应商。</w:t>
      </w:r>
    </w:p>
    <w:p>
      <w:pPr>
        <w:pStyle w:val="null3"/>
        <w:ind w:firstLine="480"/>
      </w:pPr>
      <w:r>
        <w:rPr>
          <w:rFonts w:ascii="仿宋_GB2312" w:hAnsi="仿宋_GB2312" w:cs="仿宋_GB2312" w:eastAsia="仿宋_GB2312"/>
        </w:rPr>
        <w:t>注：工程量清单不属于磋商过程中可以实质性变动的内容。</w:t>
      </w:r>
    </w:p>
    <w:p>
      <w:pPr>
        <w:pStyle w:val="null3"/>
        <w:jc w:val="center"/>
        <w:outlineLvl w:val="1"/>
      </w:pPr>
      <w:r>
        <w:rPr>
          <w:rFonts w:ascii="仿宋_GB2312" w:hAnsi="仿宋_GB2312" w:cs="仿宋_GB2312" w:eastAsia="仿宋_GB2312"/>
          <w:sz w:val="36"/>
          <w:b/>
        </w:rPr>
        <w:t>第六章 磋商办法</w:t>
      </w:r>
    </w:p>
    <w:p>
      <w:pPr>
        <w:pStyle w:val="null3"/>
        <w:outlineLvl w:val="2"/>
      </w:pPr>
      <w:r>
        <w:rPr>
          <w:rFonts w:ascii="仿宋_GB2312" w:hAnsi="仿宋_GB2312" w:cs="仿宋_GB2312" w:eastAsia="仿宋_GB2312"/>
          <w:sz w:val="28"/>
          <w:b/>
        </w:rPr>
        <w:t>6.1总则</w:t>
      </w:r>
    </w:p>
    <w:p>
      <w:pPr>
        <w:pStyle w:val="null3"/>
        <w:ind w:firstLine="480"/>
      </w:pPr>
      <w:r>
        <w:rPr>
          <w:rFonts w:ascii="仿宋_GB2312" w:hAnsi="仿宋_GB2312" w:cs="仿宋_GB2312" w:eastAsia="仿宋_GB2312"/>
        </w:rPr>
        <w:t xml:space="preserve"> 一、根据《中华人民共和国政府采购法》《中华人民共和国政府采购法实施条例》《政府采购竞争性磋商采购方式管理暂行办法》《陕西省政府采购评审专家管理实施办法》等法律制度，结合本采购项目特点制定本次竞争性磋商评审方法。</w:t>
      </w:r>
    </w:p>
    <w:p>
      <w:pPr>
        <w:pStyle w:val="null3"/>
        <w:ind w:firstLine="480"/>
      </w:pPr>
      <w:r>
        <w:rPr>
          <w:rFonts w:ascii="仿宋_GB2312" w:hAnsi="仿宋_GB2312" w:cs="仿宋_GB2312" w:eastAsia="仿宋_GB2312"/>
        </w:rPr>
        <w:t>二、评审工作由代理机构组织，具体评审事务由依法组建的磋商小组负责。</w:t>
      </w:r>
    </w:p>
    <w:p>
      <w:pPr>
        <w:pStyle w:val="null3"/>
        <w:ind w:firstLine="480"/>
      </w:pPr>
      <w:r>
        <w:rPr>
          <w:rFonts w:ascii="仿宋_GB2312" w:hAnsi="仿宋_GB2312" w:cs="仿宋_GB2312" w:eastAsia="仿宋_GB2312"/>
        </w:rPr>
        <w:t>三、评审工作应遵循客观、公正、审慎的原则，并以相同的磋商程序和标准对待所有的供应商。</w:t>
      </w:r>
    </w:p>
    <w:p>
      <w:pPr>
        <w:pStyle w:val="null3"/>
        <w:ind w:firstLine="480"/>
      </w:pPr>
      <w:r>
        <w:rPr>
          <w:rFonts w:ascii="仿宋_GB2312" w:hAnsi="仿宋_GB2312" w:cs="仿宋_GB2312" w:eastAsia="仿宋_GB2312"/>
        </w:rPr>
        <w:t xml:space="preserve"> 四、本项目采取电子评审，通过项目电子化交易系统完成评审工作。磋商小组成员、采购人、代理机构和供应商应当按照本磋商文件规定和项目电子化交易系统操作要求开展或者参加评审活动。</w:t>
      </w:r>
    </w:p>
    <w:p>
      <w:pPr>
        <w:pStyle w:val="null3"/>
        <w:ind w:firstLine="480"/>
      </w:pPr>
      <w:r>
        <w:rPr>
          <w:rFonts w:ascii="仿宋_GB2312" w:hAnsi="仿宋_GB2312" w:cs="仿宋_GB2312" w:eastAsia="仿宋_GB2312"/>
        </w:rPr>
        <w:t xml:space="preserve"> 五、评审过程中的书面材料往来均通过项目电子化交易系统传递，供应商通过证书加盖其电子印章后生效。出现无法在线签章的特殊情况，评审委员会成员可以线下签署评审报告，由代理机构对原件扫描后以附件形式上传。</w:t>
      </w:r>
    </w:p>
    <w:p>
      <w:pPr>
        <w:pStyle w:val="null3"/>
        <w:ind w:firstLine="480"/>
      </w:pPr>
      <w:r>
        <w:rPr>
          <w:rFonts w:ascii="仿宋_GB2312" w:hAnsi="仿宋_GB2312" w:cs="仿宋_GB2312" w:eastAsia="仿宋_GB2312"/>
        </w:rPr>
        <w:t xml:space="preserve"> 六、评审过程应当独立、保密，任何单位和个人不得非法干预评审活动。供应商非法干预评审活动的，其响应文件将作无效处理；代理机构、采购人及其工作人员、采购人监督人员非法干预评审活动的，将依法追究其责任。</w:t>
      </w:r>
    </w:p>
    <w:p>
      <w:pPr>
        <w:pStyle w:val="null3"/>
        <w:outlineLvl w:val="2"/>
      </w:pPr>
      <w:r>
        <w:rPr>
          <w:rFonts w:ascii="仿宋_GB2312" w:hAnsi="仿宋_GB2312" w:cs="仿宋_GB2312" w:eastAsia="仿宋_GB2312"/>
          <w:sz w:val="28"/>
          <w:b/>
        </w:rPr>
        <w:t>6.2 磋商小组</w:t>
      </w:r>
    </w:p>
    <w:p>
      <w:pPr>
        <w:pStyle w:val="null3"/>
        <w:ind w:firstLine="480"/>
      </w:pPr>
      <w:r>
        <w:rPr>
          <w:rFonts w:ascii="仿宋_GB2312" w:hAnsi="仿宋_GB2312" w:cs="仿宋_GB2312" w:eastAsia="仿宋_GB2312"/>
        </w:rPr>
        <w:t xml:space="preserve"> 评审专家是采取随机方式在政府采购平台的专家库系统（以下简称专家库系统）抽取/由采购人根据《陕西省政府采购评审专家管理实施办法》（陕财办采〔2018〕20号）的规定，报主管部门同意后自行选定。</w:t>
      </w:r>
    </w:p>
    <w:p>
      <w:pPr>
        <w:pStyle w:val="null3"/>
        <w:ind w:firstLine="480"/>
      </w:pPr>
      <w:r>
        <w:rPr>
          <w:rFonts w:ascii="仿宋_GB2312" w:hAnsi="仿宋_GB2312" w:cs="仿宋_GB2312" w:eastAsia="仿宋_GB2312"/>
        </w:rPr>
        <w:t xml:space="preserve"> 一、磋商小组成员应当满足并适应电子化采购评审的工作需要，使用已身份认证并具备签章功能的证书，登录项目电子化交易系统进入项目评审功能模块确认身份、签到、推荐磋商小组组长。采购人代表可以使用采购人代表专用签章确认评审意见。</w:t>
      </w:r>
    </w:p>
    <w:p>
      <w:pPr>
        <w:pStyle w:val="null3"/>
        <w:ind w:firstLine="480"/>
      </w:pPr>
      <w:r>
        <w:rPr>
          <w:rFonts w:ascii="仿宋_GB2312" w:hAnsi="仿宋_GB2312" w:cs="仿宋_GB2312" w:eastAsia="仿宋_GB2312"/>
        </w:rPr>
        <w:t xml:space="preserve"> 二、磋商小组成员获取解密后的响应文件，开展评审活动。出现应当回避的情形时，磋商小组成员应当主动回避；代理机构按规定申请补充抽取评审专家；无法及时补充抽取的，采购人或者代理机构应当封存供应商响应文件，按规定重新组建磋商小组，解封响应文件后，开展评审活动。</w:t>
      </w:r>
    </w:p>
    <w:p>
      <w:pPr>
        <w:pStyle w:val="null3"/>
        <w:ind w:firstLine="480"/>
      </w:pPr>
      <w:r>
        <w:rPr>
          <w:rFonts w:ascii="仿宋_GB2312" w:hAnsi="仿宋_GB2312" w:cs="仿宋_GB2312" w:eastAsia="仿宋_GB2312"/>
        </w:rPr>
        <w:t>三、磋商小组按照磋商文件规定的磋商程序、评审方法和标准进行评审，并独立履行下列职责：</w:t>
      </w:r>
    </w:p>
    <w:p>
      <w:pPr>
        <w:pStyle w:val="null3"/>
        <w:ind w:firstLine="480"/>
      </w:pPr>
      <w:r>
        <w:rPr>
          <w:rFonts w:ascii="仿宋_GB2312" w:hAnsi="仿宋_GB2312" w:cs="仿宋_GB2312" w:eastAsia="仿宋_GB2312"/>
        </w:rPr>
        <w:t>（一）熟悉和理解磋商文件；</w:t>
      </w:r>
    </w:p>
    <w:p>
      <w:pPr>
        <w:pStyle w:val="null3"/>
        <w:ind w:firstLine="480"/>
      </w:pPr>
      <w:r>
        <w:rPr>
          <w:rFonts w:ascii="仿宋_GB2312" w:hAnsi="仿宋_GB2312" w:cs="仿宋_GB2312" w:eastAsia="仿宋_GB2312"/>
        </w:rPr>
        <w:t>（二）审查供应商响应文件等是否满足磋商文件要求，并作出评价；</w:t>
      </w:r>
    </w:p>
    <w:p>
      <w:pPr>
        <w:pStyle w:val="null3"/>
        <w:ind w:firstLine="480"/>
      </w:pPr>
      <w:r>
        <w:rPr>
          <w:rFonts w:ascii="仿宋_GB2312" w:hAnsi="仿宋_GB2312" w:cs="仿宋_GB2312" w:eastAsia="仿宋_GB2312"/>
        </w:rPr>
        <w:t xml:space="preserve"> （三）根据需要要求采购组织单位对磋商文件作出解释；根据需要要求供应商对响应文件有关事项作出澄清、说明或者更正；</w:t>
      </w:r>
    </w:p>
    <w:p>
      <w:pPr>
        <w:pStyle w:val="null3"/>
        <w:ind w:firstLine="480"/>
      </w:pPr>
      <w:r>
        <w:rPr>
          <w:rFonts w:ascii="仿宋_GB2312" w:hAnsi="仿宋_GB2312" w:cs="仿宋_GB2312" w:eastAsia="仿宋_GB2312"/>
        </w:rPr>
        <w:t>（四）推荐成交候选供应商，或者受采购人委托确定成交供应商；</w:t>
      </w:r>
    </w:p>
    <w:p>
      <w:pPr>
        <w:pStyle w:val="null3"/>
        <w:ind w:firstLine="480"/>
      </w:pPr>
      <w:r>
        <w:rPr>
          <w:rFonts w:ascii="仿宋_GB2312" w:hAnsi="仿宋_GB2312" w:cs="仿宋_GB2312" w:eastAsia="仿宋_GB2312"/>
        </w:rPr>
        <w:t>（五）起草评审报告并进行签署；</w:t>
      </w:r>
    </w:p>
    <w:p>
      <w:pPr>
        <w:pStyle w:val="null3"/>
        <w:ind w:firstLine="480"/>
      </w:pPr>
      <w:r>
        <w:rPr>
          <w:rFonts w:ascii="仿宋_GB2312" w:hAnsi="仿宋_GB2312" w:cs="仿宋_GB2312" w:eastAsia="仿宋_GB2312"/>
        </w:rPr>
        <w:t>（六）向采购组织单位、财政部门或者其他监督部门报告非法干预评审工作的行为；</w:t>
      </w:r>
    </w:p>
    <w:p>
      <w:pPr>
        <w:pStyle w:val="null3"/>
        <w:ind w:firstLine="480"/>
      </w:pPr>
      <w:r>
        <w:rPr>
          <w:rFonts w:ascii="仿宋_GB2312" w:hAnsi="仿宋_GB2312" w:cs="仿宋_GB2312" w:eastAsia="仿宋_GB2312"/>
        </w:rPr>
        <w:t>（七）法律、法规和规章规定的其他职责。</w:t>
      </w:r>
    </w:p>
    <w:p>
      <w:pPr>
        <w:pStyle w:val="null3"/>
        <w:outlineLvl w:val="2"/>
      </w:pPr>
      <w:r>
        <w:rPr>
          <w:rFonts w:ascii="仿宋_GB2312" w:hAnsi="仿宋_GB2312" w:cs="仿宋_GB2312" w:eastAsia="仿宋_GB2312"/>
          <w:sz w:val="28"/>
          <w:b/>
        </w:rPr>
        <w:t>6.3评审程序</w:t>
      </w:r>
    </w:p>
    <w:p>
      <w:pPr>
        <w:pStyle w:val="null3"/>
        <w:outlineLvl w:val="3"/>
      </w:pPr>
      <w:r>
        <w:rPr>
          <w:rFonts w:ascii="仿宋_GB2312" w:hAnsi="仿宋_GB2312" w:cs="仿宋_GB2312" w:eastAsia="仿宋_GB2312"/>
          <w:sz w:val="24"/>
          <w:b/>
        </w:rPr>
        <w:t xml:space="preserve"> 6.3.1熟悉和理解磋商文件和停止评审</w:t>
      </w:r>
    </w:p>
    <w:p>
      <w:pPr>
        <w:pStyle w:val="null3"/>
        <w:ind w:firstLine="480"/>
      </w:pPr>
      <w:r>
        <w:rPr>
          <w:rFonts w:ascii="仿宋_GB2312" w:hAnsi="仿宋_GB2312" w:cs="仿宋_GB2312" w:eastAsia="仿宋_GB2312"/>
        </w:rPr>
        <w:t xml:space="preserve"> 一、磋商小组正式评审前，应当对磋商文件进行熟悉和理解，内容主要包括磋商文件中供应商资格条件要求、采购项目技术、服务和商务要求、磋商办法和标准、政府采购政策要求以及政府采购合同主要条款等。</w:t>
      </w:r>
    </w:p>
    <w:p>
      <w:pPr>
        <w:pStyle w:val="null3"/>
        <w:ind w:firstLine="480"/>
      </w:pPr>
      <w:r>
        <w:rPr>
          <w:rFonts w:ascii="仿宋_GB2312" w:hAnsi="仿宋_GB2312" w:cs="仿宋_GB2312" w:eastAsia="仿宋_GB2312"/>
        </w:rPr>
        <w:t>二、本磋商文件有下列情形之一的，磋商小组应当停止评审：</w:t>
      </w:r>
    </w:p>
    <w:p>
      <w:pPr>
        <w:pStyle w:val="null3"/>
        <w:ind w:firstLine="480"/>
      </w:pPr>
      <w:r>
        <w:rPr>
          <w:rFonts w:ascii="仿宋_GB2312" w:hAnsi="仿宋_GB2312" w:cs="仿宋_GB2312" w:eastAsia="仿宋_GB2312"/>
        </w:rPr>
        <w:t>（一）磋商文件的规定存在歧义、重大缺陷，导致评审无法进行的；</w:t>
      </w:r>
    </w:p>
    <w:p>
      <w:pPr>
        <w:pStyle w:val="null3"/>
        <w:ind w:firstLine="480"/>
      </w:pPr>
      <w:r>
        <w:rPr>
          <w:rFonts w:ascii="仿宋_GB2312" w:hAnsi="仿宋_GB2312" w:cs="仿宋_GB2312" w:eastAsia="仿宋_GB2312"/>
        </w:rPr>
        <w:t>（二）磋商文件明显以不合理条件对供应商实行差别待遇或者歧视待遇的；</w:t>
      </w:r>
    </w:p>
    <w:p>
      <w:pPr>
        <w:pStyle w:val="null3"/>
        <w:ind w:firstLine="480"/>
      </w:pPr>
      <w:r>
        <w:rPr>
          <w:rFonts w:ascii="仿宋_GB2312" w:hAnsi="仿宋_GB2312" w:cs="仿宋_GB2312" w:eastAsia="仿宋_GB2312"/>
        </w:rPr>
        <w:t>（三）采购项目属于国家规定的优先、强制采购范围，但是磋商文件未依法体现优先、强制采购相关规定的；</w:t>
      </w:r>
    </w:p>
    <w:p>
      <w:pPr>
        <w:pStyle w:val="null3"/>
        <w:ind w:firstLine="480"/>
      </w:pPr>
      <w:r>
        <w:rPr>
          <w:rFonts w:ascii="仿宋_GB2312" w:hAnsi="仿宋_GB2312" w:cs="仿宋_GB2312" w:eastAsia="仿宋_GB2312"/>
        </w:rPr>
        <w:t>（四）采购项目属于政府采购促进中小企业发展的范围，但是磋商文件未依法体现促进中小企业发展相关规定的；</w:t>
      </w:r>
    </w:p>
    <w:p>
      <w:pPr>
        <w:pStyle w:val="null3"/>
        <w:ind w:firstLine="480"/>
      </w:pPr>
      <w:r>
        <w:rPr>
          <w:rFonts w:ascii="仿宋_GB2312" w:hAnsi="仿宋_GB2312" w:cs="仿宋_GB2312" w:eastAsia="仿宋_GB2312"/>
        </w:rPr>
        <w:t>（五）磋商文件将供应商的资格条件列为评分因素的；</w:t>
      </w:r>
    </w:p>
    <w:p>
      <w:pPr>
        <w:pStyle w:val="null3"/>
        <w:ind w:firstLine="480"/>
      </w:pPr>
      <w:r>
        <w:rPr>
          <w:rFonts w:ascii="仿宋_GB2312" w:hAnsi="仿宋_GB2312" w:cs="仿宋_GB2312" w:eastAsia="仿宋_GB2312"/>
        </w:rPr>
        <w:t>（六）磋商文件载明的成交原则不合法的；</w:t>
      </w:r>
    </w:p>
    <w:p>
      <w:pPr>
        <w:pStyle w:val="null3"/>
        <w:ind w:firstLine="480"/>
      </w:pPr>
      <w:r>
        <w:rPr>
          <w:rFonts w:ascii="仿宋_GB2312" w:hAnsi="仿宋_GB2312" w:cs="仿宋_GB2312" w:eastAsia="仿宋_GB2312"/>
        </w:rPr>
        <w:t>（七）磋商文件有违反国家其他有关强制性规定的情形。</w:t>
      </w:r>
    </w:p>
    <w:p>
      <w:pPr>
        <w:pStyle w:val="null3"/>
        <w:ind w:firstLine="480"/>
      </w:pPr>
      <w:r>
        <w:rPr>
          <w:rFonts w:ascii="仿宋_GB2312" w:hAnsi="仿宋_GB2312" w:cs="仿宋_GB2312" w:eastAsia="仿宋_GB2312"/>
        </w:rPr>
        <w:t xml:space="preserve"> 出现上述应当停止评审情形的，磋商小组应当通过项目电子化交易系统向采购人提交情况说明。除上述情形外，磋商小组不得以任何方式和理由停止评审。</w:t>
      </w:r>
    </w:p>
    <w:p>
      <w:pPr>
        <w:pStyle w:val="null3"/>
        <w:ind w:firstLine="480"/>
      </w:pPr>
      <w:r>
        <w:rPr>
          <w:rFonts w:ascii="仿宋_GB2312" w:hAnsi="仿宋_GB2312" w:cs="仿宋_GB2312" w:eastAsia="仿宋_GB2312"/>
        </w:rPr>
        <w:t xml:space="preserve"> 出现上述应当停止评审情形的，采购组织单位应当通过项目电子化交易系统书面告知参加采购活动的供应商，并说明具体原因，同时在陕西省政府采购网公告。采购组织单位认为磋商小组不应当停止评审的，可以书面报告采购项目同级财政部门依法处理，并提供相关证明材料。</w:t>
      </w:r>
    </w:p>
    <w:p>
      <w:pPr>
        <w:pStyle w:val="null3"/>
        <w:outlineLvl w:val="3"/>
      </w:pPr>
      <w:r>
        <w:rPr>
          <w:rFonts w:ascii="仿宋_GB2312" w:hAnsi="仿宋_GB2312" w:cs="仿宋_GB2312" w:eastAsia="仿宋_GB2312"/>
          <w:sz w:val="24"/>
          <w:b/>
        </w:rPr>
        <w:t>6.3.2符合性审查</w:t>
      </w:r>
    </w:p>
    <w:p>
      <w:pPr>
        <w:pStyle w:val="null3"/>
        <w:ind w:firstLine="480"/>
      </w:pPr>
      <w:r>
        <w:rPr>
          <w:rFonts w:ascii="仿宋_GB2312" w:hAnsi="仿宋_GB2312" w:cs="仿宋_GB2312" w:eastAsia="仿宋_GB2312"/>
        </w:rPr>
        <w:t xml:space="preserve"> 一、磋商开始前，磋商小组对供应商首次提交的响应文件（包括报价）进行审查，审查内容为磋商文件不允许实质性变动的实质性要求，不符合实质性要求或应当作无效响应处理的，作无效响应处理。</w:t>
      </w:r>
    </w:p>
    <w:p>
      <w:pPr>
        <w:pStyle w:val="null3"/>
        <w:ind w:firstLine="480"/>
      </w:pPr>
      <w:r>
        <w:rPr>
          <w:rFonts w:ascii="仿宋_GB2312" w:hAnsi="仿宋_GB2312" w:cs="仿宋_GB2312" w:eastAsia="仿宋_GB2312"/>
        </w:rPr>
        <w:t>二、磋商小组对供应商已标价工程量清单进行算术性复核，如果出现下列不一致的，按以下原则进行修正：</w:t>
      </w:r>
    </w:p>
    <w:p>
      <w:pPr>
        <w:pStyle w:val="null3"/>
        <w:ind w:firstLine="480"/>
      </w:pPr>
      <w:r>
        <w:rPr>
          <w:rFonts w:ascii="仿宋_GB2312" w:hAnsi="仿宋_GB2312" w:cs="仿宋_GB2312" w:eastAsia="仿宋_GB2312"/>
        </w:rPr>
        <w:t xml:space="preserve"> （一）报价大写金额和小写金额不一致的，以大写金额为准。但大写金额文字存在错误的，应当先对大写金额的文字错误进行澄清、说明或者更正，再行修正。</w:t>
      </w:r>
    </w:p>
    <w:p>
      <w:pPr>
        <w:pStyle w:val="null3"/>
        <w:ind w:firstLine="480"/>
      </w:pPr>
      <w:r>
        <w:rPr>
          <w:rFonts w:ascii="仿宋_GB2312" w:hAnsi="仿宋_GB2312" w:cs="仿宋_GB2312" w:eastAsia="仿宋_GB2312"/>
        </w:rPr>
        <w:t xml:space="preserve"> （二）总价金额与依据单价（或费率）计算出的结果不一致的，以单价（或费率）为准修正总价，但单价（或费率）小数点有明显错误的除外（包括但不限于工程量清单、单位工程汇总表、单项工程汇总表、报价汇总表）。</w:t>
      </w:r>
    </w:p>
    <w:p>
      <w:pPr>
        <w:pStyle w:val="null3"/>
        <w:ind w:firstLine="480"/>
      </w:pPr>
      <w:r>
        <w:rPr>
          <w:rFonts w:ascii="仿宋_GB2312" w:hAnsi="仿宋_GB2312" w:cs="仿宋_GB2312" w:eastAsia="仿宋_GB2312"/>
        </w:rPr>
        <w:t xml:space="preserve"> 修正后的报价经供应商确认后产生约束力，供应商不确认的，其响应文件作为无效处理。供应商确认采取书面方式并经供应商授权代表签字。磋商小组不得未经书面形式要求供应商确认，直接将供应商响应文件作为无效处理。</w:t>
      </w:r>
    </w:p>
    <w:p>
      <w:pPr>
        <w:pStyle w:val="null3"/>
        <w:ind w:firstLine="480"/>
      </w:pPr>
      <w:r>
        <w:rPr>
          <w:rFonts w:ascii="仿宋_GB2312" w:hAnsi="仿宋_GB2312" w:cs="仿宋_GB2312" w:eastAsia="仿宋_GB2312"/>
        </w:rPr>
        <w:t xml:space="preserve"> 三、在符合性审查过程中，如果出现磋商小组成员意见不一致的情况，按照少数服从多数的原则确定，但不得违背政府采购基本原则和磋商文件规定。</w:t>
      </w:r>
    </w:p>
    <w:p>
      <w:pPr>
        <w:pStyle w:val="null3"/>
        <w:ind w:firstLine="480"/>
      </w:pPr>
      <w:r>
        <w:rPr>
          <w:rFonts w:ascii="仿宋_GB2312" w:hAnsi="仿宋_GB2312" w:cs="仿宋_GB2312" w:eastAsia="仿宋_GB2312"/>
        </w:rPr>
        <w:t>四、磋商小组对所有响应文件进行审查后，确定参加磋商的供应商名单。</w:t>
      </w:r>
    </w:p>
    <w:p>
      <w:pPr>
        <w:pStyle w:val="null3"/>
        <w:ind w:firstLine="480"/>
      </w:pPr>
      <w:r>
        <w:rPr>
          <w:rFonts w:ascii="仿宋_GB2312" w:hAnsi="仿宋_GB2312" w:cs="仿宋_GB2312" w:eastAsia="仿宋_GB2312"/>
        </w:rPr>
        <w:t>符合性审查标准见下表（按以下顺序审查）：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符合审查要求概况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磋商响应文件的签署盖章</w:t>
            </w:r>
          </w:p>
        </w:tc>
        <w:tc>
          <w:tcPr>
            <w:tcW w:type="dxa" w:w="3322"/>
          </w:tcPr>
          <w:p>
            <w:pPr>
              <w:pStyle w:val="null3"/>
            </w:pPr>
            <w:r>
              <w:rPr>
                <w:rFonts w:ascii="仿宋_GB2312" w:hAnsi="仿宋_GB2312" w:cs="仿宋_GB2312" w:eastAsia="仿宋_GB2312"/>
              </w:rPr>
              <w:t>应符合“竞争性磋商响应文件格式”要求。</w:t>
            </w:r>
          </w:p>
        </w:tc>
        <w:tc>
          <w:tcPr>
            <w:tcW w:type="dxa" w:w="1661"/>
          </w:tcPr>
          <w:p>
            <w:pPr>
              <w:pStyle w:val="null3"/>
            </w:pPr>
            <w:r>
              <w:rPr>
                <w:rFonts w:ascii="仿宋_GB2312" w:hAnsi="仿宋_GB2312" w:cs="仿宋_GB2312" w:eastAsia="仿宋_GB2312"/>
              </w:rPr>
              <w:t>响应文件封面 响应函</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不正当竞争预防措施（实质性要求）</w:t>
            </w:r>
          </w:p>
        </w:tc>
        <w:tc>
          <w:tcPr>
            <w:tcW w:type="dxa" w:w="3322"/>
          </w:tcPr>
          <w:p>
            <w:pPr>
              <w:pStyle w:val="null3"/>
            </w:pPr>
            <w:r>
              <w:rPr>
                <w:rFonts w:ascii="仿宋_GB2312" w:hAnsi="仿宋_GB2312" w:cs="仿宋_GB2312" w:eastAsia="仿宋_GB2312"/>
              </w:rPr>
              <w:t xml:space="preserve"> 1.磋商小组认为供应商的报价明显低于其他实质性响应的供应商报价，有可能影响工程质量或者不能诚信履约的，应当要求其在合理的时间内提供书面说明，必要时提交相关证明材料；供应商不能证明其报价合理性的，磋商小组应当将其作为无效响应处理。 2.供应商通过项目电子化交易系统在磋商小组要求的合理时间内提交说明，否则无效。</w:t>
            </w:r>
          </w:p>
        </w:tc>
        <w:tc>
          <w:tcPr>
            <w:tcW w:type="dxa" w:w="1661"/>
          </w:tcPr>
          <w:p>
            <w:pPr>
              <w:pStyle w:val="null3"/>
            </w:pPr>
            <w:r>
              <w:rPr>
                <w:rFonts w:ascii="仿宋_GB2312" w:hAnsi="仿宋_GB2312" w:cs="仿宋_GB2312" w:eastAsia="仿宋_GB2312"/>
              </w:rPr>
              <w:t>分项报价表.xlsx 报价函 标的清单</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磋商响应文件格式</w:t>
            </w:r>
          </w:p>
        </w:tc>
        <w:tc>
          <w:tcPr>
            <w:tcW w:type="dxa" w:w="3322"/>
          </w:tcPr>
          <w:p>
            <w:pPr>
              <w:pStyle w:val="null3"/>
            </w:pPr>
            <w:r>
              <w:rPr>
                <w:rFonts w:ascii="仿宋_GB2312" w:hAnsi="仿宋_GB2312" w:cs="仿宋_GB2312" w:eastAsia="仿宋_GB2312"/>
              </w:rPr>
              <w:t>应符合“竞争性磋商响应文件格式”要求。</w:t>
            </w:r>
          </w:p>
        </w:tc>
        <w:tc>
          <w:tcPr>
            <w:tcW w:type="dxa" w:w="1661"/>
          </w:tcPr>
          <w:p>
            <w:pPr>
              <w:pStyle w:val="null3"/>
            </w:pPr>
            <w:r>
              <w:rPr>
                <w:rFonts w:ascii="仿宋_GB2312" w:hAnsi="仿宋_GB2312" w:cs="仿宋_GB2312" w:eastAsia="仿宋_GB2312"/>
              </w:rPr>
              <w:t>响应文件封面 分项报价表.xlsx 陕西省政府采购投标人拒绝政府采购领域商业贿赂承诺书.pdf</w:t>
            </w:r>
          </w:p>
        </w:tc>
      </w:tr>
      <w:tr>
        <w:tc>
          <w:tcPr>
            <w:tcW w:type="dxa" w:w="831"/>
          </w:tcPr>
          <w:p>
            <w:pPr>
              <w:pStyle w:val="null3"/>
            </w:pPr>
            <w:r>
              <w:rPr>
                <w:rFonts w:ascii="仿宋_GB2312" w:hAnsi="仿宋_GB2312" w:cs="仿宋_GB2312" w:eastAsia="仿宋_GB2312"/>
              </w:rPr>
              <w:t>4</w:t>
            </w:r>
          </w:p>
        </w:tc>
        <w:tc>
          <w:tcPr>
            <w:tcW w:type="dxa" w:w="2492"/>
          </w:tcPr>
          <w:p>
            <w:pPr>
              <w:pStyle w:val="null3"/>
            </w:pPr>
            <w:r>
              <w:rPr>
                <w:rFonts w:ascii="仿宋_GB2312" w:hAnsi="仿宋_GB2312" w:cs="仿宋_GB2312" w:eastAsia="仿宋_GB2312"/>
              </w:rPr>
              <w:t>报价唯一</w:t>
            </w:r>
          </w:p>
        </w:tc>
        <w:tc>
          <w:tcPr>
            <w:tcW w:type="dxa" w:w="3322"/>
          </w:tcPr>
          <w:p>
            <w:pPr>
              <w:pStyle w:val="null3"/>
            </w:pPr>
            <w:r>
              <w:rPr>
                <w:rFonts w:ascii="仿宋_GB2312" w:hAnsi="仿宋_GB2312" w:cs="仿宋_GB2312" w:eastAsia="仿宋_GB2312"/>
              </w:rPr>
              <w:t>磋商报价符合唯一性要求、响应报价表填写符合要求、报价货币符合磋商文件要求、报价数量与要求符合并未出现漏报、未超出采购预算和磋商文件规定的各分项最高限价； 只能有一个有效报价，不得提交选择性报价，按要求提交二次或多次报价，且每轮报价不超过采购预算金额或最高限价或磋商小组认为低于成本价的报价。</w:t>
            </w:r>
          </w:p>
        </w:tc>
        <w:tc>
          <w:tcPr>
            <w:tcW w:type="dxa" w:w="1661"/>
          </w:tcPr>
          <w:p>
            <w:pPr>
              <w:pStyle w:val="null3"/>
            </w:pPr>
            <w:r>
              <w:rPr>
                <w:rFonts w:ascii="仿宋_GB2312" w:hAnsi="仿宋_GB2312" w:cs="仿宋_GB2312" w:eastAsia="仿宋_GB2312"/>
              </w:rPr>
              <w:t>分项报价表.xlsx 报价函 标的清单</w:t>
            </w:r>
          </w:p>
        </w:tc>
      </w:tr>
      <w:tr>
        <w:tc>
          <w:tcPr>
            <w:tcW w:type="dxa" w:w="831"/>
          </w:tcPr>
          <w:p>
            <w:pPr>
              <w:pStyle w:val="null3"/>
            </w:pPr>
            <w:r>
              <w:rPr>
                <w:rFonts w:ascii="仿宋_GB2312" w:hAnsi="仿宋_GB2312" w:cs="仿宋_GB2312" w:eastAsia="仿宋_GB2312"/>
              </w:rPr>
              <w:t>5</w:t>
            </w:r>
          </w:p>
        </w:tc>
        <w:tc>
          <w:tcPr>
            <w:tcW w:type="dxa" w:w="2492"/>
          </w:tcPr>
          <w:p>
            <w:pPr>
              <w:pStyle w:val="null3"/>
            </w:pPr>
            <w:r>
              <w:rPr>
                <w:rFonts w:ascii="仿宋_GB2312" w:hAnsi="仿宋_GB2312" w:cs="仿宋_GB2312" w:eastAsia="仿宋_GB2312"/>
              </w:rPr>
              <w:t>磋商响应文件内容</w:t>
            </w:r>
          </w:p>
        </w:tc>
        <w:tc>
          <w:tcPr>
            <w:tcW w:type="dxa" w:w="3322"/>
          </w:tcPr>
          <w:p>
            <w:pPr>
              <w:pStyle w:val="null3"/>
            </w:pPr>
            <w:r>
              <w:rPr>
                <w:rFonts w:ascii="仿宋_GB2312" w:hAnsi="仿宋_GB2312" w:cs="仿宋_GB2312" w:eastAsia="仿宋_GB2312"/>
              </w:rPr>
              <w:t>磋商响应文件内容符合磋商文件要求； 磋商响应文件中项目名称、项目编号与本项目一致；磋商响应文件至少包括：（1）响应函、（2）响应报价表、（3）供应商资格证明文件。</w:t>
            </w:r>
          </w:p>
        </w:tc>
        <w:tc>
          <w:tcPr>
            <w:tcW w:type="dxa" w:w="1661"/>
          </w:tcPr>
          <w:p>
            <w:pPr>
              <w:pStyle w:val="null3"/>
            </w:pPr>
            <w:r>
              <w:rPr>
                <w:rFonts w:ascii="仿宋_GB2312" w:hAnsi="仿宋_GB2312" w:cs="仿宋_GB2312" w:eastAsia="仿宋_GB2312"/>
              </w:rPr>
              <w:t>响应文件封面 供应商应提交的相关资格证明材料.docx 分项报价表.xlsx 陕西省政府采购投标人拒绝政府采购领域商业贿赂承诺书.pdf 报价函 标的清单 响应函</w:t>
            </w:r>
          </w:p>
        </w:tc>
      </w:tr>
      <w:tr>
        <w:tc>
          <w:tcPr>
            <w:tcW w:type="dxa" w:w="831"/>
          </w:tcPr>
          <w:p>
            <w:pPr>
              <w:pStyle w:val="null3"/>
            </w:pPr>
            <w:r>
              <w:rPr>
                <w:rFonts w:ascii="仿宋_GB2312" w:hAnsi="仿宋_GB2312" w:cs="仿宋_GB2312" w:eastAsia="仿宋_GB2312"/>
              </w:rPr>
              <w:t>6</w:t>
            </w:r>
          </w:p>
        </w:tc>
        <w:tc>
          <w:tcPr>
            <w:tcW w:type="dxa" w:w="2492"/>
          </w:tcPr>
          <w:p>
            <w:pPr>
              <w:pStyle w:val="null3"/>
            </w:pPr>
            <w:r>
              <w:rPr>
                <w:rFonts w:ascii="仿宋_GB2312" w:hAnsi="仿宋_GB2312" w:cs="仿宋_GB2312" w:eastAsia="仿宋_GB2312"/>
              </w:rPr>
              <w:t>对磋商文件条款响应</w:t>
            </w:r>
          </w:p>
        </w:tc>
        <w:tc>
          <w:tcPr>
            <w:tcW w:type="dxa" w:w="3322"/>
          </w:tcPr>
          <w:p>
            <w:pPr>
              <w:pStyle w:val="null3"/>
            </w:pPr>
            <w:r>
              <w:rPr>
                <w:rFonts w:ascii="仿宋_GB2312" w:hAnsi="仿宋_GB2312" w:cs="仿宋_GB2312" w:eastAsia="仿宋_GB2312"/>
              </w:rPr>
              <w:t>要求实质性条款全部响应，不能有采购人不能接受的附加条件，未有负偏离且响应的内容未含有采购人不能接受的附加条件。</w:t>
            </w:r>
          </w:p>
        </w:tc>
        <w:tc>
          <w:tcPr>
            <w:tcW w:type="dxa" w:w="1661"/>
          </w:tcPr>
          <w:p>
            <w:pPr>
              <w:pStyle w:val="null3"/>
            </w:pPr>
            <w:r>
              <w:rPr>
                <w:rFonts w:ascii="仿宋_GB2312" w:hAnsi="仿宋_GB2312" w:cs="仿宋_GB2312" w:eastAsia="仿宋_GB2312"/>
              </w:rPr>
              <w:t>响应文件封面 响应函</w:t>
            </w:r>
          </w:p>
        </w:tc>
      </w:tr>
      <w:tr>
        <w:tc>
          <w:tcPr>
            <w:tcW w:type="dxa" w:w="831"/>
          </w:tcPr>
          <w:p>
            <w:pPr>
              <w:pStyle w:val="null3"/>
            </w:pPr>
            <w:r>
              <w:rPr>
                <w:rFonts w:ascii="仿宋_GB2312" w:hAnsi="仿宋_GB2312" w:cs="仿宋_GB2312" w:eastAsia="仿宋_GB2312"/>
              </w:rPr>
              <w:t>7</w:t>
            </w:r>
          </w:p>
        </w:tc>
        <w:tc>
          <w:tcPr>
            <w:tcW w:type="dxa" w:w="2492"/>
          </w:tcPr>
          <w:p>
            <w:pPr>
              <w:pStyle w:val="null3"/>
            </w:pPr>
            <w:r>
              <w:rPr>
                <w:rFonts w:ascii="仿宋_GB2312" w:hAnsi="仿宋_GB2312" w:cs="仿宋_GB2312" w:eastAsia="仿宋_GB2312"/>
              </w:rPr>
              <w:t>服务期限</w:t>
            </w:r>
          </w:p>
        </w:tc>
        <w:tc>
          <w:tcPr>
            <w:tcW w:type="dxa" w:w="3322"/>
          </w:tcPr>
          <w:p>
            <w:pPr>
              <w:pStyle w:val="null3"/>
            </w:pPr>
            <w:r>
              <w:rPr>
                <w:rFonts w:ascii="仿宋_GB2312" w:hAnsi="仿宋_GB2312" w:cs="仿宋_GB2312" w:eastAsia="仿宋_GB2312"/>
              </w:rPr>
              <w:t>应满足磋商文件中要求的服务期限。</w:t>
            </w:r>
          </w:p>
        </w:tc>
        <w:tc>
          <w:tcPr>
            <w:tcW w:type="dxa" w:w="1661"/>
          </w:tcPr>
          <w:p>
            <w:pPr>
              <w:pStyle w:val="null3"/>
            </w:pPr>
            <w:r>
              <w:rPr>
                <w:rFonts w:ascii="仿宋_GB2312" w:hAnsi="仿宋_GB2312" w:cs="仿宋_GB2312" w:eastAsia="仿宋_GB2312"/>
              </w:rPr>
              <w:t>报价函 标的清单 响应函</w:t>
            </w:r>
          </w:p>
        </w:tc>
      </w:tr>
      <w:tr>
        <w:tc>
          <w:tcPr>
            <w:tcW w:type="dxa" w:w="831"/>
          </w:tcPr>
          <w:p>
            <w:pPr>
              <w:pStyle w:val="null3"/>
            </w:pPr>
            <w:r>
              <w:rPr>
                <w:rFonts w:ascii="仿宋_GB2312" w:hAnsi="仿宋_GB2312" w:cs="仿宋_GB2312" w:eastAsia="仿宋_GB2312"/>
              </w:rPr>
              <w:t>8</w:t>
            </w:r>
          </w:p>
        </w:tc>
        <w:tc>
          <w:tcPr>
            <w:tcW w:type="dxa" w:w="2492"/>
          </w:tcPr>
          <w:p>
            <w:pPr>
              <w:pStyle w:val="null3"/>
            </w:pPr>
            <w:r>
              <w:rPr>
                <w:rFonts w:ascii="仿宋_GB2312" w:hAnsi="仿宋_GB2312" w:cs="仿宋_GB2312" w:eastAsia="仿宋_GB2312"/>
              </w:rPr>
              <w:t>磋商有效期</w:t>
            </w:r>
          </w:p>
        </w:tc>
        <w:tc>
          <w:tcPr>
            <w:tcW w:type="dxa" w:w="3322"/>
          </w:tcPr>
          <w:p>
            <w:pPr>
              <w:pStyle w:val="null3"/>
            </w:pPr>
            <w:r>
              <w:rPr>
                <w:rFonts w:ascii="仿宋_GB2312" w:hAnsi="仿宋_GB2312" w:cs="仿宋_GB2312" w:eastAsia="仿宋_GB2312"/>
              </w:rPr>
              <w:t>应满足磋商文件中的规定。</w:t>
            </w:r>
          </w:p>
        </w:tc>
        <w:tc>
          <w:tcPr>
            <w:tcW w:type="dxa" w:w="1661"/>
          </w:tcPr>
          <w:p>
            <w:pPr>
              <w:pStyle w:val="null3"/>
            </w:pPr>
            <w:r>
              <w:rPr>
                <w:rFonts w:ascii="仿宋_GB2312" w:hAnsi="仿宋_GB2312" w:cs="仿宋_GB2312" w:eastAsia="仿宋_GB2312"/>
              </w:rPr>
              <w:t>报价函 标的清单 响应函</w:t>
            </w:r>
          </w:p>
        </w:tc>
      </w:tr>
    </w:tbl>
    <w:p>
      <w:pPr>
        <w:pStyle w:val="null3"/>
        <w:outlineLvl w:val="3"/>
      </w:pPr>
      <w:r>
        <w:rPr>
          <w:rFonts w:ascii="仿宋_GB2312" w:hAnsi="仿宋_GB2312" w:cs="仿宋_GB2312" w:eastAsia="仿宋_GB2312"/>
          <w:sz w:val="24"/>
          <w:b/>
        </w:rPr>
        <w:t xml:space="preserve"> 6.3.3磋商</w:t>
      </w:r>
    </w:p>
    <w:p>
      <w:pPr>
        <w:pStyle w:val="null3"/>
        <w:ind w:firstLine="480"/>
      </w:pPr>
      <w:r>
        <w:rPr>
          <w:rFonts w:ascii="仿宋_GB2312" w:hAnsi="仿宋_GB2312" w:cs="仿宋_GB2312" w:eastAsia="仿宋_GB2312"/>
        </w:rPr>
        <w:t xml:space="preserve"> 一、磋商小组所有成员集中与单一供应商分别进行一轮或多轮磋商，并给予所有参加磋商的供应商平等的磋商机会。磋商顺序由磋商小组组长以在线抽签的方式确定。磋商过程中，磋商小组可以根据磋商情况调整磋商轮次。</w:t>
      </w:r>
    </w:p>
    <w:p>
      <w:pPr>
        <w:pStyle w:val="null3"/>
        <w:ind w:firstLine="480"/>
      </w:pPr>
      <w:r>
        <w:rPr>
          <w:rFonts w:ascii="仿宋_GB2312" w:hAnsi="仿宋_GB2312" w:cs="仿宋_GB2312" w:eastAsia="仿宋_GB2312"/>
        </w:rPr>
        <w:t>二、每轮磋商开始前，磋商小组应根据磋商文件的规定，并结合各供应商的响应文件拟定磋商内容。</w:t>
      </w:r>
    </w:p>
    <w:p>
      <w:pPr>
        <w:pStyle w:val="null3"/>
        <w:ind w:firstLine="480"/>
      </w:pPr>
      <w:r>
        <w:rPr>
          <w:rFonts w:ascii="仿宋_GB2312" w:hAnsi="仿宋_GB2312" w:cs="仿宋_GB2312" w:eastAsia="仿宋_GB2312"/>
        </w:rPr>
        <w:t xml:space="preserve"> 三、在磋商过程中，磋商小组在获得采购人代表确认的前提下，可以根据磋商文件第三章“磋商项目技术、服务、商务及其他要求”、第八章“拟签订的合同文本”规定的可实质性变动内容和磋商情况实质性变动磋商文件的技术、服务要求以及合同草案条款，但不得变动磋商文件中的其他内容。</w:t>
      </w:r>
    </w:p>
    <w:p>
      <w:pPr>
        <w:pStyle w:val="null3"/>
        <w:ind w:firstLine="480"/>
      </w:pPr>
      <w:r>
        <w:rPr>
          <w:rFonts w:ascii="仿宋_GB2312" w:hAnsi="仿宋_GB2312" w:cs="仿宋_GB2312" w:eastAsia="仿宋_GB2312"/>
        </w:rPr>
        <w:t xml:space="preserve"> 四、对磋商文件作出的实质性变动是磋商文件的有效组成部分，磋商小组应通过项目电子化交易系统，将变动情况同时通知所有参加磋商的供应商。</w:t>
      </w:r>
    </w:p>
    <w:p>
      <w:pPr>
        <w:pStyle w:val="null3"/>
        <w:ind w:firstLine="480"/>
      </w:pPr>
      <w:r>
        <w:rPr>
          <w:rFonts w:ascii="仿宋_GB2312" w:hAnsi="仿宋_GB2312" w:cs="仿宋_GB2312" w:eastAsia="仿宋_GB2312"/>
        </w:rPr>
        <w:t xml:space="preserve"> 五、磋商过程中，磋商文件变动的，供应商应当按照磋商文件的变动情况和磋商小组的要求就磋商文件变动部分，以“供应商响应表”形式在线提交磋商小组。“供应商响应表”作为响应文件的组成部分，响应文件应加盖供应商（法定名称）电子印章，否则无效。</w:t>
      </w:r>
    </w:p>
    <w:p>
      <w:pPr>
        <w:pStyle w:val="null3"/>
        <w:ind w:firstLine="480"/>
      </w:pPr>
      <w:r>
        <w:rPr>
          <w:rFonts w:ascii="仿宋_GB2312" w:hAnsi="仿宋_GB2312" w:cs="仿宋_GB2312" w:eastAsia="仿宋_GB2312"/>
        </w:rPr>
        <w:t>六、经最终磋商后，响应文件仍有下列情况之一的，应按照无效响应文件处理：</w:t>
      </w:r>
    </w:p>
    <w:p>
      <w:pPr>
        <w:pStyle w:val="null3"/>
        <w:ind w:firstLine="480"/>
      </w:pPr>
      <w:r>
        <w:rPr>
          <w:rFonts w:ascii="仿宋_GB2312" w:hAnsi="仿宋_GB2312" w:cs="仿宋_GB2312" w:eastAsia="仿宋_GB2312"/>
        </w:rPr>
        <w:t>（一）响应文件仍不能实质响应磋商文件可实质性变动的实质性要求的；</w:t>
      </w:r>
    </w:p>
    <w:p>
      <w:pPr>
        <w:pStyle w:val="null3"/>
        <w:ind w:firstLine="480"/>
      </w:pPr>
      <w:r>
        <w:rPr>
          <w:rFonts w:ascii="仿宋_GB2312" w:hAnsi="仿宋_GB2312" w:cs="仿宋_GB2312" w:eastAsia="仿宋_GB2312"/>
        </w:rPr>
        <w:t>（二）响应文件中仍有磋商文件规定的其他无效响应情形的。</w:t>
      </w:r>
    </w:p>
    <w:p>
      <w:pPr>
        <w:pStyle w:val="null3"/>
        <w:ind w:firstLine="480"/>
      </w:pPr>
      <w:r>
        <w:rPr>
          <w:rFonts w:ascii="仿宋_GB2312" w:hAnsi="仿宋_GB2312" w:cs="仿宋_GB2312" w:eastAsia="仿宋_GB2312"/>
        </w:rPr>
        <w:t xml:space="preserve"> 七、磋商小组对供应商在磋商、评审过程中的书面交换材料，未按要求加盖电子印章或签字的，视同未提交书面交换材料。</w:t>
      </w:r>
    </w:p>
    <w:p>
      <w:pPr>
        <w:pStyle w:val="null3"/>
        <w:ind w:firstLine="480"/>
      </w:pPr>
      <w:r>
        <w:rPr>
          <w:rFonts w:ascii="仿宋_GB2312" w:hAnsi="仿宋_GB2312" w:cs="仿宋_GB2312" w:eastAsia="仿宋_GB2312"/>
        </w:rPr>
        <w:t xml:space="preserve"> 八、磋商小组在最终磋商后，对所有响应文件的有效性、完整性和响应程度进行审查后，确定最后报价的供应商名单。</w:t>
      </w:r>
    </w:p>
    <w:p>
      <w:pPr>
        <w:pStyle w:val="null3"/>
        <w:ind w:firstLine="480"/>
      </w:pPr>
      <w:r>
        <w:rPr>
          <w:rFonts w:ascii="仿宋_GB2312" w:hAnsi="仿宋_GB2312" w:cs="仿宋_GB2312" w:eastAsia="仿宋_GB2312"/>
        </w:rPr>
        <w:t>九、磋商过程中，磋商的任何一方不得透露与磋商有关的其他供应商的技术资料、价格和其他信息。</w:t>
      </w:r>
    </w:p>
    <w:p>
      <w:pPr>
        <w:pStyle w:val="null3"/>
        <w:ind w:firstLine="480"/>
      </w:pPr>
      <w:r>
        <w:rPr>
          <w:rFonts w:ascii="仿宋_GB2312" w:hAnsi="仿宋_GB2312" w:cs="仿宋_GB2312" w:eastAsia="仿宋_GB2312"/>
        </w:rPr>
        <w:t xml:space="preserve"> 十、磋商过程中，磋商小组发现或者知晓供应商存在违法行为的，应当磋商报告中予以记录，并向本级财政部门报告，依法应将该供应商响应文件作无效处理的，应当作无效处理。</w:t>
      </w:r>
    </w:p>
    <w:p>
      <w:pPr>
        <w:pStyle w:val="null3"/>
        <w:outlineLvl w:val="3"/>
      </w:pPr>
      <w:r>
        <w:rPr>
          <w:rFonts w:ascii="仿宋_GB2312" w:hAnsi="仿宋_GB2312" w:cs="仿宋_GB2312" w:eastAsia="仿宋_GB2312"/>
          <w:sz w:val="24"/>
          <w:b/>
        </w:rPr>
        <w:t>6.3.4最后报价</w:t>
      </w:r>
    </w:p>
    <w:p>
      <w:pPr>
        <w:pStyle w:val="null3"/>
        <w:ind w:firstLine="480"/>
      </w:pPr>
      <w:r>
        <w:rPr>
          <w:rFonts w:ascii="仿宋_GB2312" w:hAnsi="仿宋_GB2312" w:cs="仿宋_GB2312" w:eastAsia="仿宋_GB2312"/>
        </w:rPr>
        <w:t>一、方案评审</w:t>
      </w:r>
    </w:p>
    <w:p>
      <w:pPr>
        <w:pStyle w:val="null3"/>
      </w:pPr>
      <w:r>
        <w:rPr>
          <w:rFonts w:ascii="仿宋_GB2312" w:hAnsi="仿宋_GB2312" w:cs="仿宋_GB2312" w:eastAsia="仿宋_GB2312"/>
        </w:rPr>
        <w:t>采购包1：磋商/谈判/协商文件能够详细列明采购标的的技术、服务要求，磋商/谈判/协商结束后，磋商/谈判/协商小组可以根据磋商/谈判/协商情况要求所有实质性响应的供应商在规定时间内提交最后报价，提交最后报价的供应商不得少于3家。</w:t>
      </w:r>
    </w:p>
    <w:p>
      <w:pPr>
        <w:pStyle w:val="null3"/>
        <w:ind w:firstLine="480"/>
      </w:pPr>
      <w:r>
        <w:rPr>
          <w:rFonts w:ascii="仿宋_GB2312" w:hAnsi="仿宋_GB2312" w:cs="仿宋_GB2312" w:eastAsia="仿宋_GB2312"/>
        </w:rPr>
        <w:t xml:space="preserve"> 二、磋商小组开启报价后，供应商应随时关注项目电子化交易系统信息或短信提醒，登录项目电子化交易系统，通过“等候大厅”进行报价并签章后提交。</w:t>
      </w:r>
    </w:p>
    <w:p>
      <w:pPr>
        <w:pStyle w:val="null3"/>
        <w:ind w:firstLine="480"/>
      </w:pPr>
      <w:r>
        <w:rPr>
          <w:rFonts w:ascii="仿宋_GB2312" w:hAnsi="仿宋_GB2312" w:cs="仿宋_GB2312" w:eastAsia="仿宋_GB2312"/>
        </w:rPr>
        <w:t xml:space="preserve"> 三、供应商在未提高响应文件中承诺的标准情况下，其最后报价不得高于对该项目之前的报价，否则，磋商小组应当对其响应文件作无效处理，不允许进入综合评分，并通过项目电子化交易系统告知供应商，说明理由。</w:t>
      </w:r>
    </w:p>
    <w:p>
      <w:pPr>
        <w:pStyle w:val="null3"/>
        <w:ind w:firstLine="480"/>
      </w:pPr>
      <w:r>
        <w:rPr>
          <w:rFonts w:ascii="仿宋_GB2312" w:hAnsi="仿宋_GB2312" w:cs="仿宋_GB2312" w:eastAsia="仿宋_GB2312"/>
        </w:rPr>
        <w:t>四、供应商最后报价属于明显低价不正当竞争的，磋商小组应按照“供应商须知前附表”第8项规定处理。</w:t>
      </w:r>
    </w:p>
    <w:p>
      <w:pPr>
        <w:pStyle w:val="null3"/>
        <w:ind w:firstLine="480"/>
      </w:pPr>
      <w:r>
        <w:rPr>
          <w:rFonts w:ascii="仿宋_GB2312" w:hAnsi="仿宋_GB2312" w:cs="仿宋_GB2312" w:eastAsia="仿宋_GB2312"/>
        </w:rPr>
        <w:t xml:space="preserve"> 五、供应商未在响应文件提交截止时间内提交报价或未按要求进行报价的，视为无效响应，由供应商自行承担不利后果。</w:t>
      </w:r>
    </w:p>
    <w:p>
      <w:pPr>
        <w:pStyle w:val="null3"/>
        <w:ind w:firstLine="480"/>
      </w:pPr>
      <w:r>
        <w:rPr>
          <w:rFonts w:ascii="仿宋_GB2312" w:hAnsi="仿宋_GB2312" w:cs="仿宋_GB2312" w:eastAsia="仿宋_GB2312"/>
        </w:rPr>
        <w:t>六、供应商未按磋商小组要求在规定时间内提交最后报价的，视为其退出磋商。</w:t>
      </w:r>
    </w:p>
    <w:p>
      <w:pPr>
        <w:pStyle w:val="null3"/>
        <w:ind w:firstLine="480"/>
      </w:pPr>
      <w:r>
        <w:rPr>
          <w:rFonts w:ascii="仿宋_GB2312" w:hAnsi="仿宋_GB2312" w:cs="仿宋_GB2312" w:eastAsia="仿宋_GB2312"/>
        </w:rPr>
        <w:t>七、最后报价一旦提交后，供应商不得以任何理由撤回。</w:t>
      </w:r>
    </w:p>
    <w:p>
      <w:pPr>
        <w:pStyle w:val="null3"/>
        <w:ind w:firstLine="480"/>
      </w:pPr>
      <w:r>
        <w:rPr>
          <w:rFonts w:ascii="仿宋_GB2312" w:hAnsi="仿宋_GB2312" w:cs="仿宋_GB2312" w:eastAsia="仿宋_GB2312"/>
        </w:rPr>
        <w:t>八、最后报价为有效报价应符合下列条件：</w:t>
      </w:r>
    </w:p>
    <w:p>
      <w:pPr>
        <w:pStyle w:val="null3"/>
        <w:ind w:firstLine="480"/>
      </w:pPr>
      <w:r>
        <w:rPr>
          <w:rFonts w:ascii="仿宋_GB2312" w:hAnsi="仿宋_GB2312" w:cs="仿宋_GB2312" w:eastAsia="仿宋_GB2312"/>
        </w:rPr>
        <w:t>（一）供应商所提供的最后报价是在规定的时间内提交。</w:t>
      </w:r>
    </w:p>
    <w:p>
      <w:pPr>
        <w:pStyle w:val="null3"/>
        <w:ind w:firstLine="480"/>
      </w:pPr>
      <w:r>
        <w:rPr>
          <w:rFonts w:ascii="仿宋_GB2312" w:hAnsi="仿宋_GB2312" w:cs="仿宋_GB2312" w:eastAsia="仿宋_GB2312"/>
        </w:rPr>
        <w:t>（二）供应商的最后报价应加盖供应商（法定名称）电子印章。</w:t>
      </w:r>
    </w:p>
    <w:p>
      <w:pPr>
        <w:pStyle w:val="null3"/>
        <w:ind w:firstLine="480"/>
      </w:pPr>
      <w:r>
        <w:rPr>
          <w:rFonts w:ascii="仿宋_GB2312" w:hAnsi="仿宋_GB2312" w:cs="仿宋_GB2312" w:eastAsia="仿宋_GB2312"/>
        </w:rPr>
        <w:t>（三）供应商的最后报价应符合磋商文件的要求。</w:t>
      </w:r>
    </w:p>
    <w:p>
      <w:pPr>
        <w:pStyle w:val="null3"/>
        <w:ind w:firstLine="480"/>
      </w:pPr>
      <w:r>
        <w:rPr>
          <w:rFonts w:ascii="仿宋_GB2312" w:hAnsi="仿宋_GB2312" w:cs="仿宋_GB2312" w:eastAsia="仿宋_GB2312"/>
        </w:rPr>
        <w:t>（四）最后报价唯一，且不高于最高限价。</w:t>
      </w:r>
    </w:p>
    <w:p>
      <w:pPr>
        <w:pStyle w:val="null3"/>
        <w:ind w:firstLine="480"/>
      </w:pPr>
      <w:r>
        <w:rPr>
          <w:rFonts w:ascii="仿宋_GB2312" w:hAnsi="仿宋_GB2312" w:cs="仿宋_GB2312" w:eastAsia="仿宋_GB2312"/>
        </w:rPr>
        <w:t xml:space="preserve"> （五）若采用项目包干价的，供应商直接给出其完成本项目全部工作内容所需的总价，不再提供已标价工程量清单（报价格式要求见第七章）。</w:t>
      </w:r>
    </w:p>
    <w:p>
      <w:pPr>
        <w:pStyle w:val="null3"/>
        <w:ind w:firstLine="480"/>
      </w:pPr>
      <w:r>
        <w:rPr>
          <w:rFonts w:ascii="仿宋_GB2312" w:hAnsi="仿宋_GB2312" w:cs="仿宋_GB2312" w:eastAsia="仿宋_GB2312"/>
        </w:rPr>
        <w:t xml:space="preserve"> （六）若采用项目单价的，首次响应文件中的报价以已标价工程量清单报价。供应商最后报价采用基于首次响应文件的报价下浮一定比例的方式进行报价。</w:t>
      </w:r>
    </w:p>
    <w:p>
      <w:pPr>
        <w:pStyle w:val="null3"/>
        <w:ind w:firstLine="480"/>
      </w:pPr>
      <w:r>
        <w:rPr>
          <w:rFonts w:ascii="仿宋_GB2312" w:hAnsi="仿宋_GB2312" w:cs="仿宋_GB2312" w:eastAsia="仿宋_GB2312"/>
        </w:rPr>
        <w:t xml:space="preserve"> （七）若采用采购人固定价的，供应商的报价应当按照磋商文件中确定了的采购项目采购价格进行报价，不得增加或者减少，否则其报价无效，其响应文件应当作为无效处理。供应商最后报价应当以全部响应磋商文件及磋商过程中变更的实质性要求为前提，最后报价应当与首次报价一致，否则作为无效处理（报价格式要求见第七章）。</w:t>
      </w:r>
    </w:p>
    <w:p>
      <w:pPr>
        <w:pStyle w:val="null3"/>
        <w:ind w:firstLine="480"/>
      </w:pPr>
      <w:r>
        <w:rPr>
          <w:rFonts w:ascii="仿宋_GB2312" w:hAnsi="仿宋_GB2312" w:cs="仿宋_GB2312" w:eastAsia="仿宋_GB2312"/>
        </w:rPr>
        <w:t>九、最后报价出现下列情况的，不需要供应商澄清，按以下原则处理：</w:t>
      </w:r>
    </w:p>
    <w:p>
      <w:pPr>
        <w:pStyle w:val="null3"/>
        <w:ind w:firstLine="480"/>
      </w:pPr>
      <w:r>
        <w:rPr>
          <w:rFonts w:ascii="仿宋_GB2312" w:hAnsi="仿宋_GB2312" w:cs="仿宋_GB2312" w:eastAsia="仿宋_GB2312"/>
        </w:rPr>
        <w:t xml:space="preserve"> （一）报价中的大写金额和小写金额不一致的，以大写金额为准，但大写金额出现文字错误，导致金额无法判断的除外；</w:t>
      </w:r>
    </w:p>
    <w:p>
      <w:pPr>
        <w:pStyle w:val="null3"/>
        <w:ind w:firstLine="480"/>
      </w:pPr>
      <w:r>
        <w:rPr>
          <w:rFonts w:ascii="仿宋_GB2312" w:hAnsi="仿宋_GB2312" w:cs="仿宋_GB2312" w:eastAsia="仿宋_GB2312"/>
        </w:rPr>
        <w:t>（二）单价金额小数点或者百分比有明显错位的，应以总价为准，并修改单价；</w:t>
      </w:r>
    </w:p>
    <w:p>
      <w:pPr>
        <w:pStyle w:val="null3"/>
        <w:ind w:firstLine="480"/>
      </w:pPr>
      <w:r>
        <w:rPr>
          <w:rFonts w:ascii="仿宋_GB2312" w:hAnsi="仿宋_GB2312" w:cs="仿宋_GB2312" w:eastAsia="仿宋_GB2312"/>
        </w:rPr>
        <w:t>（三）总价金额与按单价汇总金额不一致的，以单价汇总金额计算结果为准；</w:t>
      </w:r>
    </w:p>
    <w:p>
      <w:pPr>
        <w:pStyle w:val="null3"/>
        <w:ind w:firstLine="480"/>
      </w:pPr>
      <w:r>
        <w:rPr>
          <w:rFonts w:ascii="仿宋_GB2312" w:hAnsi="仿宋_GB2312" w:cs="仿宋_GB2312" w:eastAsia="仿宋_GB2312"/>
        </w:rPr>
        <w:t xml:space="preserve"> 同时出现两种以上不一致的，按照前款规定的顺序修正。修正后的最后报价经加盖供应商（法定名称）电子印章后产生约束力，供应商不确认的，其最后报价无效。</w:t>
      </w:r>
    </w:p>
    <w:p>
      <w:pPr>
        <w:pStyle w:val="null3"/>
        <w:outlineLvl w:val="3"/>
      </w:pPr>
      <w:r>
        <w:rPr>
          <w:rFonts w:ascii="仿宋_GB2312" w:hAnsi="仿宋_GB2312" w:cs="仿宋_GB2312" w:eastAsia="仿宋_GB2312"/>
          <w:sz w:val="24"/>
          <w:b/>
        </w:rPr>
        <w:t>6.3.5解释、澄清有关问题</w:t>
      </w:r>
    </w:p>
    <w:p>
      <w:pPr>
        <w:pStyle w:val="null3"/>
        <w:ind w:firstLine="480"/>
      </w:pPr>
      <w:r>
        <w:rPr>
          <w:rFonts w:ascii="仿宋_GB2312" w:hAnsi="仿宋_GB2312" w:cs="仿宋_GB2312" w:eastAsia="仿宋_GB2312"/>
        </w:rPr>
        <w:t xml:space="preserve"> 一、评审过程中，磋商小组认为磋商文件有关事项表述不明确或需要说明的，可以提请代理机构书面解释。代理机构的解释不得改变磋商文件的原义或者影响公平、公正，解释事项如果涉及供应商权益的以有利于供应商的原则进行解释。</w:t>
      </w:r>
    </w:p>
    <w:p>
      <w:pPr>
        <w:pStyle w:val="null3"/>
        <w:ind w:firstLine="480"/>
      </w:pPr>
      <w:r>
        <w:rPr>
          <w:rFonts w:ascii="仿宋_GB2312" w:hAnsi="仿宋_GB2312" w:cs="仿宋_GB2312" w:eastAsia="仿宋_GB2312"/>
        </w:rPr>
        <w:t xml:space="preserve"> 二、对响应文件中含义不明确、同类问题表述不一致或者有明显文字和计算错误的内容，磋商小组应当要求供应商作出必要的澄清、说明或者更正，并给予供应商必要的反馈时间。供应商应当按磋商小组的要求进行澄清、说明或者更正。供应商的澄清、说明或者更正不得超出响应文件的范围或者改变响应文件的实质性内容。澄清、说明或者更正不影响响应文件的效力，有效的澄清、说明或者更正材料是响应文件的组成部分。</w:t>
      </w:r>
    </w:p>
    <w:p>
      <w:pPr>
        <w:pStyle w:val="null3"/>
        <w:ind w:firstLine="480"/>
      </w:pPr>
      <w:r>
        <w:rPr>
          <w:rFonts w:ascii="仿宋_GB2312" w:hAnsi="仿宋_GB2312" w:cs="仿宋_GB2312" w:eastAsia="仿宋_GB2312"/>
        </w:rPr>
        <w:t xml:space="preserve"> 三、供应商的澄清、说明或者更正需进行电子签章，应当不超出响应文件的范围、不实质性改变响应文件的内容、不影响供应商的公平竞争、不导致响应文件从不响应磋商文件变为响应磋商文件的条件。下列内容不得澄清：</w:t>
      </w:r>
    </w:p>
    <w:p>
      <w:pPr>
        <w:pStyle w:val="null3"/>
        <w:ind w:firstLine="480"/>
      </w:pPr>
      <w:r>
        <w:rPr>
          <w:rFonts w:ascii="仿宋_GB2312" w:hAnsi="仿宋_GB2312" w:cs="仿宋_GB2312" w:eastAsia="仿宋_GB2312"/>
        </w:rPr>
        <w:t>（一）供应商响应文件中不响应磋商文件规定的技术参数指标和商务应答；</w:t>
      </w:r>
    </w:p>
    <w:p>
      <w:pPr>
        <w:pStyle w:val="null3"/>
        <w:ind w:firstLine="480"/>
      </w:pPr>
      <w:r>
        <w:rPr>
          <w:rFonts w:ascii="仿宋_GB2312" w:hAnsi="仿宋_GB2312" w:cs="仿宋_GB2312" w:eastAsia="仿宋_GB2312"/>
        </w:rPr>
        <w:t>（二）供应商响应文件中未提供的证明其是否符合磋商文件资格、符合性规定要求的相关材料。</w:t>
      </w:r>
    </w:p>
    <w:p>
      <w:pPr>
        <w:pStyle w:val="null3"/>
        <w:ind w:firstLine="480"/>
      </w:pPr>
      <w:r>
        <w:rPr>
          <w:rFonts w:ascii="仿宋_GB2312" w:hAnsi="仿宋_GB2312" w:cs="仿宋_GB2312" w:eastAsia="仿宋_GB2312"/>
        </w:rPr>
        <w:t>（三）供应商响应文件中的材料因印刷、影印等不清晰而难以辨认的。</w:t>
      </w:r>
    </w:p>
    <w:p>
      <w:pPr>
        <w:pStyle w:val="null3"/>
        <w:ind w:firstLine="480"/>
      </w:pPr>
      <w:r>
        <w:rPr>
          <w:rFonts w:ascii="仿宋_GB2312" w:hAnsi="仿宋_GB2312" w:cs="仿宋_GB2312" w:eastAsia="仿宋_GB2312"/>
        </w:rPr>
        <w:t>四、响应文件报价出现前后不一致的情形，按照本章前述规定予以处理，不需要供应商澄清。</w:t>
      </w:r>
    </w:p>
    <w:p>
      <w:pPr>
        <w:pStyle w:val="null3"/>
        <w:ind w:firstLine="480"/>
      </w:pPr>
      <w:r>
        <w:rPr>
          <w:rFonts w:ascii="仿宋_GB2312" w:hAnsi="仿宋_GB2312" w:cs="仿宋_GB2312" w:eastAsia="仿宋_GB2312"/>
        </w:rPr>
        <w:t xml:space="preserve"> 五、代理机构宣布评审结束前，供应商应通过项目电子化交易系统随时关注评审消息提示，及时响应磋商小组发出的澄清、说明或更正要求。供应商未能及时响应的，自行承担不利后果。</w:t>
      </w:r>
    </w:p>
    <w:p>
      <w:pPr>
        <w:pStyle w:val="null3"/>
        <w:ind w:firstLine="480"/>
      </w:pPr>
      <w:r>
        <w:rPr>
          <w:rFonts w:ascii="仿宋_GB2312" w:hAnsi="仿宋_GB2312" w:cs="仿宋_GB2312" w:eastAsia="仿宋_GB2312"/>
        </w:rPr>
        <w:t>六、磋商小组应当积极履行澄清、说明或者更正的职责，不得滥用权力。</w:t>
      </w:r>
    </w:p>
    <w:p>
      <w:pPr>
        <w:pStyle w:val="null3"/>
        <w:outlineLvl w:val="3"/>
      </w:pPr>
      <w:r>
        <w:rPr>
          <w:rFonts w:ascii="仿宋_GB2312" w:hAnsi="仿宋_GB2312" w:cs="仿宋_GB2312" w:eastAsia="仿宋_GB2312"/>
          <w:sz w:val="24"/>
          <w:b/>
        </w:rPr>
        <w:t>6.3.6比较与评价</w:t>
      </w:r>
    </w:p>
    <w:p>
      <w:pPr>
        <w:pStyle w:val="null3"/>
        <w:ind w:firstLine="480"/>
      </w:pPr>
      <w:r>
        <w:rPr>
          <w:rFonts w:ascii="仿宋_GB2312" w:hAnsi="仿宋_GB2312" w:cs="仿宋_GB2312" w:eastAsia="仿宋_GB2312"/>
        </w:rPr>
        <w:t xml:space="preserve"> 由磋商小组采用综合评分法对提交最后报价的供应商的响应文件和最后报价进行综合评分，具体要求详见本章评审办法及标准部分。</w:t>
      </w:r>
    </w:p>
    <w:p>
      <w:pPr>
        <w:pStyle w:val="null3"/>
        <w:outlineLvl w:val="3"/>
      </w:pPr>
      <w:r>
        <w:rPr>
          <w:rFonts w:ascii="仿宋_GB2312" w:hAnsi="仿宋_GB2312" w:cs="仿宋_GB2312" w:eastAsia="仿宋_GB2312"/>
          <w:sz w:val="24"/>
          <w:b/>
        </w:rPr>
        <w:t xml:space="preserve"> 6.3.7推荐成交候选供应商</w:t>
      </w:r>
    </w:p>
    <w:p>
      <w:pPr>
        <w:pStyle w:val="null3"/>
        <w:ind w:firstLine="480"/>
      </w:pPr>
      <w:r>
        <w:rPr>
          <w:rFonts w:ascii="仿宋_GB2312" w:hAnsi="仿宋_GB2312" w:cs="仿宋_GB2312" w:eastAsia="仿宋_GB2312"/>
        </w:rPr>
        <w:t>磋商小组应当根据综合评分情况，按照评审得分由高到低顺序推荐如下家数的成交候选供应商，并编写磋商报告。</w:t>
      </w:r>
    </w:p>
    <w:p>
      <w:pPr>
        <w:pStyle w:val="null3"/>
      </w:pPr>
      <w:r>
        <w:rPr>
          <w:rFonts w:ascii="仿宋_GB2312" w:hAnsi="仿宋_GB2312" w:cs="仿宋_GB2312" w:eastAsia="仿宋_GB2312"/>
        </w:rPr>
        <w:t>采购包1：</w:t>
      </w:r>
      <w:r>
        <w:rPr>
          <w:rFonts w:ascii="仿宋_GB2312" w:hAnsi="仿宋_GB2312" w:cs="仿宋_GB2312" w:eastAsia="仿宋_GB2312"/>
        </w:rPr>
        <w:t>3家；</w:t>
      </w:r>
      <w:r>
        <w:rPr>
          <w:rFonts w:ascii="仿宋_GB2312" w:hAnsi="仿宋_GB2312" w:cs="仿宋_GB2312" w:eastAsia="仿宋_GB2312"/>
        </w:rPr>
        <w:t>评审得分相同的，按照最后报价由低到高的顺序推荐。评审得分且最后报价相同的，按照技术指标优劣顺序推荐。评审得分且最后报价且技术指标得分均相同的，成交候选供应商并列。</w:t>
      </w:r>
    </w:p>
    <w:p>
      <w:pPr>
        <w:pStyle w:val="null3"/>
        <w:outlineLvl w:val="3"/>
      </w:pPr>
      <w:r>
        <w:rPr>
          <w:rFonts w:ascii="仿宋_GB2312" w:hAnsi="仿宋_GB2312" w:cs="仿宋_GB2312" w:eastAsia="仿宋_GB2312"/>
          <w:sz w:val="24"/>
          <w:b/>
        </w:rPr>
        <w:t>6.3.8磋商小组复核</w:t>
      </w:r>
    </w:p>
    <w:p>
      <w:pPr>
        <w:pStyle w:val="null3"/>
        <w:ind w:firstLine="480"/>
      </w:pPr>
      <w:r>
        <w:rPr>
          <w:rFonts w:ascii="仿宋_GB2312" w:hAnsi="仿宋_GB2312" w:cs="仿宋_GB2312" w:eastAsia="仿宋_GB2312"/>
        </w:rPr>
        <w:t xml:space="preserve"> 磋商小组评分汇总结束后，磋商小组应当进行评审复核，对拟推荐为成交候选供应商的、报价最低的、供应商响应文件作无效处理的重点复核。</w:t>
      </w:r>
    </w:p>
    <w:p>
      <w:pPr>
        <w:pStyle w:val="null3"/>
        <w:outlineLvl w:val="3"/>
      </w:pPr>
      <w:r>
        <w:rPr>
          <w:rFonts w:ascii="仿宋_GB2312" w:hAnsi="仿宋_GB2312" w:cs="仿宋_GB2312" w:eastAsia="仿宋_GB2312"/>
          <w:sz w:val="24"/>
          <w:b/>
        </w:rPr>
        <w:t>6.3.9代理机构现场复核评审结果</w:t>
      </w:r>
    </w:p>
    <w:p>
      <w:pPr>
        <w:pStyle w:val="null3"/>
        <w:ind w:firstLine="480"/>
      </w:pPr>
      <w:r>
        <w:rPr>
          <w:rFonts w:ascii="仿宋_GB2312" w:hAnsi="仿宋_GB2312" w:cs="仿宋_GB2312" w:eastAsia="仿宋_GB2312"/>
        </w:rPr>
        <w:t xml:space="preserve"> 一、评审结果汇总完成后，磋商小组拟出具磋商磋商报告前，代理机构应当组织2名以上的本单位工作人员，在采购现场监督人员的监督之下，依据有关的法律制度和磋商文件对评审结果进行复核，出具复核报告，存在下列情形之一的，代理机构应当根据情况通过项目电子化交易系统建议磋商小组现场修改评审结果。存在本条上述情形的，由磋商小组自主决定是否采纳代理机构的建议，并承担独立评审责任。</w:t>
      </w:r>
    </w:p>
    <w:p>
      <w:pPr>
        <w:pStyle w:val="null3"/>
        <w:ind w:firstLine="480"/>
      </w:pPr>
      <w:r>
        <w:rPr>
          <w:rFonts w:ascii="仿宋_GB2312" w:hAnsi="仿宋_GB2312" w:cs="仿宋_GB2312" w:eastAsia="仿宋_GB2312"/>
        </w:rPr>
        <w:t xml:space="preserve"> 二、磋商小组采纳代理机构建议的，应当按照规定现场通过项目电子化交易系统修改评审结果或者重新评审，并在磋商报告中详细记载有关事宜；不采纳代理机构建议的，应当说明理由。代理机构建议未被磋商小组采纳的，应当按照规定程序要求继续组织实施采购活动，不得擅自中止采购活动。代理机构认为磋商小组评审结果不合法的，应当书面报告采购项目同级财政部门。</w:t>
      </w:r>
    </w:p>
    <w:p>
      <w:pPr>
        <w:pStyle w:val="null3"/>
        <w:ind w:firstLine="480"/>
      </w:pPr>
      <w:r>
        <w:rPr>
          <w:rFonts w:ascii="仿宋_GB2312" w:hAnsi="仿宋_GB2312" w:cs="仿宋_GB2312" w:eastAsia="仿宋_GB2312"/>
        </w:rPr>
        <w:t>三、代理机构复核过程中，磋商小组成员不得离开评审现场。</w:t>
      </w:r>
    </w:p>
    <w:p>
      <w:pPr>
        <w:pStyle w:val="null3"/>
        <w:outlineLvl w:val="3"/>
      </w:pPr>
      <w:r>
        <w:rPr>
          <w:rFonts w:ascii="仿宋_GB2312" w:hAnsi="仿宋_GB2312" w:cs="仿宋_GB2312" w:eastAsia="仿宋_GB2312"/>
          <w:sz w:val="24"/>
          <w:b/>
        </w:rPr>
        <w:t>6.3.10编写磋商报告</w:t>
      </w:r>
    </w:p>
    <w:p>
      <w:pPr>
        <w:pStyle w:val="null3"/>
        <w:ind w:firstLine="480"/>
      </w:pPr>
      <w:r>
        <w:rPr>
          <w:rFonts w:ascii="仿宋_GB2312" w:hAnsi="仿宋_GB2312" w:cs="仿宋_GB2312" w:eastAsia="仿宋_GB2312"/>
        </w:rPr>
        <w:t>磋商小组推荐成交候选供应商后，应向代理机构出具磋商报告。磋商报告应当包括以下主要内容：</w:t>
      </w:r>
    </w:p>
    <w:p>
      <w:pPr>
        <w:pStyle w:val="null3"/>
        <w:ind w:firstLine="480"/>
      </w:pPr>
      <w:r>
        <w:rPr>
          <w:rFonts w:ascii="仿宋_GB2312" w:hAnsi="仿宋_GB2312" w:cs="仿宋_GB2312" w:eastAsia="仿宋_GB2312"/>
        </w:rPr>
        <w:t>（一）邀请供应商参加采购活动的具体方式和相关情况；</w:t>
      </w:r>
    </w:p>
    <w:p>
      <w:pPr>
        <w:pStyle w:val="null3"/>
        <w:ind w:firstLine="480"/>
      </w:pPr>
      <w:r>
        <w:rPr>
          <w:rFonts w:ascii="仿宋_GB2312" w:hAnsi="仿宋_GB2312" w:cs="仿宋_GB2312" w:eastAsia="仿宋_GB2312"/>
        </w:rPr>
        <w:t>（二）响应文件开启日期和地点；</w:t>
      </w:r>
    </w:p>
    <w:p>
      <w:pPr>
        <w:pStyle w:val="null3"/>
        <w:ind w:firstLine="480"/>
      </w:pPr>
      <w:r>
        <w:rPr>
          <w:rFonts w:ascii="仿宋_GB2312" w:hAnsi="仿宋_GB2312" w:cs="仿宋_GB2312" w:eastAsia="仿宋_GB2312"/>
        </w:rPr>
        <w:t>（三）获取磋商文件的供应商名单和磋商小组成员名单；</w:t>
      </w:r>
    </w:p>
    <w:p>
      <w:pPr>
        <w:pStyle w:val="null3"/>
        <w:ind w:firstLine="480"/>
      </w:pPr>
      <w:r>
        <w:rPr>
          <w:rFonts w:ascii="仿宋_GB2312" w:hAnsi="仿宋_GB2312" w:cs="仿宋_GB2312" w:eastAsia="仿宋_GB2312"/>
        </w:rPr>
        <w:t>（四）评审情况记录和说明，包括对供应商响应文件审查情况、磋商情况、报价情况等；</w:t>
      </w:r>
    </w:p>
    <w:p>
      <w:pPr>
        <w:pStyle w:val="null3"/>
        <w:ind w:firstLine="480"/>
      </w:pPr>
      <w:r>
        <w:rPr>
          <w:rFonts w:ascii="仿宋_GB2312" w:hAnsi="仿宋_GB2312" w:cs="仿宋_GB2312" w:eastAsia="仿宋_GB2312"/>
        </w:rPr>
        <w:t>（五）提出的成交候选供应商的排序名单及理由。</w:t>
      </w:r>
    </w:p>
    <w:p>
      <w:pPr>
        <w:pStyle w:val="null3"/>
        <w:ind w:firstLine="480"/>
      </w:pPr>
      <w:r>
        <w:rPr>
          <w:rFonts w:ascii="仿宋_GB2312" w:hAnsi="仿宋_GB2312" w:cs="仿宋_GB2312" w:eastAsia="仿宋_GB2312"/>
        </w:rPr>
        <w:t xml:space="preserve"> 磋商报告应当由磋商小组全体人员签字或加盖电子签章认可。磋商小组成员对磋商报告有异议的，磋商小组按照少数服从多数的原则推荐成交候选供应商，采购程序继续进行。对磋商报告有异议的磋商小组成员，应当在报告上签署不同意见并说明理由，由磋商小组记录相关情况。磋商小组成员拒绝在磋商报告上签字或加盖电子签章又不书面说明其不同意见和理由的，视为同意磋商报告。</w:t>
      </w:r>
    </w:p>
    <w:p>
      <w:pPr>
        <w:pStyle w:val="null3"/>
        <w:outlineLvl w:val="3"/>
      </w:pPr>
      <w:r>
        <w:rPr>
          <w:rFonts w:ascii="仿宋_GB2312" w:hAnsi="仿宋_GB2312" w:cs="仿宋_GB2312" w:eastAsia="仿宋_GB2312"/>
          <w:sz w:val="24"/>
          <w:b/>
        </w:rPr>
        <w:t>6.3.11评审争议处理规则</w:t>
      </w:r>
    </w:p>
    <w:p>
      <w:pPr>
        <w:pStyle w:val="null3"/>
        <w:ind w:firstLine="480"/>
      </w:pPr>
      <w:r>
        <w:rPr>
          <w:rFonts w:ascii="仿宋_GB2312" w:hAnsi="仿宋_GB2312" w:cs="仿宋_GB2312" w:eastAsia="仿宋_GB2312"/>
        </w:rPr>
        <w:t xml:space="preserve"> 磋商小组在评审过程中，对于资格审查、符合性审查、对供应商响应文件做无效处理及其他需要共同认定的事项存在争议的，应当以少数服从多数的原则做出结论，但不得违背法律法规和磋商文件规定。有不同意见的磋商小组成员认为认定过程和结果不符合法律法规或者磋商文件规定的，应当在磋商报告中予以反映。</w:t>
      </w:r>
    </w:p>
    <w:p>
      <w:pPr>
        <w:pStyle w:val="null3"/>
        <w:outlineLvl w:val="3"/>
      </w:pPr>
      <w:r>
        <w:rPr>
          <w:rFonts w:ascii="仿宋_GB2312" w:hAnsi="仿宋_GB2312" w:cs="仿宋_GB2312" w:eastAsia="仿宋_GB2312"/>
          <w:sz w:val="24"/>
          <w:b/>
        </w:rPr>
        <w:t>6.3.12终止磋商采购活动</w:t>
      </w:r>
    </w:p>
    <w:p>
      <w:pPr>
        <w:pStyle w:val="null3"/>
        <w:ind w:firstLine="480"/>
      </w:pPr>
      <w:r>
        <w:rPr>
          <w:rFonts w:ascii="仿宋_GB2312" w:hAnsi="仿宋_GB2312" w:cs="仿宋_GB2312" w:eastAsia="仿宋_GB2312"/>
        </w:rPr>
        <w:t xml:space="preserve"> 出现下列情形之一的，采购人或者代理机构应当终止竞争性磋商采购活动，发布项目终止公告并说明原因，重新开展采购活动：</w:t>
      </w:r>
    </w:p>
    <w:p>
      <w:pPr>
        <w:pStyle w:val="null3"/>
        <w:ind w:firstLine="480"/>
      </w:pPr>
      <w:r>
        <w:rPr>
          <w:rFonts w:ascii="仿宋_GB2312" w:hAnsi="仿宋_GB2312" w:cs="仿宋_GB2312" w:eastAsia="仿宋_GB2312"/>
        </w:rPr>
        <w:t>一、因情况变化，不再符合规定的竞争性磋商采购方式适用情形的；</w:t>
      </w:r>
    </w:p>
    <w:p>
      <w:pPr>
        <w:pStyle w:val="null3"/>
        <w:ind w:firstLine="480"/>
      </w:pPr>
      <w:r>
        <w:rPr>
          <w:rFonts w:ascii="仿宋_GB2312" w:hAnsi="仿宋_GB2312" w:cs="仿宋_GB2312" w:eastAsia="仿宋_GB2312"/>
        </w:rPr>
        <w:t>二、出现影响采购公正的违法、违规行为的；</w:t>
      </w:r>
    </w:p>
    <w:p>
      <w:pPr>
        <w:pStyle w:val="null3"/>
        <w:ind w:firstLine="480"/>
      </w:pPr>
      <w:r>
        <w:rPr>
          <w:rFonts w:ascii="仿宋_GB2312" w:hAnsi="仿宋_GB2312" w:cs="仿宋_GB2312" w:eastAsia="仿宋_GB2312"/>
        </w:rPr>
        <w:t>三、在采购过程中符合要求的供应商或者报价未超过采购预算及最高限价的供应商不足3家的；</w:t>
      </w:r>
    </w:p>
    <w:p>
      <w:pPr>
        <w:pStyle w:val="null3"/>
        <w:ind w:firstLine="480"/>
      </w:pPr>
      <w:r>
        <w:rPr>
          <w:rFonts w:ascii="仿宋_GB2312" w:hAnsi="仿宋_GB2312" w:cs="仿宋_GB2312" w:eastAsia="仿宋_GB2312"/>
        </w:rPr>
        <w:t>四、法律法规规定的其他情形。</w:t>
      </w:r>
    </w:p>
    <w:p>
      <w:pPr>
        <w:pStyle w:val="null3"/>
        <w:outlineLvl w:val="2"/>
      </w:pPr>
      <w:r>
        <w:rPr>
          <w:rFonts w:ascii="仿宋_GB2312" w:hAnsi="仿宋_GB2312" w:cs="仿宋_GB2312" w:eastAsia="仿宋_GB2312"/>
          <w:sz w:val="28"/>
          <w:b/>
        </w:rPr>
        <w:t>6.4评审办法及标准</w:t>
      </w:r>
    </w:p>
    <w:p>
      <w:pPr>
        <w:pStyle w:val="null3"/>
        <w:ind w:firstLine="480"/>
      </w:pPr>
      <w:r>
        <w:rPr>
          <w:rFonts w:ascii="仿宋_GB2312" w:hAnsi="仿宋_GB2312" w:cs="仿宋_GB2312" w:eastAsia="仿宋_GB2312"/>
        </w:rPr>
        <w:t>一、磋商小组根据磋商文件的要求采用相同的评审程序、评分办法及标准进行评价和比较。</w:t>
      </w:r>
    </w:p>
    <w:p>
      <w:pPr>
        <w:pStyle w:val="null3"/>
        <w:ind w:firstLine="480"/>
      </w:pPr>
      <w:r>
        <w:rPr>
          <w:rFonts w:ascii="仿宋_GB2312" w:hAnsi="仿宋_GB2312" w:cs="仿宋_GB2312" w:eastAsia="仿宋_GB2312"/>
        </w:rPr>
        <w:t xml:space="preserve"> 二、磋商小组成员应依据磋商文件规定的评分标准和方法独立对每个有效响应的文件进行评价、打分，然后汇总每个供应商每项评分因素的得分。</w:t>
      </w:r>
    </w:p>
    <w:p>
      <w:pPr>
        <w:pStyle w:val="null3"/>
        <w:outlineLvl w:val="3"/>
      </w:pPr>
      <w:r>
        <w:rPr>
          <w:rFonts w:ascii="仿宋_GB2312" w:hAnsi="仿宋_GB2312" w:cs="仿宋_GB2312" w:eastAsia="仿宋_GB2312"/>
          <w:sz w:val="24"/>
          <w:b/>
        </w:rPr>
        <w:t>6.4.1评分办法</w:t>
      </w:r>
    </w:p>
    <w:p>
      <w:pPr>
        <w:pStyle w:val="null3"/>
        <w:ind w:firstLine="480"/>
      </w:pPr>
      <w:r>
        <w:rPr>
          <w:rFonts w:ascii="仿宋_GB2312" w:hAnsi="仿宋_GB2312" w:cs="仿宋_GB2312" w:eastAsia="仿宋_GB2312"/>
        </w:rPr>
        <w:t xml:space="preserve"> 本次评审采用综合评分法，由磋商小组采用综合评分法对提交最后报价的供应商的响应文件和最后报价进行综合评分。综合评分法，是指响应文件满足磋商文件全部实质性要求且按评审因素的量化指标评审得分最高的供应商为成交候选供应商的评审方法。</w:t>
      </w:r>
    </w:p>
    <w:p>
      <w:pPr>
        <w:pStyle w:val="null3"/>
        <w:outlineLvl w:val="3"/>
      </w:pPr>
      <w:r>
        <w:rPr>
          <w:rFonts w:ascii="仿宋_GB2312" w:hAnsi="仿宋_GB2312" w:cs="仿宋_GB2312" w:eastAsia="仿宋_GB2312"/>
          <w:sz w:val="24"/>
          <w:b/>
        </w:rPr>
        <w:t>6.4.2评分标准</w:t>
      </w:r>
    </w:p>
    <w:p>
      <w:pPr>
        <w:pStyle w:val="null3"/>
        <w:ind w:firstLine="480"/>
      </w:pPr>
      <w:r>
        <w:rPr>
          <w:rFonts w:ascii="仿宋_GB2312" w:hAnsi="仿宋_GB2312" w:cs="仿宋_GB2312" w:eastAsia="仿宋_GB2312"/>
        </w:rPr>
        <w:t>一、本次综合评分的因素详见综合评分明细表。</w:t>
      </w:r>
    </w:p>
    <w:p>
      <w:pPr>
        <w:pStyle w:val="null3"/>
        <w:ind w:firstLine="480"/>
      </w:pPr>
      <w:r>
        <w:rPr>
          <w:rFonts w:ascii="仿宋_GB2312" w:hAnsi="仿宋_GB2312" w:cs="仿宋_GB2312" w:eastAsia="仿宋_GB2312"/>
        </w:rPr>
        <w:t>二、综合评分明细表</w:t>
      </w:r>
    </w:p>
    <w:p>
      <w:pPr>
        <w:pStyle w:val="null3"/>
        <w:ind w:firstLine="480"/>
      </w:pPr>
      <w:r>
        <w:rPr>
          <w:rFonts w:ascii="仿宋_GB2312" w:hAnsi="仿宋_GB2312" w:cs="仿宋_GB2312" w:eastAsia="仿宋_GB2312"/>
        </w:rPr>
        <w:t>（一）综合评分明细表的制定以科学合理、降低磋商小组自由裁量权为原则。</w:t>
      </w:r>
    </w:p>
    <w:p>
      <w:pPr>
        <w:pStyle w:val="null3"/>
        <w:ind w:firstLine="480"/>
      </w:pPr>
      <w:r>
        <w:rPr>
          <w:rFonts w:ascii="仿宋_GB2312" w:hAnsi="仿宋_GB2312" w:cs="仿宋_GB2312" w:eastAsia="仿宋_GB2312"/>
        </w:rPr>
        <w:t>（二）综合评分明细表中的报价应先按供应商须知附表中的相关要求进行价格调整，再进行报价评分。</w:t>
      </w:r>
    </w:p>
    <w:p>
      <w:pPr>
        <w:pStyle w:val="null3"/>
        <w:ind w:firstLine="480"/>
      </w:pPr>
      <w:r>
        <w:rPr>
          <w:rFonts w:ascii="仿宋_GB2312" w:hAnsi="仿宋_GB2312" w:cs="仿宋_GB2312" w:eastAsia="仿宋_GB2312"/>
        </w:rPr>
        <w:t>（三）综合评分明细表：</w:t>
      </w:r>
    </w:p>
    <w:p>
      <w:pPr>
        <w:pStyle w:val="null3"/>
        <w:ind w:firstLine="480"/>
      </w:pPr>
      <w:r>
        <w:rPr>
          <w:rFonts w:ascii="仿宋_GB2312" w:hAnsi="仿宋_GB2312" w:cs="仿宋_GB2312" w:eastAsia="仿宋_GB2312"/>
        </w:rPr>
        <w:t xml:space="preserve"> （说明：采购人根据项目实际需要设置评审因素和标准，评审标准中的分值设置应当与评审因素的量化指标相对应。）</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1661"/>
        <w:gridCol w:w="2492"/>
        <w:gridCol w:w="831"/>
        <w:gridCol w:w="831"/>
        <w:gridCol w:w="1661"/>
      </w:tblGrid>
      <w:tr>
        <w:tc>
          <w:tcPr>
            <w:tcW w:type="dxa" w:w="2492"/>
            <w:gridSpan w:val="2"/>
          </w:tcPr>
          <w:p>
            <w:pPr>
              <w:pStyle w:val="null3"/>
              <w:jc w:val="center"/>
            </w:pPr>
            <w:r>
              <w:rPr>
                <w:rFonts w:ascii="仿宋_GB2312" w:hAnsi="仿宋_GB2312" w:cs="仿宋_GB2312" w:eastAsia="仿宋_GB2312"/>
              </w:rPr>
              <w:t xml:space="preserve"> 评审因素</w:t>
            </w:r>
          </w:p>
        </w:tc>
        <w:tc>
          <w:tcPr>
            <w:tcW w:type="dxa" w:w="5815"/>
            <w:gridSpan w:val="4"/>
          </w:tcPr>
          <w:p>
            <w:pPr>
              <w:pStyle w:val="null3"/>
              <w:jc w:val="center"/>
            </w:pPr>
            <w:r>
              <w:rPr>
                <w:rFonts w:ascii="仿宋_GB2312" w:hAnsi="仿宋_GB2312" w:cs="仿宋_GB2312" w:eastAsia="仿宋_GB2312"/>
              </w:rPr>
              <w:t xml:space="preserve"> 评审标准</w:t>
            </w:r>
          </w:p>
        </w:tc>
      </w:tr>
      <w:tr>
        <w:tc>
          <w:tcPr>
            <w:tcW w:type="dxa" w:w="2492"/>
            <w:gridSpan w:val="2"/>
          </w:tcPr>
          <w:p>
            <w:pPr>
              <w:pStyle w:val="null3"/>
              <w:jc w:val="center"/>
            </w:pPr>
            <w:r>
              <w:rPr>
                <w:rFonts w:ascii="仿宋_GB2312" w:hAnsi="仿宋_GB2312" w:cs="仿宋_GB2312" w:eastAsia="仿宋_GB2312"/>
              </w:rPr>
              <w:t xml:space="preserve"> 分值构成</w:t>
            </w:r>
          </w:p>
        </w:tc>
        <w:tc>
          <w:tcPr>
            <w:tcW w:type="dxa" w:w="5815"/>
            <w:gridSpan w:val="4"/>
          </w:tcPr>
          <w:p>
            <w:pPr>
              <w:pStyle w:val="null3"/>
            </w:pPr>
            <w:r>
              <w:rPr>
                <w:rFonts w:ascii="仿宋_GB2312" w:hAnsi="仿宋_GB2312" w:cs="仿宋_GB2312" w:eastAsia="仿宋_GB2312"/>
              </w:rPr>
              <w:t>详细评审70.00分</w:t>
            </w:r>
          </w:p>
          <w:p>
            <w:pPr>
              <w:pStyle w:val="null3"/>
            </w:pPr>
            <w:r>
              <w:rPr>
                <w:rFonts w:ascii="仿宋_GB2312" w:hAnsi="仿宋_GB2312" w:cs="仿宋_GB2312" w:eastAsia="仿宋_GB2312"/>
              </w:rPr>
              <w:t>报价得分30.00分</w:t>
            </w:r>
          </w:p>
        </w:tc>
      </w:tr>
      <w:tr>
        <w:tc>
          <w:tcPr>
            <w:tcW w:type="dxa" w:w="831"/>
          </w:tcPr>
          <w:p>
            <w:pPr>
              <w:pStyle w:val="null3"/>
              <w:jc w:val="center"/>
            </w:pPr>
            <w:r>
              <w:rPr>
                <w:rFonts w:ascii="仿宋_GB2312" w:hAnsi="仿宋_GB2312" w:cs="仿宋_GB2312" w:eastAsia="仿宋_GB2312"/>
              </w:rPr>
              <w:t xml:space="preserve"> 评审因素分类</w:t>
            </w:r>
          </w:p>
        </w:tc>
        <w:tc>
          <w:tcPr>
            <w:tcW w:type="dxa" w:w="1661"/>
          </w:tcPr>
          <w:p>
            <w:pPr>
              <w:pStyle w:val="null3"/>
              <w:jc w:val="center"/>
            </w:pPr>
            <w:r>
              <w:rPr>
                <w:rFonts w:ascii="仿宋_GB2312" w:hAnsi="仿宋_GB2312" w:cs="仿宋_GB2312" w:eastAsia="仿宋_GB2312"/>
              </w:rPr>
              <w:t xml:space="preserve"> 评审项</w:t>
            </w:r>
          </w:p>
        </w:tc>
        <w:tc>
          <w:tcPr>
            <w:tcW w:type="dxa" w:w="2492"/>
          </w:tcPr>
          <w:p>
            <w:pPr>
              <w:pStyle w:val="null3"/>
              <w:jc w:val="center"/>
            </w:pPr>
            <w:r>
              <w:rPr>
                <w:rFonts w:ascii="仿宋_GB2312" w:hAnsi="仿宋_GB2312" w:cs="仿宋_GB2312" w:eastAsia="仿宋_GB2312"/>
              </w:rPr>
              <w:t xml:space="preserve"> 详细描述</w:t>
            </w:r>
          </w:p>
        </w:tc>
        <w:tc>
          <w:tcPr>
            <w:tcW w:type="dxa" w:w="831"/>
          </w:tcPr>
          <w:p>
            <w:pPr>
              <w:pStyle w:val="null3"/>
              <w:jc w:val="center"/>
            </w:pPr>
            <w:r>
              <w:rPr>
                <w:rFonts w:ascii="仿宋_GB2312" w:hAnsi="仿宋_GB2312" w:cs="仿宋_GB2312" w:eastAsia="仿宋_GB2312"/>
              </w:rPr>
              <w:t xml:space="preserve"> 分值</w:t>
            </w:r>
          </w:p>
        </w:tc>
        <w:tc>
          <w:tcPr>
            <w:tcW w:type="dxa" w:w="831"/>
          </w:tcPr>
          <w:p>
            <w:pPr>
              <w:pStyle w:val="null3"/>
              <w:jc w:val="center"/>
            </w:pPr>
            <w:r>
              <w:rPr>
                <w:rFonts w:ascii="仿宋_GB2312" w:hAnsi="仿宋_GB2312" w:cs="仿宋_GB2312" w:eastAsia="仿宋_GB2312"/>
              </w:rPr>
              <w:t xml:space="preserve"> 客观/主观</w:t>
            </w:r>
          </w:p>
        </w:tc>
        <w:tc>
          <w:tcPr>
            <w:tcW w:type="dxa" w:w="1661"/>
          </w:tcPr>
          <w:p>
            <w:pPr>
              <w:pStyle w:val="null3"/>
              <w:jc w:val="center"/>
            </w:pPr>
            <w:r>
              <w:rPr>
                <w:rFonts w:ascii="仿宋_GB2312" w:hAnsi="仿宋_GB2312" w:cs="仿宋_GB2312" w:eastAsia="仿宋_GB2312"/>
              </w:rPr>
              <w:t xml:space="preserve"> 关联格式</w:t>
            </w:r>
          </w:p>
        </w:tc>
      </w:tr>
      <w:tr>
        <w:tc>
          <w:tcPr>
            <w:tcW w:type="dxa" w:w="831"/>
            <w:vMerge w:val="restart"/>
          </w:tcPr>
          <w:p>
            <w:pPr>
              <w:pStyle w:val="null3"/>
            </w:pPr>
            <w:r>
              <w:rPr>
                <w:rFonts w:ascii="仿宋_GB2312" w:hAnsi="仿宋_GB2312" w:cs="仿宋_GB2312" w:eastAsia="仿宋_GB2312"/>
              </w:rPr>
              <w:t>详细评审</w:t>
            </w:r>
          </w:p>
        </w:tc>
        <w:tc>
          <w:tcPr>
            <w:tcW w:type="dxa" w:w="1661"/>
          </w:tcPr>
          <w:p>
            <w:pPr>
              <w:pStyle w:val="null3"/>
            </w:pPr>
            <w:r>
              <w:rPr>
                <w:rFonts w:ascii="仿宋_GB2312" w:hAnsi="仿宋_GB2312" w:cs="仿宋_GB2312" w:eastAsia="仿宋_GB2312"/>
              </w:rPr>
              <w:t>产品选型</w:t>
            </w:r>
          </w:p>
        </w:tc>
        <w:tc>
          <w:tcPr>
            <w:tcW w:type="dxa" w:w="2492"/>
          </w:tcPr>
          <w:p>
            <w:pPr>
              <w:pStyle w:val="null3"/>
            </w:pPr>
            <w:r>
              <w:rPr>
                <w:rFonts w:ascii="仿宋_GB2312" w:hAnsi="仿宋_GB2312" w:cs="仿宋_GB2312" w:eastAsia="仿宋_GB2312"/>
              </w:rPr>
              <w:t>根据各供应商对其所投产品配置合理，品牌、规格型号与技术参数描述清晰明确程度，磋商小组根据响应情况进行赋分。所投产品选型合理、配置完整，产品性能、功能，技术参数清楚、明确，并提供相关证明材料（包含但不限于检测报告、产品彩页、官网截图、厂家授权等）。产品技术参数完全满足磋商文件要求且证明资料齐全，得5-10分；产品技术参数基本满足磋商文件要求，证明资料较少，得0.1-5分；未提供本项不得分。</w:t>
            </w:r>
          </w:p>
        </w:tc>
        <w:tc>
          <w:tcPr>
            <w:tcW w:type="dxa" w:w="831"/>
          </w:tcPr>
          <w:p>
            <w:pPr>
              <w:pStyle w:val="null3"/>
              <w:jc w:val="right"/>
            </w:pPr>
            <w:r>
              <w:rPr>
                <w:rFonts w:ascii="仿宋_GB2312" w:hAnsi="仿宋_GB2312" w:cs="仿宋_GB2312" w:eastAsia="仿宋_GB2312"/>
              </w:rPr>
              <w:t>10.0000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技术参数.docx</w:t>
            </w:r>
          </w:p>
        </w:tc>
      </w:tr>
      <w:tr>
        <w:tc>
          <w:tcPr>
            <w:tcW w:type="dxa" w:w="831"/>
            <w:vMerge/>
          </w:tcPr>
          <w:p/>
        </w:tc>
        <w:tc>
          <w:tcPr>
            <w:tcW w:type="dxa" w:w="1661"/>
          </w:tcPr>
          <w:p>
            <w:pPr>
              <w:pStyle w:val="null3"/>
            </w:pPr>
            <w:r>
              <w:rPr>
                <w:rFonts w:ascii="仿宋_GB2312" w:hAnsi="仿宋_GB2312" w:cs="仿宋_GB2312" w:eastAsia="仿宋_GB2312"/>
              </w:rPr>
              <w:t>施工方案</w:t>
            </w:r>
          </w:p>
        </w:tc>
        <w:tc>
          <w:tcPr>
            <w:tcW w:type="dxa" w:w="2492"/>
          </w:tcPr>
          <w:p>
            <w:pPr>
              <w:pStyle w:val="null3"/>
            </w:pPr>
            <w:r>
              <w:rPr>
                <w:rFonts w:ascii="仿宋_GB2312" w:hAnsi="仿宋_GB2312" w:cs="仿宋_GB2312" w:eastAsia="仿宋_GB2312"/>
              </w:rPr>
              <w:t>针对本项目施工内容具体特点，编制详细、可行的施工作业方案，磋商小组根据响应情况进行赋分。施工方案思路清晰、合理、可行，对项目实施具有较强的指导作用的，得10-15分；思路基本清晰、具有一定的合理性和可行性，对项目实施可起到一定指导作用的，得5-10分；施工方案不完整、不合理，可行性较差得0.1-5分；未提供本项不得分。</w:t>
            </w:r>
          </w:p>
        </w:tc>
        <w:tc>
          <w:tcPr>
            <w:tcW w:type="dxa" w:w="831"/>
          </w:tcPr>
          <w:p>
            <w:pPr>
              <w:pStyle w:val="null3"/>
              <w:jc w:val="right"/>
            </w:pPr>
            <w:r>
              <w:rPr>
                <w:rFonts w:ascii="仿宋_GB2312" w:hAnsi="仿宋_GB2312" w:cs="仿宋_GB2312" w:eastAsia="仿宋_GB2312"/>
              </w:rPr>
              <w:t>15.0000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技术服务方案.docx</w:t>
            </w:r>
          </w:p>
        </w:tc>
      </w:tr>
      <w:tr>
        <w:tc>
          <w:tcPr>
            <w:tcW w:type="dxa" w:w="831"/>
            <w:vMerge/>
          </w:tcPr>
          <w:p/>
        </w:tc>
        <w:tc>
          <w:tcPr>
            <w:tcW w:type="dxa" w:w="1661"/>
          </w:tcPr>
          <w:p>
            <w:pPr>
              <w:pStyle w:val="null3"/>
            </w:pPr>
            <w:r>
              <w:rPr>
                <w:rFonts w:ascii="仿宋_GB2312" w:hAnsi="仿宋_GB2312" w:cs="仿宋_GB2312" w:eastAsia="仿宋_GB2312"/>
              </w:rPr>
              <w:t>重点难点分析及解决方案</w:t>
            </w:r>
          </w:p>
        </w:tc>
        <w:tc>
          <w:tcPr>
            <w:tcW w:type="dxa" w:w="2492"/>
          </w:tcPr>
          <w:p>
            <w:pPr>
              <w:pStyle w:val="null3"/>
            </w:pPr>
            <w:r>
              <w:rPr>
                <w:rFonts w:ascii="仿宋_GB2312" w:hAnsi="仿宋_GB2312" w:cs="仿宋_GB2312" w:eastAsia="仿宋_GB2312"/>
              </w:rPr>
              <w:t>对本项目的重点把握突出、难点分析到位、提出针对性解决方案，解决方案合理，得5-8分；分析不全面、解决方案粗略不合理，计0.1-5分；未提供本项不得分。</w:t>
            </w:r>
          </w:p>
        </w:tc>
        <w:tc>
          <w:tcPr>
            <w:tcW w:type="dxa" w:w="831"/>
          </w:tcPr>
          <w:p>
            <w:pPr>
              <w:pStyle w:val="null3"/>
              <w:jc w:val="right"/>
            </w:pPr>
            <w:r>
              <w:rPr>
                <w:rFonts w:ascii="仿宋_GB2312" w:hAnsi="仿宋_GB2312" w:cs="仿宋_GB2312" w:eastAsia="仿宋_GB2312"/>
              </w:rPr>
              <w:t>8.0000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技术服务方案.docx</w:t>
            </w:r>
          </w:p>
        </w:tc>
      </w:tr>
      <w:tr>
        <w:tc>
          <w:tcPr>
            <w:tcW w:type="dxa" w:w="831"/>
            <w:vMerge/>
          </w:tcPr>
          <w:p/>
        </w:tc>
        <w:tc>
          <w:tcPr>
            <w:tcW w:type="dxa" w:w="1661"/>
          </w:tcPr>
          <w:p>
            <w:pPr>
              <w:pStyle w:val="null3"/>
            </w:pPr>
            <w:r>
              <w:rPr>
                <w:rFonts w:ascii="仿宋_GB2312" w:hAnsi="仿宋_GB2312" w:cs="仿宋_GB2312" w:eastAsia="仿宋_GB2312"/>
              </w:rPr>
              <w:t>安装验收标准</w:t>
            </w:r>
          </w:p>
        </w:tc>
        <w:tc>
          <w:tcPr>
            <w:tcW w:type="dxa" w:w="2492"/>
          </w:tcPr>
          <w:p>
            <w:pPr>
              <w:pStyle w:val="null3"/>
            </w:pPr>
            <w:r>
              <w:rPr>
                <w:rFonts w:ascii="仿宋_GB2312" w:hAnsi="仿宋_GB2312" w:cs="仿宋_GB2312" w:eastAsia="仿宋_GB2312"/>
              </w:rPr>
              <w:t>有严格完善的货物的验收、安装标准，标准适用性强，符合项目实际特点的得3-6分；标准适用性不强，不符合项目特点的得0.1-3分；未提供本项不得分。</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技术服务方案.docx</w:t>
            </w:r>
          </w:p>
        </w:tc>
      </w:tr>
      <w:tr>
        <w:tc>
          <w:tcPr>
            <w:tcW w:type="dxa" w:w="831"/>
            <w:vMerge/>
          </w:tcPr>
          <w:p/>
        </w:tc>
        <w:tc>
          <w:tcPr>
            <w:tcW w:type="dxa" w:w="1661"/>
          </w:tcPr>
          <w:p>
            <w:pPr>
              <w:pStyle w:val="null3"/>
            </w:pPr>
            <w:r>
              <w:rPr>
                <w:rFonts w:ascii="仿宋_GB2312" w:hAnsi="仿宋_GB2312" w:cs="仿宋_GB2312" w:eastAsia="仿宋_GB2312"/>
              </w:rPr>
              <w:t>培训方案</w:t>
            </w:r>
          </w:p>
        </w:tc>
        <w:tc>
          <w:tcPr>
            <w:tcW w:type="dxa" w:w="2492"/>
          </w:tcPr>
          <w:p>
            <w:pPr>
              <w:pStyle w:val="null3"/>
            </w:pPr>
            <w:r>
              <w:rPr>
                <w:rFonts w:ascii="仿宋_GB2312" w:hAnsi="仿宋_GB2312" w:cs="仿宋_GB2312" w:eastAsia="仿宋_GB2312"/>
              </w:rPr>
              <w:t>根据本项目实际特点提供培训方案，培训方案完善，培训对象、培训内容、培训方式和培训目标明确，符合用户实际情况的得3-6分；培训方案可行，但不符合实际情况的得0.1-3分；未提供本项不得分。</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技术服务方案.docx</w:t>
            </w:r>
          </w:p>
        </w:tc>
      </w:tr>
      <w:tr>
        <w:tc>
          <w:tcPr>
            <w:tcW w:type="dxa" w:w="831"/>
            <w:vMerge/>
          </w:tcPr>
          <w:p/>
        </w:tc>
        <w:tc>
          <w:tcPr>
            <w:tcW w:type="dxa" w:w="1661"/>
          </w:tcPr>
          <w:p>
            <w:pPr>
              <w:pStyle w:val="null3"/>
            </w:pPr>
            <w:r>
              <w:rPr>
                <w:rFonts w:ascii="仿宋_GB2312" w:hAnsi="仿宋_GB2312" w:cs="仿宋_GB2312" w:eastAsia="仿宋_GB2312"/>
              </w:rPr>
              <w:t>质量、安全、环保措施</w:t>
            </w:r>
          </w:p>
        </w:tc>
        <w:tc>
          <w:tcPr>
            <w:tcW w:type="dxa" w:w="2492"/>
          </w:tcPr>
          <w:p>
            <w:pPr>
              <w:pStyle w:val="null3"/>
            </w:pPr>
            <w:r>
              <w:rPr>
                <w:rFonts w:ascii="仿宋_GB2312" w:hAnsi="仿宋_GB2312" w:cs="仿宋_GB2312" w:eastAsia="仿宋_GB2312"/>
              </w:rPr>
              <w:t>有具体针对本项目实际情况的详细的质量管理体系与措施。提供安全生产管理体系及保证措施。提供环境保护保证措施。措施合理、可行性强得6-9分；具有一定的合理性和可行性得3-6分；不合理，可行性一般得0.1-3分；未提供本项不得分。</w:t>
            </w:r>
          </w:p>
        </w:tc>
        <w:tc>
          <w:tcPr>
            <w:tcW w:type="dxa" w:w="831"/>
          </w:tcPr>
          <w:p>
            <w:pPr>
              <w:pStyle w:val="null3"/>
              <w:jc w:val="right"/>
            </w:pPr>
            <w:r>
              <w:rPr>
                <w:rFonts w:ascii="仿宋_GB2312" w:hAnsi="仿宋_GB2312" w:cs="仿宋_GB2312" w:eastAsia="仿宋_GB2312"/>
              </w:rPr>
              <w:t>9.0000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技术服务方案.docx</w:t>
            </w:r>
          </w:p>
        </w:tc>
      </w:tr>
      <w:tr>
        <w:tc>
          <w:tcPr>
            <w:tcW w:type="dxa" w:w="831"/>
            <w:vMerge/>
          </w:tcPr>
          <w:p/>
        </w:tc>
        <w:tc>
          <w:tcPr>
            <w:tcW w:type="dxa" w:w="1661"/>
          </w:tcPr>
          <w:p>
            <w:pPr>
              <w:pStyle w:val="null3"/>
            </w:pPr>
            <w:r>
              <w:rPr>
                <w:rFonts w:ascii="仿宋_GB2312" w:hAnsi="仿宋_GB2312" w:cs="仿宋_GB2312" w:eastAsia="仿宋_GB2312"/>
              </w:rPr>
              <w:t>人员配备</w:t>
            </w:r>
          </w:p>
        </w:tc>
        <w:tc>
          <w:tcPr>
            <w:tcW w:type="dxa" w:w="2492"/>
          </w:tcPr>
          <w:p>
            <w:pPr>
              <w:pStyle w:val="null3"/>
            </w:pPr>
            <w:r>
              <w:rPr>
                <w:rFonts w:ascii="仿宋_GB2312" w:hAnsi="仿宋_GB2312" w:cs="仿宋_GB2312" w:eastAsia="仿宋_GB2312"/>
              </w:rPr>
              <w:t>1、拟投入人员（除项目负责人外）配备机电工程专业或建筑工程专业二级及以上注册建造师，并具备有效的建安B证，提供1个得1分，其余不得分（提供人员身份证、注册证、安考证及供应商近半年为其缴纳的单位社保证明，未提供或提供不全不得分）； 2、拟投入人员中配备建安A、C类人员：每提供1个得1分，满分4分（提供人员身份证、安考证及供应商近半年为其缴纳的单位社保证明，未提供或提供不全不得分）。</w:t>
            </w:r>
          </w:p>
        </w:tc>
        <w:tc>
          <w:tcPr>
            <w:tcW w:type="dxa" w:w="831"/>
          </w:tcPr>
          <w:p>
            <w:pPr>
              <w:pStyle w:val="null3"/>
              <w:jc w:val="right"/>
            </w:pPr>
            <w:r>
              <w:rPr>
                <w:rFonts w:ascii="仿宋_GB2312" w:hAnsi="仿宋_GB2312" w:cs="仿宋_GB2312" w:eastAsia="仿宋_GB2312"/>
              </w:rPr>
              <w:t>5.0000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项目管理机构人员表.docx</w:t>
            </w:r>
          </w:p>
          <w:p>
            <w:pPr>
              <w:pStyle w:val="null3"/>
            </w:pPr>
            <w:r>
              <w:rPr>
                <w:rFonts w:ascii="仿宋_GB2312" w:hAnsi="仿宋_GB2312" w:cs="仿宋_GB2312" w:eastAsia="仿宋_GB2312"/>
              </w:rPr>
              <w:t>技术服务方案.docx</w:t>
            </w:r>
          </w:p>
        </w:tc>
      </w:tr>
      <w:tr>
        <w:tc>
          <w:tcPr>
            <w:tcW w:type="dxa" w:w="831"/>
            <w:vMerge/>
          </w:tcPr>
          <w:p/>
        </w:tc>
        <w:tc>
          <w:tcPr>
            <w:tcW w:type="dxa" w:w="1661"/>
          </w:tcPr>
          <w:p>
            <w:pPr>
              <w:pStyle w:val="null3"/>
            </w:pPr>
            <w:r>
              <w:rPr>
                <w:rFonts w:ascii="仿宋_GB2312" w:hAnsi="仿宋_GB2312" w:cs="仿宋_GB2312" w:eastAsia="仿宋_GB2312"/>
              </w:rPr>
              <w:t>售后服务方案</w:t>
            </w:r>
          </w:p>
        </w:tc>
        <w:tc>
          <w:tcPr>
            <w:tcW w:type="dxa" w:w="2492"/>
          </w:tcPr>
          <w:p>
            <w:pPr>
              <w:pStyle w:val="null3"/>
            </w:pPr>
            <w:r>
              <w:rPr>
                <w:rFonts w:ascii="仿宋_GB2312" w:hAnsi="仿宋_GB2312" w:cs="仿宋_GB2312" w:eastAsia="仿宋_GB2312"/>
              </w:rPr>
              <w:t>根据供应商所提供售后服务方案中的售后服务响应时间、人员配置、服务机构、维修技术方案、升级更新方案、保修期后的服务承诺及优惠条件等方面，磋商小组根据响应情况进行赋分。售后服务方案全面完整、合理性强、可行性高且承诺详细、具体，为本项目拟派售后服务人员的，得3-6分；有售后服务方案且承诺，且为本项目拟派售后服务人员的，得0.1-3分；未提供本项不得分。</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技术服务方案.docx</w:t>
            </w:r>
          </w:p>
        </w:tc>
      </w:tr>
      <w:tr>
        <w:tc>
          <w:tcPr>
            <w:tcW w:type="dxa" w:w="831"/>
            <w:vMerge/>
          </w:tcPr>
          <w:p/>
        </w:tc>
        <w:tc>
          <w:tcPr>
            <w:tcW w:type="dxa" w:w="1661"/>
          </w:tcPr>
          <w:p>
            <w:pPr>
              <w:pStyle w:val="null3"/>
            </w:pPr>
            <w:r>
              <w:rPr>
                <w:rFonts w:ascii="仿宋_GB2312" w:hAnsi="仿宋_GB2312" w:cs="仿宋_GB2312" w:eastAsia="仿宋_GB2312"/>
              </w:rPr>
              <w:t>企业类似业绩</w:t>
            </w:r>
          </w:p>
        </w:tc>
        <w:tc>
          <w:tcPr>
            <w:tcW w:type="dxa" w:w="2492"/>
          </w:tcPr>
          <w:p>
            <w:pPr>
              <w:pStyle w:val="null3"/>
            </w:pPr>
            <w:r>
              <w:rPr>
                <w:rFonts w:ascii="仿宋_GB2312" w:hAnsi="仿宋_GB2312" w:cs="仿宋_GB2312" w:eastAsia="仿宋_GB2312"/>
              </w:rPr>
              <w:t>提供供应商2022年10月1日至今类似项目业绩，每项有效业绩得1分，满分5分。 注：业绩认定证明材料需提供项目中标通知书、合同及合格的竣工验收证明资料，日期以合同签订日期为准，未提供或提供不全不得分。</w:t>
            </w:r>
          </w:p>
        </w:tc>
        <w:tc>
          <w:tcPr>
            <w:tcW w:type="dxa" w:w="831"/>
          </w:tcPr>
          <w:p>
            <w:pPr>
              <w:pStyle w:val="null3"/>
              <w:jc w:val="right"/>
            </w:pPr>
            <w:r>
              <w:rPr>
                <w:rFonts w:ascii="仿宋_GB2312" w:hAnsi="仿宋_GB2312" w:cs="仿宋_GB2312" w:eastAsia="仿宋_GB2312"/>
              </w:rPr>
              <w:t>5.0000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供应商类似项目业绩一览表.docx</w:t>
            </w:r>
          </w:p>
        </w:tc>
      </w:tr>
      <w:tr>
        <w:tc>
          <w:tcPr>
            <w:tcW w:type="dxa" w:w="831"/>
          </w:tcPr>
          <w:p>
            <w:pPr>
              <w:pStyle w:val="null3"/>
            </w:pPr>
            <w:r>
              <w:rPr>
                <w:rFonts w:ascii="仿宋_GB2312" w:hAnsi="仿宋_GB2312" w:cs="仿宋_GB2312" w:eastAsia="仿宋_GB2312"/>
              </w:rPr>
              <w:t>价格分</w:t>
            </w:r>
          </w:p>
        </w:tc>
        <w:tc>
          <w:tcPr>
            <w:tcW w:type="dxa" w:w="1661"/>
          </w:tcPr>
          <w:p>
            <w:pPr>
              <w:pStyle w:val="null3"/>
            </w:pPr>
            <w:r>
              <w:rPr>
                <w:rFonts w:ascii="仿宋_GB2312" w:hAnsi="仿宋_GB2312" w:cs="仿宋_GB2312" w:eastAsia="仿宋_GB2312"/>
              </w:rPr>
              <w:t>价格分</w:t>
            </w:r>
          </w:p>
        </w:tc>
        <w:tc>
          <w:tcPr>
            <w:tcW w:type="dxa" w:w="2492"/>
          </w:tcPr>
          <w:p>
            <w:pPr>
              <w:pStyle w:val="null3"/>
            </w:pPr>
            <w:r>
              <w:rPr>
                <w:rFonts w:ascii="仿宋_GB2312" w:hAnsi="仿宋_GB2312" w:cs="仿宋_GB2312" w:eastAsia="仿宋_GB2312"/>
              </w:rPr>
              <w:t>满足磋商文件实质性要求且最终报价最低的供应商的价格为磋商基准价，其价格分为满分30分。 磋商报价得分=（磋商基准价/最终磋商报价）×30的公式计算得分。 磋商报价不完整的，不进入评标标准价的计算，本项得0分。</w:t>
            </w:r>
          </w:p>
        </w:tc>
        <w:tc>
          <w:tcPr>
            <w:tcW w:type="dxa" w:w="831"/>
          </w:tcPr>
          <w:p>
            <w:pPr>
              <w:pStyle w:val="null3"/>
              <w:jc w:val="right"/>
            </w:pPr>
            <w:r>
              <w:rPr>
                <w:rFonts w:ascii="仿宋_GB2312" w:hAnsi="仿宋_GB2312" w:cs="仿宋_GB2312" w:eastAsia="仿宋_GB2312"/>
              </w:rPr>
              <w:t>30.0000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报价函</w:t>
            </w:r>
          </w:p>
          <w:p>
            <w:pPr>
              <w:pStyle w:val="null3"/>
            </w:pPr>
            <w:r>
              <w:rPr>
                <w:rFonts w:ascii="仿宋_GB2312" w:hAnsi="仿宋_GB2312" w:cs="仿宋_GB2312" w:eastAsia="仿宋_GB2312"/>
              </w:rPr>
              <w:t>响应函</w:t>
            </w:r>
          </w:p>
          <w:p>
            <w:pPr>
              <w:pStyle w:val="null3"/>
            </w:pPr>
            <w:r>
              <w:rPr>
                <w:rFonts w:ascii="仿宋_GB2312" w:hAnsi="仿宋_GB2312" w:cs="仿宋_GB2312" w:eastAsia="仿宋_GB2312"/>
              </w:rPr>
              <w:t>标的清单</w:t>
            </w:r>
          </w:p>
        </w:tc>
      </w:tr>
    </w:tbl>
    <w:p>
      <w:pPr>
        <w:pStyle w:val="null3"/>
      </w:pPr>
      <w:r>
        <w:rPr>
          <w:rFonts w:ascii="仿宋_GB2312" w:hAnsi="仿宋_GB2312" w:cs="仿宋_GB2312" w:eastAsia="仿宋_GB2312"/>
        </w:rPr>
        <w:t>价格扣除</w:t>
      </w:r>
    </w:p>
    <w:tbl>
      <w:tblPr>
        <w:tblW w:w="0" w:type="auto"/>
        <w:tblBorders>
          <w:top w:val="single"/>
          <w:left w:val="single"/>
          <w:bottom w:val="single"/>
          <w:right w:val="single"/>
          <w:insideH w:val="single"/>
          <w:insideV w:val="single"/>
        </w:tblBorders>
      </w:tblPr>
      <w:tblGrid>
        <w:gridCol w:w="831"/>
        <w:gridCol w:w="1661"/>
        <w:gridCol w:w="1661"/>
        <w:gridCol w:w="831"/>
        <w:gridCol w:w="1661"/>
        <w:gridCol w:w="1661"/>
      </w:tblGrid>
      <w:tr>
        <w:tc>
          <w:tcPr>
            <w:tcW w:type="dxa" w:w="831"/>
          </w:tcPr>
          <w:p>
            <w:pPr>
              <w:pStyle w:val="null3"/>
            </w:pPr>
            <w:r>
              <w:rPr>
                <w:rFonts w:ascii="仿宋_GB2312" w:hAnsi="仿宋_GB2312" w:cs="仿宋_GB2312" w:eastAsia="仿宋_GB2312"/>
              </w:rPr>
              <w:t xml:space="preserve"> 序号</w:t>
            </w:r>
          </w:p>
        </w:tc>
        <w:tc>
          <w:tcPr>
            <w:tcW w:type="dxa" w:w="1661"/>
          </w:tcPr>
          <w:p>
            <w:pPr>
              <w:pStyle w:val="null3"/>
            </w:pPr>
            <w:r>
              <w:rPr>
                <w:rFonts w:ascii="仿宋_GB2312" w:hAnsi="仿宋_GB2312" w:cs="仿宋_GB2312" w:eastAsia="仿宋_GB2312"/>
              </w:rPr>
              <w:t xml:space="preserve"> 情形</w:t>
            </w:r>
          </w:p>
        </w:tc>
        <w:tc>
          <w:tcPr>
            <w:tcW w:type="dxa" w:w="1661"/>
          </w:tcPr>
          <w:p>
            <w:pPr>
              <w:pStyle w:val="null3"/>
            </w:pPr>
            <w:r>
              <w:rPr>
                <w:rFonts w:ascii="仿宋_GB2312" w:hAnsi="仿宋_GB2312" w:cs="仿宋_GB2312" w:eastAsia="仿宋_GB2312"/>
              </w:rPr>
              <w:t xml:space="preserve"> 适用对象</w:t>
            </w:r>
          </w:p>
        </w:tc>
        <w:tc>
          <w:tcPr>
            <w:tcW w:type="dxa" w:w="831"/>
          </w:tcPr>
          <w:p>
            <w:pPr>
              <w:pStyle w:val="null3"/>
            </w:pPr>
            <w:r>
              <w:rPr>
                <w:rFonts w:ascii="仿宋_GB2312" w:hAnsi="仿宋_GB2312" w:cs="仿宋_GB2312" w:eastAsia="仿宋_GB2312"/>
              </w:rPr>
              <w:t xml:space="preserve"> 比例</w:t>
            </w:r>
          </w:p>
        </w:tc>
        <w:tc>
          <w:tcPr>
            <w:tcW w:type="dxa" w:w="1661"/>
          </w:tcPr>
          <w:p>
            <w:pPr>
              <w:pStyle w:val="null3"/>
            </w:pPr>
            <w:r>
              <w:rPr>
                <w:rFonts w:ascii="仿宋_GB2312" w:hAnsi="仿宋_GB2312" w:cs="仿宋_GB2312" w:eastAsia="仿宋_GB2312"/>
              </w:rPr>
              <w:t xml:space="preserve"> 说明</w:t>
            </w:r>
          </w:p>
        </w:tc>
        <w:tc>
          <w:tcPr>
            <w:tcW w:type="dxa" w:w="1661"/>
          </w:tcPr>
          <w:p>
            <w:pPr>
              <w:pStyle w:val="null3"/>
            </w:pPr>
            <w:r>
              <w:rPr>
                <w:rFonts w:ascii="仿宋_GB2312" w:hAnsi="仿宋_GB2312" w:cs="仿宋_GB2312" w:eastAsia="仿宋_GB2312"/>
              </w:rPr>
              <w:t xml:space="preserve"> 关联格式</w:t>
            </w:r>
          </w:p>
        </w:tc>
      </w:tr>
      <w:tr>
        <w:tc>
          <w:tcPr>
            <w:tcW w:type="dxa" w:w="8306"/>
            <w:gridSpan w:val="6"/>
          </w:tcPr>
          <w:p>
            <w:pPr>
              <w:pStyle w:val="null3"/>
            </w:pPr>
            <w:r>
              <w:rPr>
                <w:rFonts w:ascii="仿宋_GB2312" w:hAnsi="仿宋_GB2312" w:cs="仿宋_GB2312" w:eastAsia="仿宋_GB2312"/>
              </w:rPr>
              <w:t xml:space="preserve"> 无</w:t>
            </w:r>
          </w:p>
        </w:tc>
      </w:tr>
    </w:tbl>
    <w:p>
      <w:pPr>
        <w:pStyle w:val="null3"/>
        <w:outlineLvl w:val="2"/>
      </w:pPr>
      <w:r>
        <w:rPr>
          <w:rFonts w:ascii="仿宋_GB2312" w:hAnsi="仿宋_GB2312" w:cs="仿宋_GB2312" w:eastAsia="仿宋_GB2312"/>
          <w:sz w:val="28"/>
          <w:b/>
        </w:rPr>
        <w:t>6.5确定成交供应商</w:t>
      </w:r>
    </w:p>
    <w:p>
      <w:pPr>
        <w:pStyle w:val="null3"/>
      </w:pPr>
      <w:r>
        <w:rPr>
          <w:rFonts w:ascii="仿宋_GB2312" w:hAnsi="仿宋_GB2312" w:cs="仿宋_GB2312" w:eastAsia="仿宋_GB2312"/>
        </w:rPr>
        <w:t>一、评审结束后，代理机构在评审结束之日起2个工作日内将磋商报告及有关资料送交采购人。</w:t>
      </w:r>
    </w:p>
    <w:p>
      <w:pPr>
        <w:pStyle w:val="null3"/>
      </w:pPr>
      <w:r>
        <w:rPr>
          <w:rFonts w:ascii="仿宋_GB2312" w:hAnsi="仿宋_GB2312" w:cs="仿宋_GB2312" w:eastAsia="仿宋_GB2312"/>
        </w:rPr>
        <w:t>二、采购人在收到磋商报告后5个工作日内，在磋商报告确定的成交候选供应商名单中按顺序确定成交供应商。成交候选供应商并列的，由采购人采取随机抽取的方式确定成交供应商。</w:t>
      </w:r>
    </w:p>
    <w:p>
      <w:pPr>
        <w:pStyle w:val="null3"/>
      </w:pPr>
      <w:r>
        <w:rPr>
          <w:rFonts w:ascii="仿宋_GB2312" w:hAnsi="仿宋_GB2312" w:cs="仿宋_GB2312" w:eastAsia="仿宋_GB2312"/>
        </w:rPr>
        <w:t>三、采购人逾期未确定成交供应商且不提出异议的，视为确定磋商报告提出的排序第一的供应商为成交供应商。</w:t>
      </w:r>
    </w:p>
    <w:p>
      <w:pPr>
        <w:pStyle w:val="null3"/>
      </w:pPr>
      <w:r>
        <w:rPr>
          <w:rFonts w:ascii="仿宋_GB2312" w:hAnsi="仿宋_GB2312" w:cs="仿宋_GB2312" w:eastAsia="仿宋_GB2312"/>
        </w:rPr>
        <w:t>四、根据采购人确定的成交供应商，代理机构在陕西省政府采购网上发布成交结果公告，同时向成交供应商发出成交通知书。</w:t>
      </w:r>
    </w:p>
    <w:p>
      <w:pPr>
        <w:pStyle w:val="null3"/>
        <w:outlineLvl w:val="2"/>
      </w:pPr>
      <w:r>
        <w:rPr>
          <w:rFonts w:ascii="仿宋_GB2312" w:hAnsi="仿宋_GB2312" w:cs="仿宋_GB2312" w:eastAsia="仿宋_GB2312"/>
          <w:sz w:val="28"/>
          <w:b/>
        </w:rPr>
        <w:t>6.6评审专家在政府采购活动中承担以下义务</w:t>
      </w:r>
    </w:p>
    <w:p>
      <w:pPr>
        <w:pStyle w:val="null3"/>
        <w:ind w:firstLine="480"/>
      </w:pPr>
      <w:r>
        <w:rPr>
          <w:rFonts w:ascii="仿宋_GB2312" w:hAnsi="仿宋_GB2312" w:cs="仿宋_GB2312" w:eastAsia="仿宋_GB2312"/>
        </w:rPr>
        <w:t>（一）遵守评审工作纪律；</w:t>
      </w:r>
    </w:p>
    <w:p>
      <w:pPr>
        <w:pStyle w:val="null3"/>
        <w:ind w:firstLine="480"/>
      </w:pPr>
      <w:r>
        <w:rPr>
          <w:rFonts w:ascii="仿宋_GB2312" w:hAnsi="仿宋_GB2312" w:cs="仿宋_GB2312" w:eastAsia="仿宋_GB2312"/>
        </w:rPr>
        <w:t xml:space="preserve"> （二）按照客观、公正、审慎的原则，根据采购文件规定的评审程序、评审方法和评审标准进行独立评审；</w:t>
      </w:r>
    </w:p>
    <w:p>
      <w:pPr>
        <w:pStyle w:val="null3"/>
        <w:ind w:firstLine="480"/>
      </w:pPr>
      <w:r>
        <w:rPr>
          <w:rFonts w:ascii="仿宋_GB2312" w:hAnsi="仿宋_GB2312" w:cs="仿宋_GB2312" w:eastAsia="仿宋_GB2312"/>
        </w:rPr>
        <w:t>（三）不得泄露评审文件、评审情况和在评审过程中获悉的商业秘密；</w:t>
      </w:r>
    </w:p>
    <w:p>
      <w:pPr>
        <w:pStyle w:val="null3"/>
        <w:ind w:firstLine="480"/>
      </w:pPr>
      <w:r>
        <w:rPr>
          <w:rFonts w:ascii="仿宋_GB2312" w:hAnsi="仿宋_GB2312" w:cs="仿宋_GB2312" w:eastAsia="仿宋_GB2312"/>
        </w:rPr>
        <w:t xml:space="preserve"> （四）及时向监督管理部门报告评审过程中的违法违规情况，包括采购组织单位向评审专家作出倾向性、误导性的解释或者说明情况，供应商行贿、提供虚假材料或者串通情况，其他非法干预评审情况等；</w:t>
      </w:r>
    </w:p>
    <w:p>
      <w:pPr>
        <w:pStyle w:val="null3"/>
        <w:ind w:firstLine="480"/>
      </w:pPr>
      <w:r>
        <w:rPr>
          <w:rFonts w:ascii="仿宋_GB2312" w:hAnsi="仿宋_GB2312" w:cs="仿宋_GB2312" w:eastAsia="仿宋_GB2312"/>
        </w:rPr>
        <w:t xml:space="preserve"> （五）发现采购文件内容违反国家有关强制性规定或者存在歧义、重大缺陷导致评审工作无法进行时，停止评审并通过项目电子化交易系统向采购组织单位书面说明情况，说明停止评审的情形和具体理由；</w:t>
      </w:r>
    </w:p>
    <w:p>
      <w:pPr>
        <w:pStyle w:val="null3"/>
        <w:ind w:firstLine="480"/>
      </w:pPr>
      <w:r>
        <w:rPr>
          <w:rFonts w:ascii="仿宋_GB2312" w:hAnsi="仿宋_GB2312" w:cs="仿宋_GB2312" w:eastAsia="仿宋_GB2312"/>
        </w:rPr>
        <w:t>（六）配合答复处理供应商的询问、质疑和投诉等事项；</w:t>
      </w:r>
    </w:p>
    <w:p>
      <w:pPr>
        <w:pStyle w:val="null3"/>
        <w:ind w:firstLine="480"/>
      </w:pPr>
      <w:r>
        <w:rPr>
          <w:rFonts w:ascii="仿宋_GB2312" w:hAnsi="仿宋_GB2312" w:cs="仿宋_GB2312" w:eastAsia="仿宋_GB2312"/>
        </w:rPr>
        <w:t>（七）法律、法规和规章规定的其他义务。</w:t>
      </w:r>
    </w:p>
    <w:p>
      <w:pPr>
        <w:pStyle w:val="null3"/>
        <w:outlineLvl w:val="2"/>
      </w:pPr>
      <w:r>
        <w:rPr>
          <w:rFonts w:ascii="仿宋_GB2312" w:hAnsi="仿宋_GB2312" w:cs="仿宋_GB2312" w:eastAsia="仿宋_GB2312"/>
          <w:sz w:val="28"/>
          <w:b/>
        </w:rPr>
        <w:t xml:space="preserve"> 6.7评审专家在政府采购活动中应当遵守以下工作纪律</w:t>
      </w:r>
    </w:p>
    <w:p>
      <w:pPr>
        <w:pStyle w:val="null3"/>
        <w:ind w:firstLine="480"/>
      </w:pPr>
      <w:r>
        <w:rPr>
          <w:rFonts w:ascii="仿宋_GB2312" w:hAnsi="仿宋_GB2312" w:cs="仿宋_GB2312" w:eastAsia="仿宋_GB2312"/>
        </w:rPr>
        <w:t xml:space="preserve"> （一）遵行《中华人民共和国政府采购法》第十二条和《中华人民共和国政府采购法实施条例》第九条及财政部关于回避的规定。</w:t>
      </w:r>
    </w:p>
    <w:p>
      <w:pPr>
        <w:pStyle w:val="null3"/>
        <w:ind w:firstLine="480"/>
      </w:pPr>
      <w:r>
        <w:rPr>
          <w:rFonts w:ascii="仿宋_GB2312" w:hAnsi="仿宋_GB2312" w:cs="仿宋_GB2312" w:eastAsia="仿宋_GB2312"/>
        </w:rPr>
        <w:t xml:space="preserve"> （二）评审前，应当将通讯工具或者相关电子设备交由采购组织单位统一保管。</w:t>
      </w:r>
    </w:p>
    <w:p>
      <w:pPr>
        <w:pStyle w:val="null3"/>
        <w:ind w:firstLine="480"/>
      </w:pPr>
      <w:r>
        <w:rPr>
          <w:rFonts w:ascii="仿宋_GB2312" w:hAnsi="仿宋_GB2312" w:cs="仿宋_GB2312" w:eastAsia="仿宋_GB2312"/>
        </w:rPr>
        <w:t xml:space="preserve"> （三）评审过程中，不得与外界联系，因发生不可预见情况，确实需要与外界联系的， 应当在监督人员监督之下办理。</w:t>
      </w:r>
    </w:p>
    <w:p>
      <w:pPr>
        <w:pStyle w:val="null3"/>
        <w:ind w:firstLine="480"/>
      </w:pPr>
      <w:r>
        <w:rPr>
          <w:rFonts w:ascii="仿宋_GB2312" w:hAnsi="仿宋_GB2312" w:cs="仿宋_GB2312" w:eastAsia="仿宋_GB2312"/>
        </w:rPr>
        <w:t xml:space="preserve"> （四）评审过程中，不得干预或者影响正常评审工作，不得发表倾向性、引导性意见， 不得修改或细化磋商文件确定的评审程序、评审方法、评审因素和评审标准，不得接受供应商主动提出的澄清和解释，不得征询采购人代表的意见，不得协商评分，不得违反规定的评审格式评分和撰写评审意见，不得拒绝对自己的评审意见签字确认。</w:t>
      </w:r>
    </w:p>
    <w:p>
      <w:pPr>
        <w:pStyle w:val="null3"/>
        <w:ind w:firstLine="480"/>
      </w:pPr>
      <w:r>
        <w:rPr>
          <w:rFonts w:ascii="仿宋_GB2312" w:hAnsi="仿宋_GB2312" w:cs="仿宋_GB2312" w:eastAsia="仿宋_GB2312"/>
        </w:rPr>
        <w:t xml:space="preserve"> （五）在评审过程中和评审结束后，不得记录、复制或带走任何评审资料，不得向外界透露评审内容。</w:t>
      </w:r>
    </w:p>
    <w:p>
      <w:pPr>
        <w:pStyle w:val="null3"/>
        <w:ind w:firstLine="480"/>
      </w:pPr>
      <w:r>
        <w:rPr>
          <w:rFonts w:ascii="仿宋_GB2312" w:hAnsi="仿宋_GB2312" w:cs="仿宋_GB2312" w:eastAsia="仿宋_GB2312"/>
        </w:rPr>
        <w:t xml:space="preserve"> （六）服从评审现场采购组织单位的现场秩序管理，接受评审现场监督人员的合法监督。</w:t>
      </w:r>
    </w:p>
    <w:p>
      <w:pPr>
        <w:pStyle w:val="null3"/>
        <w:ind w:firstLine="480"/>
      </w:pPr>
      <w:r>
        <w:rPr>
          <w:rFonts w:ascii="仿宋_GB2312" w:hAnsi="仿宋_GB2312" w:cs="仿宋_GB2312" w:eastAsia="仿宋_GB2312"/>
        </w:rPr>
        <w:t xml:space="preserve"> （七）遵守有关廉洁自律规定，不得私下接触供应商，不得收受供应商及有关业务单位和个人的财物或好处，不得接受采购组织单位的请托。</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第七章 响应文件格式</w:t>
      </w:r>
    </w:p>
    <w:p>
      <w:pPr>
        <w:pStyle w:val="null3"/>
        <w:ind w:firstLine="480"/>
      </w:pPr>
      <w:r>
        <w:rPr>
          <w:rFonts w:ascii="仿宋_GB2312" w:hAnsi="仿宋_GB2312" w:cs="仿宋_GB2312" w:eastAsia="仿宋_GB2312"/>
        </w:rPr>
        <w:t>一、本章所制响应文件格式，除格式中明确将该格式作为实质性要求的，不具有强制性。</w:t>
      </w:r>
    </w:p>
    <w:p>
      <w:pPr>
        <w:pStyle w:val="null3"/>
        <w:ind w:firstLine="480"/>
      </w:pPr>
      <w:r>
        <w:rPr>
          <w:rFonts w:ascii="仿宋_GB2312" w:hAnsi="仿宋_GB2312" w:cs="仿宋_GB2312" w:eastAsia="仿宋_GB2312"/>
        </w:rPr>
        <w:t>二、本章所制响应文件格式有关表格中的备注栏，由供应商根据自身响应情况作解释性说明，不作为必填项。</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分册名称：投标响应文件分册</w:t>
      </w:r>
    </w:p>
    <w:p>
      <w:pPr>
        <w:pStyle w:val="null3"/>
        <w:ind w:firstLine="960"/>
      </w:pPr>
      <w:r>
        <w:rPr>
          <w:rFonts w:ascii="仿宋_GB2312" w:hAnsi="仿宋_GB2312" w:cs="仿宋_GB2312" w:eastAsia="仿宋_GB2312"/>
        </w:rPr>
        <w:t>详见附件：响应文件封面</w:t>
      </w:r>
    </w:p>
    <w:p>
      <w:pPr>
        <w:pStyle w:val="null3"/>
        <w:ind w:firstLine="960"/>
      </w:pPr>
      <w:r>
        <w:rPr>
          <w:rFonts w:ascii="仿宋_GB2312" w:hAnsi="仿宋_GB2312" w:cs="仿宋_GB2312" w:eastAsia="仿宋_GB2312"/>
        </w:rPr>
        <w:t>详见附件：响应函</w:t>
      </w:r>
    </w:p>
    <w:p>
      <w:pPr>
        <w:pStyle w:val="null3"/>
        <w:ind w:firstLine="960"/>
      </w:pPr>
      <w:r>
        <w:rPr>
          <w:rFonts w:ascii="仿宋_GB2312" w:hAnsi="仿宋_GB2312" w:cs="仿宋_GB2312" w:eastAsia="仿宋_GB2312"/>
        </w:rPr>
        <w:t>详见附件：报价函</w:t>
      </w:r>
    </w:p>
    <w:p>
      <w:pPr>
        <w:pStyle w:val="null3"/>
        <w:ind w:firstLine="960"/>
      </w:pPr>
      <w:r>
        <w:rPr>
          <w:rFonts w:ascii="仿宋_GB2312" w:hAnsi="仿宋_GB2312" w:cs="仿宋_GB2312" w:eastAsia="仿宋_GB2312"/>
        </w:rPr>
        <w:t>详见附件：中小企业声明函</w:t>
      </w:r>
    </w:p>
    <w:p>
      <w:pPr>
        <w:pStyle w:val="null3"/>
        <w:ind w:firstLine="960"/>
      </w:pPr>
      <w:r>
        <w:rPr>
          <w:rFonts w:ascii="仿宋_GB2312" w:hAnsi="仿宋_GB2312" w:cs="仿宋_GB2312" w:eastAsia="仿宋_GB2312"/>
        </w:rPr>
        <w:t>详见附件：残疾人福利性单位声明函</w:t>
      </w:r>
    </w:p>
    <w:p>
      <w:pPr>
        <w:pStyle w:val="null3"/>
        <w:ind w:firstLine="960"/>
      </w:pPr>
      <w:r>
        <w:rPr>
          <w:rFonts w:ascii="仿宋_GB2312" w:hAnsi="仿宋_GB2312" w:cs="仿宋_GB2312" w:eastAsia="仿宋_GB2312"/>
        </w:rPr>
        <w:t>详见附件：监狱企业的证明文件</w:t>
      </w:r>
    </w:p>
    <w:p>
      <w:pPr>
        <w:pStyle w:val="null3"/>
        <w:ind w:firstLine="960"/>
      </w:pPr>
      <w:r>
        <w:rPr>
          <w:rFonts w:ascii="仿宋_GB2312" w:hAnsi="仿宋_GB2312" w:cs="仿宋_GB2312" w:eastAsia="仿宋_GB2312"/>
        </w:rPr>
        <w:t>详见附件：标的清单</w:t>
      </w:r>
    </w:p>
    <w:p>
      <w:pPr>
        <w:pStyle w:val="null3"/>
        <w:ind w:firstLine="960"/>
      </w:pPr>
      <w:r>
        <w:rPr>
          <w:rFonts w:ascii="仿宋_GB2312" w:hAnsi="仿宋_GB2312" w:cs="仿宋_GB2312" w:eastAsia="仿宋_GB2312"/>
        </w:rPr>
        <w:t>详见附件：分项报价表.xlsx</w:t>
      </w:r>
    </w:p>
    <w:p>
      <w:pPr>
        <w:pStyle w:val="null3"/>
        <w:ind w:firstLine="960"/>
      </w:pPr>
      <w:r>
        <w:rPr>
          <w:rFonts w:ascii="仿宋_GB2312" w:hAnsi="仿宋_GB2312" w:cs="仿宋_GB2312" w:eastAsia="仿宋_GB2312"/>
        </w:rPr>
        <w:t>详见附件：供应商类似项目业绩一览表.docx</w:t>
      </w:r>
    </w:p>
    <w:p>
      <w:pPr>
        <w:pStyle w:val="null3"/>
        <w:ind w:firstLine="960"/>
      </w:pPr>
      <w:r>
        <w:rPr>
          <w:rFonts w:ascii="仿宋_GB2312" w:hAnsi="仿宋_GB2312" w:cs="仿宋_GB2312" w:eastAsia="仿宋_GB2312"/>
        </w:rPr>
        <w:t>详见附件：供应商应提交的相关资格证明材料.docx</w:t>
      </w:r>
    </w:p>
    <w:p>
      <w:pPr>
        <w:pStyle w:val="null3"/>
        <w:ind w:firstLine="960"/>
      </w:pPr>
      <w:r>
        <w:rPr>
          <w:rFonts w:ascii="仿宋_GB2312" w:hAnsi="仿宋_GB2312" w:cs="仿宋_GB2312" w:eastAsia="仿宋_GB2312"/>
        </w:rPr>
        <w:t>详见附件：技术参数.docx</w:t>
      </w:r>
    </w:p>
    <w:p>
      <w:pPr>
        <w:pStyle w:val="null3"/>
        <w:ind w:firstLine="960"/>
      </w:pPr>
      <w:r>
        <w:rPr>
          <w:rFonts w:ascii="仿宋_GB2312" w:hAnsi="仿宋_GB2312" w:cs="仿宋_GB2312" w:eastAsia="仿宋_GB2312"/>
        </w:rPr>
        <w:t>详见附件：技术服务方案.docx</w:t>
      </w:r>
    </w:p>
    <w:p>
      <w:pPr>
        <w:pStyle w:val="null3"/>
        <w:ind w:firstLine="960"/>
      </w:pPr>
      <w:r>
        <w:rPr>
          <w:rFonts w:ascii="仿宋_GB2312" w:hAnsi="仿宋_GB2312" w:cs="仿宋_GB2312" w:eastAsia="仿宋_GB2312"/>
        </w:rPr>
        <w:t>详见附件：项目管理机构人员表.docx</w:t>
      </w:r>
    </w:p>
    <w:p>
      <w:pPr>
        <w:pStyle w:val="null3"/>
        <w:ind w:firstLine="960"/>
      </w:pPr>
      <w:r>
        <w:rPr>
          <w:rFonts w:ascii="仿宋_GB2312" w:hAnsi="仿宋_GB2312" w:cs="仿宋_GB2312" w:eastAsia="仿宋_GB2312"/>
        </w:rPr>
        <w:t>详见附件：陕西省政府采购投标人拒绝政府采购领域商业贿赂承诺书.pdf</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第八章 拟签订采购合同文本</w:t>
      </w:r>
    </w:p>
    <w:p>
      <w:pPr>
        <w:pStyle w:val="null3"/>
      </w:pPr>
      <w:r>
        <w:rPr>
          <w:rFonts w:ascii="仿宋_GB2312" w:hAnsi="仿宋_GB2312" w:cs="仿宋_GB2312" w:eastAsia="仿宋_GB2312"/>
        </w:rPr>
        <w:t>详见附件：拟签订合同范本.docx</w:t>
      </w:r>
    </w:p>
    <w:p>
      <w:pPr>
        <w:pStyle w:val="null3"/>
      </w:pPr>
      <w:r>
        <w:rPr>
          <w:rFonts w:ascii="仿宋_GB2312" w:hAnsi="仿宋_GB2312" w:cs="仿宋_GB2312" w:eastAsia="仿宋_GB2312"/>
        </w:rPr>
        <w:t xml:space="preserve"> </w:t>
        <w:br/>
        <w:br w:type="page"/>
      </w:r>
    </w:p>
    <w:p>
      <w:pPr>
        <w:pStyle w:val="null3"/>
        <w:rPr>
          <w:rFonts w:hint="eastAsia"/>
          <w:lang w:val="en-US" w:eastAsia="zh-Hans"/>
        </w:rPr>
      </w:pPr>
      <w:r>
        <w:rPr>
          <w:rFonts w:hint="eastAsia"/>
          <w:lang w:val="en-US" w:eastAsia="zh-Hans"/>
        </w:rPr>
        <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panose1 w:val="02000000000000000000"/>
    <w:charset w:val="86"/>
    <w:family w:val="auto"/>
    <w:pitch w:val="default"/>
    <w:sig w:usb0="A00002BF" w:usb1="38CF7CFA" w:usb2="00082016" w:usb3="00000000" w:csb0="00040001" w:csb1="00000000"/>
  </w:font>
  <w:font w:name="方正黑体_GBK">
    <w:altName w:val="苹方-简"/>
    <w:panose1 w:val="02000000000000000000"/>
    <w:charset w:val="00"/>
    <w:family w:val="auto"/>
    <w:pitch w:val="default"/>
    <w:sig w:usb0="00000001" w:usb1="08000000" w:usb2="00000000" w:usb3="00000000" w:csb0="00040000" w:csb1="00000000"/>
  </w:font>
  <w:font w:name="Cambria">
    <w:altName w:val="苹方-简"/>
    <w:panose1 w:val="02040503050406030204"/>
    <w:charset w:val="00"/>
    <w:family w:val="roman"/>
    <w:pitch w:val="default"/>
    <w:sig w:usb0="00000000" w:usb1="00000000" w:usb2="00000000" w:usb3="00000000" w:csb0="0000019F"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s>
</file>

<file path=word/numbering.xml><?xml version="1.0" encoding="utf-8"?>
<w:numbering xmlns:w="http://schemas.openxmlformats.org/wordprocessingml/2006/main">
  <w:abstractNum w:abstractNumId="0">
    <w:multiLevelType w:val="hybridMultilevel"/>
    <w:lvl w:ilvl="0">
      <w:start w:val="1"/>
      <w:numFmt w:val="bullet"/>
      <w:lvlText w:val=""/>
      <w:lvlJc w:val="left"/>
      <w:pPr>
        <w:ind w:left="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5"/>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3B52B8D"/>
    <w:rsid w:val="177F50ED"/>
    <w:rsid w:val="53B52B8D"/>
    <w:rsid w:val="77F79321"/>
    <w:rsid w:val="BBBF7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pPrDefault>
      <w:pPr/>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customStyle="true" w:type="paragraph" w:styleId="null3">
    <w:name w:val="null3"/>
    <w:hidden/>
    <w:rPr>
      <w:rFonts w:hint="eastAsia"/>
      <w:lang w:val="en-US" w:eastAsia="zh-Hans"/>
    </w:rPr>
  </w:style>
</w:styles>
</file>

<file path=word/_rels/document.xml.rels><?xml version="1.0" encoding="UTF-8" standalone="yes"?><Relationships xmlns="http://schemas.openxmlformats.org/package/2006/relationships"><Relationship Id="rId1" Target="styles.xml" Type="http://schemas.openxmlformats.org/officeDocument/2006/relationships/styles"/><Relationship Id="rId10" Target="media/image5.png" Type="http://schemas.openxmlformats.org/officeDocument/2006/relationships/image"/><Relationship Id="rId11" Target="numbering.xml" Type="http://schemas.openxmlformats.org/officeDocument/2006/relationships/numbering"/><Relationship Id="rId2" Target="settings.xml" Type="http://schemas.openxmlformats.org/officeDocument/2006/relationships/settings"/><Relationship Id="rId3" Target="theme/theme1.xml" Type="http://schemas.openxmlformats.org/officeDocument/2006/relationships/theme"/><Relationship Id="rId4" Target="../customXml/item1.xml" Type="http://schemas.openxmlformats.org/officeDocument/2006/relationships/customXml"/><Relationship Id="rId5" Target="fontTable.xml" Type="http://schemas.openxmlformats.org/officeDocument/2006/relationships/fontTable"/><Relationship Id="rId6" Target="media/image1.png" Type="http://schemas.openxmlformats.org/officeDocument/2006/relationships/image"/><Relationship Id="rId7" Target="media/image2.png" Type="http://schemas.openxmlformats.org/officeDocument/2006/relationships/image"/><Relationship Id="rId8" Target="media/image3.png" Type="http://schemas.openxmlformats.org/officeDocument/2006/relationships/image"/><Relationship Id="rId9" Target="media/image4.png" Type="http://schemas.openxmlformats.org/officeDocument/2006/relationships/image"/></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arget="itemProps1.xml" Type="http://schemas.openxmlformats.org/officeDocument/2006/relationships/customXmlProps"/></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Office_3.9.3.6359_F1E327BC-269C-435d-A152-05C5408002CA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2022-04-08T19:57:00Z</dcterms:created>
  <dc:creator>陕西省政府采购综合管理平台</dc:creator>
  <dcterms:modified xsi:type="dcterms:W3CDTF">2022-04-27T17:40:01Z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2052-3.9.3.6359</vt:lpwstr>
  </property>
</Properties>
</file>