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版本号：SXWZ2025ZB-XBZF-22720251009001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长安校区锅炉维保运营项目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SXWZ2025ZB-XBZF-227</w:t>
      </w:r>
      <w:r>
        <w:br/>
      </w:r>
      <w:r>
        <w:br/>
      </w:r>
      <w:r>
        <w:br/>
      </w:r>
    </w:p>
    <w:p>
      <w:pPr>
        <w:pStyle w:val="null3"/>
        <w:jc w:val="center"/>
        <w:outlineLvl w:val="2"/>
      </w:pPr>
      <w:r>
        <w:rPr>
          <w:rFonts w:ascii="仿宋_GB2312" w:hAnsi="仿宋_GB2312" w:cs="仿宋_GB2312" w:eastAsia="仿宋_GB2312"/>
          <w:sz w:val="28"/>
          <w:b/>
        </w:rPr>
        <w:t>西北政法大学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长安校区锅炉维保运营项目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SXWZ2025ZB-XBZF-227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长安校区锅炉维保运营项目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西北政法大学长安校区锅炉维保运营项目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采购包1（西北政法大学长安校区锅炉维保运营项目）：属于专门面向中小企业采购。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2、财务状况证明：提供经会计师事务所审计的2024年度财务审计报告，或在开标日期前六个月内其基本开户银行出具的资信证明</w:t>
      </w:r>
    </w:p>
    <w:p>
      <w:pPr>
        <w:pStyle w:val="null3"/>
      </w:pPr>
      <w:r>
        <w:rPr>
          <w:rFonts w:ascii="仿宋_GB2312" w:hAnsi="仿宋_GB2312" w:cs="仿宋_GB2312" w:eastAsia="仿宋_GB2312"/>
        </w:rPr>
        <w:t>3、税收缴纳证明：提供2024年9月以来至少一个月的纳税证明或完税证明；依法免税的单位应提供相关证明材料（以税款所属日期为准）</w:t>
      </w:r>
    </w:p>
    <w:p>
      <w:pPr>
        <w:pStyle w:val="null3"/>
      </w:pPr>
      <w:r>
        <w:rPr>
          <w:rFonts w:ascii="仿宋_GB2312" w:hAnsi="仿宋_GB2312" w:cs="仿宋_GB2312" w:eastAsia="仿宋_GB2312"/>
        </w:rPr>
        <w:t>4、社会保障资金缴纳证明：提供2024年9月以来任意一个月的社会保障资金缴存单据或社保机构开具的社会保险参保缴费情况证明。依法不需要缴纳社会保障资金的供应商应提供相关文件证明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5、法定代表人授权书：非法定代表人参加投标的，须提供法定代表人委托授权书及被授权人身份证，法定代表人参加投标时,须提供法定代表人身份证。</w:t>
      </w:r>
    </w:p>
    <w:p>
      <w:pPr>
        <w:pStyle w:val="null3"/>
      </w:pPr>
      <w:r>
        <w:rPr>
          <w:rFonts w:ascii="仿宋_GB2312" w:hAnsi="仿宋_GB2312" w:cs="仿宋_GB2312" w:eastAsia="仿宋_GB2312"/>
        </w:rPr>
        <w:t>6、参加政府采购活动前3年内在经营活动中没有重大违法记录的书面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7、特殊资格要求：供应商须具有《中华人民共和国特种设备安装改造维修许可证》（锅炉安装、改造三级及以上）资质或《中华人民共和国特种设备生产许可证》锅炉安装（含修理、改造）B级（含）以上资质</w:t>
      </w:r>
    </w:p>
    <w:p>
      <w:pPr>
        <w:pStyle w:val="null3"/>
      </w:pPr>
      <w:r>
        <w:rPr>
          <w:rFonts w:ascii="仿宋_GB2312" w:hAnsi="仿宋_GB2312" w:cs="仿宋_GB2312" w:eastAsia="仿宋_GB2312"/>
        </w:rPr>
        <w:t>8、中小企业声明函：提供中小企业声明函（本项目为专门面向中小微企业采购）。</w:t>
      </w:r>
    </w:p>
    <w:p>
      <w:pPr>
        <w:pStyle w:val="null3"/>
      </w:pPr>
      <w:r>
        <w:rPr>
          <w:rFonts w:ascii="仿宋_GB2312" w:hAnsi="仿宋_GB2312" w:cs="仿宋_GB2312" w:eastAsia="仿宋_GB2312"/>
        </w:rPr>
        <w:t>9、本项目是否接受联合体磋商：本项目不接受联合体磋商，提供非联合体磋商声明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西安市长安区西长安街558号西北政法大学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029-88182569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踏勘时间：2025-10-16 09:30:00</w:t>
            </w:r>
          </w:p>
          <w:p>
            <w:pPr>
              <w:pStyle w:val="null3"/>
              <w:ind w:firstLine="975"/>
            </w:pPr>
            <w:r>
              <w:rPr>
                <w:rFonts w:ascii="仿宋_GB2312" w:hAnsi="仿宋_GB2312" w:cs="仿宋_GB2312" w:eastAsia="仿宋_GB2312"/>
              </w:rPr>
              <w:t>踏勘地点：西北政法大学长安校区</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联系电话号码：029-88182569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西北政法大学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依据为合同文本、采购文件、响应文件以及现行的国家标准或国家行政部门颁布的法律法规、规 章制度等。没有国家标准的，可以参考行业标准。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招标二部 崔方明 刘嘉辉 陈晓航 许芳芳</w:t>
      </w:r>
    </w:p>
    <w:p>
      <w:pPr>
        <w:pStyle w:val="null3"/>
      </w:pPr>
      <w:r>
        <w:rPr>
          <w:rFonts w:ascii="仿宋_GB2312" w:hAnsi="仿宋_GB2312" w:cs="仿宋_GB2312" w:eastAsia="仿宋_GB2312"/>
        </w:rPr>
        <w:t>联系电话： 029-88319689-8004</w:t>
      </w:r>
    </w:p>
    <w:p>
      <w:pPr>
        <w:pStyle w:val="null3"/>
      </w:pPr>
      <w:r>
        <w:rPr>
          <w:rFonts w:ascii="仿宋_GB2312" w:hAnsi="仿宋_GB2312" w:cs="仿宋_GB2312" w:eastAsia="仿宋_GB2312"/>
        </w:rPr>
        <w:t>地址：陕西省西安市高新区唐延路旺座现代城C座2502室</w:t>
      </w:r>
    </w:p>
    <w:p>
      <w:pPr>
        <w:pStyle w:val="null3"/>
      </w:pPr>
      <w:r>
        <w:rPr>
          <w:rFonts w:ascii="仿宋_GB2312" w:hAnsi="仿宋_GB2312" w:cs="仿宋_GB2312" w:eastAsia="仿宋_GB2312"/>
        </w:rPr>
        <w:t>邮编： 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西北政法大学长安校区锅炉维保运营项目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西北政法大学长安校区锅炉维保运营项目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标的名称：西北政法大学长安校区锅炉维保运营项目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一、基本信息</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.项目名称：长安校区锅炉维保运营项目</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服务期：</w:t>
            </w:r>
            <w:r>
              <w:rPr>
                <w:rFonts w:ascii="仿宋_GB2312" w:hAnsi="仿宋_GB2312" w:cs="仿宋_GB2312" w:eastAsia="仿宋_GB2312"/>
                <w:sz w:val="21"/>
              </w:rPr>
              <w:t>每次服务期限壹年；本合同须在签订之日起壹年内完成当年全部服务项目，由供应商负责配合国家相关机构检查抽检，服务期结束后</w:t>
            </w:r>
            <w:r>
              <w:rPr>
                <w:rFonts w:ascii="仿宋_GB2312" w:hAnsi="仿宋_GB2312" w:cs="仿宋_GB2312" w:eastAsia="仿宋_GB2312"/>
                <w:sz w:val="21"/>
              </w:rPr>
              <w:t>根据服务质量</w:t>
            </w:r>
            <w:r>
              <w:rPr>
                <w:rFonts w:ascii="仿宋_GB2312" w:hAnsi="仿宋_GB2312" w:cs="仿宋_GB2312" w:eastAsia="仿宋_GB2312"/>
                <w:sz w:val="21"/>
              </w:rPr>
              <w:t>及后续改造方案决定是否</w:t>
            </w:r>
            <w:r>
              <w:rPr>
                <w:rFonts w:ascii="仿宋_GB2312" w:hAnsi="仿宋_GB2312" w:cs="仿宋_GB2312" w:eastAsia="仿宋_GB2312"/>
                <w:sz w:val="21"/>
              </w:rPr>
              <w:t>续签</w:t>
            </w:r>
            <w:r>
              <w:rPr>
                <w:rFonts w:ascii="仿宋_GB2312" w:hAnsi="仿宋_GB2312" w:cs="仿宋_GB2312" w:eastAsia="仿宋_GB2312"/>
                <w:sz w:val="21"/>
              </w:rPr>
              <w:t>一次</w:t>
            </w:r>
            <w:r>
              <w:rPr>
                <w:rFonts w:ascii="仿宋_GB2312" w:hAnsi="仿宋_GB2312" w:cs="仿宋_GB2312" w:eastAsia="仿宋_GB2312"/>
                <w:sz w:val="21"/>
              </w:rPr>
              <w:t>，最多</w:t>
            </w:r>
            <w:r>
              <w:rPr>
                <w:rFonts w:ascii="仿宋_GB2312" w:hAnsi="仿宋_GB2312" w:cs="仿宋_GB2312" w:eastAsia="仿宋_GB2312"/>
                <w:sz w:val="21"/>
              </w:rPr>
              <w:t>续签</w:t>
            </w:r>
            <w:r>
              <w:rPr>
                <w:rFonts w:ascii="仿宋_GB2312" w:hAnsi="仿宋_GB2312" w:cs="仿宋_GB2312" w:eastAsia="仿宋_GB2312"/>
                <w:sz w:val="21"/>
              </w:rPr>
              <w:t>两</w:t>
            </w:r>
            <w:r>
              <w:rPr>
                <w:rFonts w:ascii="仿宋_GB2312" w:hAnsi="仿宋_GB2312" w:cs="仿宋_GB2312" w:eastAsia="仿宋_GB2312"/>
                <w:sz w:val="21"/>
              </w:rPr>
              <w:t>次。</w:t>
            </w:r>
          </w:p>
          <w:p>
            <w:pPr>
              <w:pStyle w:val="null3"/>
              <w:ind w:firstLine="480"/>
              <w:jc w:val="both"/>
            </w:pPr>
            <w:r>
              <w:rPr>
                <w:rFonts w:ascii="仿宋_GB2312" w:hAnsi="仿宋_GB2312" w:cs="仿宋_GB2312" w:eastAsia="仿宋_GB2312"/>
                <w:sz w:val="21"/>
                <w:color w:val="000000"/>
              </w:rPr>
              <w:t>3.服务地点：西北政法大学指定地点；</w:t>
            </w:r>
          </w:p>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rPr>
              <w:t>采购限价：</w:t>
            </w:r>
            <w:r>
              <w:rPr>
                <w:rFonts w:ascii="仿宋_GB2312" w:hAnsi="仿宋_GB2312" w:cs="仿宋_GB2312" w:eastAsia="仿宋_GB2312"/>
                <w:sz w:val="21"/>
              </w:rPr>
              <w:t>50万元/年</w:t>
            </w:r>
          </w:p>
          <w:p>
            <w:pPr>
              <w:pStyle w:val="null3"/>
              <w:ind w:firstLine="480"/>
              <w:jc w:val="both"/>
            </w:pPr>
            <w:r>
              <w:rPr>
                <w:rFonts w:ascii="仿宋_GB2312" w:hAnsi="仿宋_GB2312" w:cs="仿宋_GB2312" w:eastAsia="仿宋_GB2312"/>
                <w:sz w:val="21"/>
                <w:color w:val="000000"/>
              </w:rPr>
              <w:t>5.项目概况：</w:t>
            </w:r>
          </w:p>
          <w:p>
            <w:pPr>
              <w:pStyle w:val="null3"/>
              <w:ind w:firstLine="480"/>
              <w:jc w:val="both"/>
            </w:pPr>
            <w:r>
              <w:rPr>
                <w:rFonts w:ascii="仿宋_GB2312" w:hAnsi="仿宋_GB2312" w:cs="仿宋_GB2312" w:eastAsia="仿宋_GB2312"/>
                <w:sz w:val="21"/>
              </w:rPr>
              <w:t>西北政法大学长安校区东、西锅炉房现有六台浙江特富锅炉，其中东锅炉房内安装</w:t>
            </w:r>
            <w:r>
              <w:rPr>
                <w:rFonts w:ascii="仿宋_GB2312" w:hAnsi="仿宋_GB2312" w:cs="仿宋_GB2312" w:eastAsia="仿宋_GB2312"/>
                <w:sz w:val="21"/>
              </w:rPr>
              <w:t>2台15T燃气热水锅炉（WNS10.5-1.0/95/70-Q），西锅炉房内安装2台15T燃气热水锅炉（WNS10.5-1.0/95/70-Q）和2台6T燃气蒸汽锅炉(WNS6-1.25-Q)。2014年11月投运，2018年9月对6台锅炉全部进行低氮改造。</w:t>
            </w:r>
          </w:p>
          <w:tbl>
            <w:tblPr>
              <w:tblBorders>
                <w:top w:val="none" w:color="000000" w:sz="4"/>
                <w:left w:val="none" w:color="000000" w:sz="4"/>
                <w:bottom w:val="none" w:color="000000" w:sz="4"/>
                <w:right w:val="none" w:color="000000" w:sz="4"/>
                <w:insideH w:val="none"/>
                <w:insideV w:val="none"/>
              </w:tblBorders>
            </w:tblPr>
            <w:tblGrid>
              <w:gridCol w:w="186"/>
              <w:gridCol w:w="669"/>
              <w:gridCol w:w="568"/>
              <w:gridCol w:w="242"/>
              <w:gridCol w:w="202"/>
              <w:gridCol w:w="484"/>
              <w:gridCol w:w="202"/>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锅炉本体品牌及型号</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燃烧机品牌及型号</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出力</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用途</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供暖区域及面积</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特富</w:t>
                  </w:r>
                </w:p>
                <w:p>
                  <w:pPr>
                    <w:pStyle w:val="null3"/>
                    <w:jc w:val="center"/>
                  </w:pPr>
                  <w:r>
                    <w:rPr>
                      <w:rFonts w:ascii="仿宋_GB2312" w:hAnsi="仿宋_GB2312" w:cs="仿宋_GB2312" w:eastAsia="仿宋_GB2312"/>
                      <w:sz w:val="21"/>
                    </w:rPr>
                    <w:t>WNS10.5-1.0/95/70-Q</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布洛姆燃烧器</w:t>
                  </w:r>
                </w:p>
                <w:p>
                  <w:pPr>
                    <w:pStyle w:val="null3"/>
                    <w:jc w:val="center"/>
                  </w:pPr>
                  <w:r>
                    <w:rPr>
                      <w:rFonts w:ascii="仿宋_GB2312" w:hAnsi="仿宋_GB2312" w:cs="仿宋_GB2312" w:eastAsia="仿宋_GB2312"/>
                      <w:sz w:val="21"/>
                      <w:color w:val="000000"/>
                    </w:rPr>
                    <w:t>1530-037F型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15t/h</w:t>
                  </w:r>
                </w:p>
                <w:p>
                  <w:pPr>
                    <w:pStyle w:val="null3"/>
                    <w:jc w:val="center"/>
                  </w:pPr>
                  <w:r>
                    <w:rPr>
                      <w:rFonts w:ascii="仿宋_GB2312" w:hAnsi="仿宋_GB2312" w:cs="仿宋_GB2312" w:eastAsia="仿宋_GB2312"/>
                      <w:sz w:val="21"/>
                      <w:color w:val="000000"/>
                    </w:rPr>
                    <w:t>热水</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供暖</w:t>
                  </w:r>
                </w:p>
              </w:tc>
              <w:tc>
                <w:tcPr>
                  <w:tcW w:type="dxa" w:w="4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教学楼、办公楼、图书馆，供暖面积约为</w:t>
                  </w:r>
                  <w:r>
                    <w:rPr>
                      <w:rFonts w:ascii="仿宋_GB2312" w:hAnsi="仿宋_GB2312" w:cs="仿宋_GB2312" w:eastAsia="仿宋_GB2312"/>
                      <w:sz w:val="21"/>
                      <w:color w:val="000000"/>
                    </w:rPr>
                    <w:t>10万m</w:t>
                  </w:r>
                  <w:r>
                    <w:rPr>
                      <w:rFonts w:ascii="仿宋_GB2312" w:hAnsi="仿宋_GB2312" w:cs="仿宋_GB2312" w:eastAsia="仿宋_GB2312"/>
                      <w:sz w:val="21"/>
                      <w:color w:val="000000"/>
                      <w:vertAlign w:val="superscript"/>
                    </w:rPr>
                    <w:t>2</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东</w:t>
                  </w:r>
                  <w:r>
                    <w:rPr>
                      <w:rFonts w:ascii="仿宋_GB2312" w:hAnsi="仿宋_GB2312" w:cs="仿宋_GB2312" w:eastAsia="仿宋_GB2312"/>
                      <w:sz w:val="21"/>
                    </w:rPr>
                    <w:t>锅炉房</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特富</w:t>
                  </w:r>
                </w:p>
                <w:p>
                  <w:pPr>
                    <w:pStyle w:val="null3"/>
                    <w:jc w:val="center"/>
                  </w:pPr>
                  <w:r>
                    <w:rPr>
                      <w:rFonts w:ascii="仿宋_GB2312" w:hAnsi="仿宋_GB2312" w:cs="仿宋_GB2312" w:eastAsia="仿宋_GB2312"/>
                      <w:sz w:val="21"/>
                    </w:rPr>
                    <w:t>WNS10.5-1.0/95/70-Q</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布洛姆燃烧器</w:t>
                  </w:r>
                </w:p>
                <w:p>
                  <w:pPr>
                    <w:pStyle w:val="null3"/>
                    <w:jc w:val="center"/>
                  </w:pPr>
                  <w:r>
                    <w:rPr>
                      <w:rFonts w:ascii="仿宋_GB2312" w:hAnsi="仿宋_GB2312" w:cs="仿宋_GB2312" w:eastAsia="仿宋_GB2312"/>
                      <w:sz w:val="21"/>
                      <w:color w:val="000000"/>
                    </w:rPr>
                    <w:t>1530-037F型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15t/h</w:t>
                  </w:r>
                </w:p>
                <w:p>
                  <w:pPr>
                    <w:pStyle w:val="null3"/>
                    <w:jc w:val="center"/>
                  </w:pPr>
                  <w:r>
                    <w:rPr>
                      <w:rFonts w:ascii="仿宋_GB2312" w:hAnsi="仿宋_GB2312" w:cs="仿宋_GB2312" w:eastAsia="仿宋_GB2312"/>
                      <w:sz w:val="21"/>
                      <w:color w:val="000000"/>
                    </w:rPr>
                    <w:t>热水</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供暖</w:t>
                  </w:r>
                </w:p>
              </w:tc>
              <w:tc>
                <w:tcPr>
                  <w:tcW w:type="dxa" w:w="484"/>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特富</w:t>
                  </w:r>
                </w:p>
                <w:p>
                  <w:pPr>
                    <w:pStyle w:val="null3"/>
                    <w:jc w:val="center"/>
                  </w:pPr>
                  <w:r>
                    <w:rPr>
                      <w:rFonts w:ascii="仿宋_GB2312" w:hAnsi="仿宋_GB2312" w:cs="仿宋_GB2312" w:eastAsia="仿宋_GB2312"/>
                      <w:sz w:val="21"/>
                    </w:rPr>
                    <w:t>WNS10.5-1.0/95/70-Q</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布洛姆燃烧器</w:t>
                  </w:r>
                </w:p>
                <w:p>
                  <w:pPr>
                    <w:pStyle w:val="null3"/>
                    <w:jc w:val="center"/>
                  </w:pPr>
                  <w:r>
                    <w:rPr>
                      <w:rFonts w:ascii="仿宋_GB2312" w:hAnsi="仿宋_GB2312" w:cs="仿宋_GB2312" w:eastAsia="仿宋_GB2312"/>
                      <w:sz w:val="21"/>
                      <w:color w:val="000000"/>
                    </w:rPr>
                    <w:t>1530-037F型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15t/h</w:t>
                  </w:r>
                </w:p>
                <w:p>
                  <w:pPr>
                    <w:pStyle w:val="null3"/>
                    <w:jc w:val="center"/>
                  </w:pPr>
                  <w:r>
                    <w:rPr>
                      <w:rFonts w:ascii="仿宋_GB2312" w:hAnsi="仿宋_GB2312" w:cs="仿宋_GB2312" w:eastAsia="仿宋_GB2312"/>
                      <w:sz w:val="21"/>
                      <w:color w:val="000000"/>
                    </w:rPr>
                    <w:t>热水</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供暖</w:t>
                  </w:r>
                </w:p>
              </w:tc>
              <w:tc>
                <w:tcPr>
                  <w:tcW w:type="dxa" w:w="4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学生宿舍及周边建筑，供暖面积约为</w:t>
                  </w:r>
                  <w:r>
                    <w:rPr>
                      <w:rFonts w:ascii="仿宋_GB2312" w:hAnsi="仿宋_GB2312" w:cs="仿宋_GB2312" w:eastAsia="仿宋_GB2312"/>
                      <w:sz w:val="21"/>
                      <w:color w:val="000000"/>
                    </w:rPr>
                    <w:t>12万m</w:t>
                  </w:r>
                  <w:r>
                    <w:rPr>
                      <w:rFonts w:ascii="仿宋_GB2312" w:hAnsi="仿宋_GB2312" w:cs="仿宋_GB2312" w:eastAsia="仿宋_GB2312"/>
                      <w:sz w:val="21"/>
                      <w:color w:val="000000"/>
                      <w:vertAlign w:val="superscript"/>
                    </w:rPr>
                    <w:t>2</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西</w:t>
                  </w:r>
                  <w:r>
                    <w:rPr>
                      <w:rFonts w:ascii="仿宋_GB2312" w:hAnsi="仿宋_GB2312" w:cs="仿宋_GB2312" w:eastAsia="仿宋_GB2312"/>
                      <w:sz w:val="21"/>
                    </w:rPr>
                    <w:t>锅炉房</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特富</w:t>
                  </w:r>
                </w:p>
                <w:p>
                  <w:pPr>
                    <w:pStyle w:val="null3"/>
                    <w:jc w:val="center"/>
                  </w:pPr>
                  <w:r>
                    <w:rPr>
                      <w:rFonts w:ascii="仿宋_GB2312" w:hAnsi="仿宋_GB2312" w:cs="仿宋_GB2312" w:eastAsia="仿宋_GB2312"/>
                      <w:sz w:val="21"/>
                    </w:rPr>
                    <w:t>WNS10.5-1.0/95/70-Q</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布洛姆燃烧器</w:t>
                  </w:r>
                </w:p>
                <w:p>
                  <w:pPr>
                    <w:pStyle w:val="null3"/>
                    <w:jc w:val="center"/>
                  </w:pPr>
                  <w:r>
                    <w:rPr>
                      <w:rFonts w:ascii="仿宋_GB2312" w:hAnsi="仿宋_GB2312" w:cs="仿宋_GB2312" w:eastAsia="仿宋_GB2312"/>
                      <w:sz w:val="21"/>
                      <w:color w:val="000000"/>
                    </w:rPr>
                    <w:t>1530-037F型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15t/h</w:t>
                  </w:r>
                </w:p>
                <w:p>
                  <w:pPr>
                    <w:pStyle w:val="null3"/>
                    <w:jc w:val="center"/>
                  </w:pPr>
                  <w:r>
                    <w:rPr>
                      <w:rFonts w:ascii="仿宋_GB2312" w:hAnsi="仿宋_GB2312" w:cs="仿宋_GB2312" w:eastAsia="仿宋_GB2312"/>
                      <w:sz w:val="21"/>
                      <w:color w:val="000000"/>
                    </w:rPr>
                    <w:t>热水</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供暖</w:t>
                  </w:r>
                </w:p>
              </w:tc>
              <w:tc>
                <w:tcPr>
                  <w:tcW w:type="dxa" w:w="484"/>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特富</w:t>
                  </w:r>
                </w:p>
                <w:p>
                  <w:pPr>
                    <w:pStyle w:val="null3"/>
                    <w:jc w:val="center"/>
                  </w:pPr>
                  <w:r>
                    <w:rPr>
                      <w:rFonts w:ascii="仿宋_GB2312" w:hAnsi="仿宋_GB2312" w:cs="仿宋_GB2312" w:eastAsia="仿宋_GB2312"/>
                      <w:sz w:val="21"/>
                    </w:rPr>
                    <w:t>WNS6-1.25-Q</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布洛姆燃烧器</w:t>
                  </w:r>
                </w:p>
                <w:p>
                  <w:pPr>
                    <w:pStyle w:val="null3"/>
                    <w:jc w:val="center"/>
                  </w:pPr>
                  <w:r>
                    <w:rPr>
                      <w:rFonts w:ascii="仿宋_GB2312" w:hAnsi="仿宋_GB2312" w:cs="仿宋_GB2312" w:eastAsia="仿宋_GB2312"/>
                      <w:sz w:val="21"/>
                      <w:color w:val="000000"/>
                    </w:rPr>
                    <w:t>1530-016F型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6t/h</w:t>
                  </w:r>
                </w:p>
                <w:p>
                  <w:pPr>
                    <w:pStyle w:val="null3"/>
                    <w:jc w:val="center"/>
                  </w:pPr>
                  <w:r>
                    <w:rPr>
                      <w:rFonts w:ascii="仿宋_GB2312" w:hAnsi="仿宋_GB2312" w:cs="仿宋_GB2312" w:eastAsia="仿宋_GB2312"/>
                      <w:sz w:val="21"/>
                      <w:color w:val="000000"/>
                    </w:rPr>
                    <w:t>蒸气</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生活</w:t>
                  </w:r>
                </w:p>
              </w:tc>
              <w:tc>
                <w:tcPr>
                  <w:tcW w:type="dxa" w:w="4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长安校区南北开水房供蒸汽</w:t>
                  </w:r>
                </w:p>
              </w:tc>
              <w:tc>
                <w:tcPr>
                  <w:tcW w:type="dxa" w:w="202"/>
                  <w:vMerge/>
                  <w:tcBorders>
                    <w:top w:val="none" w:color="000000" w:sz="4"/>
                    <w:left w:val="singl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特富</w:t>
                  </w:r>
                </w:p>
                <w:p>
                  <w:pPr>
                    <w:pStyle w:val="null3"/>
                    <w:jc w:val="center"/>
                  </w:pPr>
                  <w:r>
                    <w:rPr>
                      <w:rFonts w:ascii="仿宋_GB2312" w:hAnsi="仿宋_GB2312" w:cs="仿宋_GB2312" w:eastAsia="仿宋_GB2312"/>
                      <w:sz w:val="21"/>
                    </w:rPr>
                    <w:t>WNS6-1.25-Q</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布洛姆燃烧器</w:t>
                  </w:r>
                </w:p>
                <w:p>
                  <w:pPr>
                    <w:pStyle w:val="null3"/>
                    <w:jc w:val="center"/>
                  </w:pPr>
                  <w:r>
                    <w:rPr>
                      <w:rFonts w:ascii="仿宋_GB2312" w:hAnsi="仿宋_GB2312" w:cs="仿宋_GB2312" w:eastAsia="仿宋_GB2312"/>
                      <w:sz w:val="21"/>
                      <w:color w:val="000000"/>
                    </w:rPr>
                    <w:t>1530-016F型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6t/h</w:t>
                  </w:r>
                </w:p>
                <w:p>
                  <w:pPr>
                    <w:pStyle w:val="null3"/>
                    <w:jc w:val="center"/>
                  </w:pPr>
                  <w:r>
                    <w:rPr>
                      <w:rFonts w:ascii="仿宋_GB2312" w:hAnsi="仿宋_GB2312" w:cs="仿宋_GB2312" w:eastAsia="仿宋_GB2312"/>
                      <w:sz w:val="21"/>
                      <w:color w:val="000000"/>
                    </w:rPr>
                    <w:t>蒸气</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生活</w:t>
                  </w:r>
                </w:p>
              </w:tc>
              <w:tc>
                <w:tcPr>
                  <w:tcW w:type="dxa" w:w="484"/>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二、运维单位资质要求</w:t>
            </w:r>
          </w:p>
          <w:p>
            <w:pPr>
              <w:pStyle w:val="null3"/>
              <w:ind w:firstLine="480"/>
              <w:jc w:val="both"/>
            </w:pPr>
            <w:r>
              <w:rPr>
                <w:rFonts w:ascii="仿宋_GB2312" w:hAnsi="仿宋_GB2312" w:cs="仿宋_GB2312" w:eastAsia="仿宋_GB2312"/>
                <w:sz w:val="21"/>
              </w:rPr>
              <w:t>1.具有履行合同所必需的设备、专业技术、专业技术人员（至少1名技术人员常驻场）。</w:t>
            </w:r>
          </w:p>
          <w:p>
            <w:pPr>
              <w:pStyle w:val="null3"/>
              <w:ind w:firstLine="480"/>
              <w:jc w:val="both"/>
            </w:pPr>
            <w:r>
              <w:rPr>
                <w:rFonts w:ascii="仿宋_GB2312" w:hAnsi="仿宋_GB2312" w:cs="仿宋_GB2312" w:eastAsia="仿宋_GB2312"/>
                <w:sz w:val="21"/>
              </w:rPr>
              <w:t>2.从事运行、维修等人员必须持特种作业人员操作证、压力容器特种作业许可证、司炉工证，水质化验员具备锅炉水质化验员证书。</w:t>
            </w:r>
          </w:p>
          <w:p>
            <w:pPr>
              <w:pStyle w:val="null3"/>
              <w:jc w:val="both"/>
            </w:pPr>
            <w:r>
              <w:rPr>
                <w:rFonts w:ascii="仿宋_GB2312" w:hAnsi="仿宋_GB2312" w:cs="仿宋_GB2312" w:eastAsia="仿宋_GB2312"/>
                <w:sz w:val="21"/>
              </w:rPr>
              <w:t>三、维保锅炉运行管理要求</w:t>
            </w:r>
          </w:p>
          <w:p>
            <w:pPr>
              <w:pStyle w:val="null3"/>
              <w:ind w:firstLine="480"/>
              <w:jc w:val="both"/>
            </w:pPr>
            <w:r>
              <w:rPr>
                <w:rFonts w:ascii="仿宋_GB2312" w:hAnsi="仿宋_GB2312" w:cs="仿宋_GB2312" w:eastAsia="仿宋_GB2312"/>
                <w:sz w:val="21"/>
              </w:rPr>
              <w:t>1.运维单位应强化管理，规范锅炉设备操作，严格执行地方政府及行业主管部门出台的各项规程；在确保锅炉安全高效运转的同时，要确保符合环保要求。</w:t>
            </w:r>
          </w:p>
          <w:p>
            <w:pPr>
              <w:pStyle w:val="null3"/>
              <w:ind w:firstLine="480"/>
              <w:jc w:val="both"/>
            </w:pPr>
            <w:r>
              <w:rPr>
                <w:rFonts w:ascii="仿宋_GB2312" w:hAnsi="仿宋_GB2312" w:cs="仿宋_GB2312" w:eastAsia="仿宋_GB2312"/>
                <w:sz w:val="21"/>
              </w:rPr>
              <w:t>2.运维单位负责承担长安校区东、西锅炉房内燃气设备、内管线及附属设施的日常运管、锅炉房的设备安全管理、锅炉内外检、能效测试、安全阀压力表校验、水质化验及运行资料台账等管理。</w:t>
            </w:r>
          </w:p>
          <w:p>
            <w:pPr>
              <w:pStyle w:val="null3"/>
              <w:ind w:firstLine="480"/>
              <w:jc w:val="both"/>
            </w:pPr>
            <w:r>
              <w:rPr>
                <w:rFonts w:ascii="仿宋_GB2312" w:hAnsi="仿宋_GB2312" w:cs="仿宋_GB2312" w:eastAsia="仿宋_GB2312"/>
                <w:sz w:val="21"/>
              </w:rPr>
              <w:t>3.运维单位完全承担锅炉房安全生产责任，落实安全生产相关政策、技术、措施。</w:t>
            </w:r>
          </w:p>
          <w:p>
            <w:pPr>
              <w:pStyle w:val="null3"/>
              <w:ind w:firstLine="480"/>
              <w:jc w:val="both"/>
            </w:pPr>
            <w:r>
              <w:rPr>
                <w:rFonts w:ascii="仿宋_GB2312" w:hAnsi="仿宋_GB2312" w:cs="仿宋_GB2312" w:eastAsia="仿宋_GB2312"/>
                <w:sz w:val="21"/>
              </w:rPr>
              <w:t>4.运维单位需配备驻场专业技术人员，解决各类原因产生的突发故障致使锅炉停运或不正常运行。一般故障须在2小时内排除，更换主要部件须在4小时内完成，遇到重大故障或者在12小时内无法修复的故障，须及时汇报故障情况，若锅炉及附属设施因重大故障需大修时，运维单位应及时做出书面说明情况，并明确排除故障拟实施的方案和完成整改时间。</w:t>
            </w:r>
          </w:p>
          <w:p>
            <w:pPr>
              <w:pStyle w:val="null3"/>
              <w:ind w:firstLine="480"/>
              <w:jc w:val="both"/>
            </w:pPr>
            <w:r>
              <w:rPr>
                <w:rFonts w:ascii="仿宋_GB2312" w:hAnsi="仿宋_GB2312" w:cs="仿宋_GB2312" w:eastAsia="仿宋_GB2312"/>
                <w:sz w:val="21"/>
              </w:rPr>
              <w:t>5.运维单位严格按照学校需求，保证蒸汽供应及冬季供暖工作安全稳定开展。冬季采暖期间，确保室内温度不低于20℃，并依据补水量、耗气量等运行数据，及时告知校方管网漏损状况。</w:t>
            </w:r>
          </w:p>
          <w:p>
            <w:pPr>
              <w:pStyle w:val="null3"/>
              <w:ind w:firstLine="480"/>
              <w:jc w:val="both"/>
            </w:pPr>
            <w:r>
              <w:rPr>
                <w:rFonts w:ascii="仿宋_GB2312" w:hAnsi="仿宋_GB2312" w:cs="仿宋_GB2312" w:eastAsia="仿宋_GB2312"/>
                <w:sz w:val="21"/>
              </w:rPr>
              <w:t>6.运维单位负责协调政府相关职能部门，配合完成各类检查及填报工作，特种设备在有效期届满前1个月，向特检机构提出检验申请。</w:t>
            </w:r>
          </w:p>
          <w:p>
            <w:pPr>
              <w:pStyle w:val="null3"/>
              <w:ind w:firstLine="480"/>
              <w:jc w:val="both"/>
            </w:pPr>
            <w:r>
              <w:rPr>
                <w:rFonts w:ascii="仿宋_GB2312" w:hAnsi="仿宋_GB2312" w:cs="仿宋_GB2312" w:eastAsia="仿宋_GB2312"/>
                <w:sz w:val="21"/>
              </w:rPr>
              <w:t>7.首年非供暖期需配备至少3人，其中司炉工2人、管理1人、水质化验1人(可兼职);供暖期间需至少配备7人，其中司炉工6人、管理1人、水质化验1人(可兼职)。第二</w:t>
            </w: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年根据设备改造情况及校方要求配备足够人员。管理人员需保持</w:t>
            </w:r>
            <w:r>
              <w:rPr>
                <w:rFonts w:ascii="仿宋_GB2312" w:hAnsi="仿宋_GB2312" w:cs="仿宋_GB2312" w:eastAsia="仿宋_GB2312"/>
                <w:sz w:val="21"/>
              </w:rPr>
              <w:t>24小时通讯畅通，满足对系统运行的事故及异常处理需求。</w:t>
            </w:r>
            <w:r>
              <w:rPr>
                <w:rFonts w:ascii="仿宋_GB2312" w:hAnsi="仿宋_GB2312" w:cs="仿宋_GB2312" w:eastAsia="仿宋_GB2312"/>
                <w:sz w:val="21"/>
              </w:rPr>
              <w:t>运维单位</w:t>
            </w:r>
            <w:r>
              <w:rPr>
                <w:rFonts w:ascii="仿宋_GB2312" w:hAnsi="仿宋_GB2312" w:cs="仿宋_GB2312" w:eastAsia="仿宋_GB2312"/>
                <w:sz w:val="21"/>
              </w:rPr>
              <w:t>须依法为所有在岗运维人员办理并缴纳社会保险及符合国家规定的其他相关保险，确保人员用工合规</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8.运维单位每年需对锅炉至少开展一次年度大检查及保养，并提交年度保养报告。维护保养过程中，如需更换相关配件，必须提前告知我校相关人员。</w:t>
            </w:r>
          </w:p>
          <w:p>
            <w:pPr>
              <w:pStyle w:val="null3"/>
              <w:ind w:firstLine="480"/>
              <w:jc w:val="both"/>
            </w:pPr>
            <w:r>
              <w:rPr>
                <w:rFonts w:ascii="仿宋_GB2312" w:hAnsi="仿宋_GB2312" w:cs="仿宋_GB2312" w:eastAsia="仿宋_GB2312"/>
                <w:sz w:val="21"/>
              </w:rPr>
              <w:t>9.锅炉房所涉及的排污环境监测、内外检、能效测试</w:t>
            </w:r>
            <w:r>
              <w:rPr>
                <w:rFonts w:ascii="仿宋_GB2312" w:hAnsi="仿宋_GB2312" w:cs="仿宋_GB2312" w:eastAsia="仿宋_GB2312"/>
                <w:sz w:val="21"/>
              </w:rPr>
              <w:t>、</w:t>
            </w:r>
            <w:r>
              <w:rPr>
                <w:rFonts w:ascii="仿宋_GB2312" w:hAnsi="仿宋_GB2312" w:cs="仿宋_GB2312" w:eastAsia="仿宋_GB2312"/>
                <w:sz w:val="21"/>
              </w:rPr>
              <w:t>软水盐均由服务单位承担。</w:t>
            </w:r>
          </w:p>
          <w:p>
            <w:pPr>
              <w:pStyle w:val="null3"/>
              <w:ind w:firstLine="480"/>
              <w:jc w:val="both"/>
            </w:pPr>
            <w:r>
              <w:rPr>
                <w:rFonts w:ascii="仿宋_GB2312" w:hAnsi="仿宋_GB2312" w:cs="仿宋_GB2312" w:eastAsia="仿宋_GB2312"/>
                <w:sz w:val="21"/>
              </w:rPr>
              <w:t>10.锅炉小型维修，单次不超过1万元，一年总计不超过5万元，维修费用由运维方承担。单次维修超过1万元，或一年总计超出5万元，维修费用由运维方和甲方商议处理</w:t>
            </w:r>
            <w:r>
              <w:rPr>
                <w:rFonts w:ascii="仿宋_GB2312" w:hAnsi="仿宋_GB2312" w:cs="仿宋_GB2312" w:eastAsia="仿宋_GB2312"/>
                <w:sz w:val="21"/>
              </w:rPr>
              <w:t>，维修配件质保期</w:t>
            </w:r>
            <w:r>
              <w:rPr>
                <w:rFonts w:ascii="仿宋_GB2312" w:hAnsi="仿宋_GB2312" w:cs="仿宋_GB2312" w:eastAsia="仿宋_GB2312"/>
                <w:sz w:val="21"/>
              </w:rPr>
              <w:t>2年以上</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在本项目服务周期首年，</w:t>
            </w:r>
            <w:r>
              <w:rPr>
                <w:rFonts w:ascii="仿宋_GB2312" w:hAnsi="仿宋_GB2312" w:cs="仿宋_GB2312" w:eastAsia="仿宋_GB2312"/>
                <w:sz w:val="21"/>
              </w:rPr>
              <w:t>运维单位</w:t>
            </w:r>
            <w:r>
              <w:rPr>
                <w:rFonts w:ascii="仿宋_GB2312" w:hAnsi="仿宋_GB2312" w:cs="仿宋_GB2312" w:eastAsia="仿宋_GB2312"/>
                <w:sz w:val="21"/>
              </w:rPr>
              <w:t>需确保项目天然气消耗量相较于</w:t>
            </w:r>
            <w:r>
              <w:rPr>
                <w:rFonts w:ascii="仿宋_GB2312" w:hAnsi="仿宋_GB2312" w:cs="仿宋_GB2312" w:eastAsia="仿宋_GB2312"/>
                <w:sz w:val="21"/>
              </w:rPr>
              <w:t>2024年降低</w:t>
            </w:r>
            <w:r>
              <w:rPr>
                <w:rFonts w:ascii="仿宋_GB2312" w:hAnsi="仿宋_GB2312" w:cs="仿宋_GB2312" w:eastAsia="仿宋_GB2312"/>
                <w:sz w:val="21"/>
              </w:rPr>
              <w:t>不低于</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四、维保锅炉维保要求</w:t>
            </w:r>
          </w:p>
          <w:p>
            <w:pPr>
              <w:pStyle w:val="null3"/>
              <w:ind w:firstLine="480"/>
              <w:jc w:val="both"/>
            </w:pPr>
            <w:r>
              <w:rPr>
                <w:rFonts w:ascii="仿宋_GB2312" w:hAnsi="仿宋_GB2312" w:cs="仿宋_GB2312" w:eastAsia="仿宋_GB2312"/>
                <w:sz w:val="21"/>
              </w:rPr>
              <w:t>包括但不限于以下内容：</w:t>
            </w:r>
          </w:p>
          <w:p>
            <w:pPr>
              <w:pStyle w:val="null3"/>
              <w:ind w:firstLine="480"/>
              <w:jc w:val="both"/>
            </w:pPr>
            <w:r>
              <w:rPr>
                <w:rFonts w:ascii="仿宋_GB2312" w:hAnsi="仿宋_GB2312" w:cs="仿宋_GB2312" w:eastAsia="仿宋_GB2312"/>
                <w:sz w:val="21"/>
              </w:rPr>
              <w:t>1、锅炉本体保养：</w:t>
            </w:r>
          </w:p>
          <w:p>
            <w:pPr>
              <w:pStyle w:val="null3"/>
              <w:ind w:firstLine="480"/>
              <w:jc w:val="both"/>
            </w:pPr>
            <w:r>
              <w:rPr>
                <w:rFonts w:ascii="仿宋_GB2312" w:hAnsi="仿宋_GB2312" w:cs="仿宋_GB2312" w:eastAsia="仿宋_GB2312"/>
                <w:sz w:val="21"/>
              </w:rPr>
              <w:t>A、检测锅炉联锁装置：高低水位置、超压、排烟温度超高、电动阀等。</w:t>
            </w:r>
          </w:p>
          <w:p>
            <w:pPr>
              <w:pStyle w:val="null3"/>
              <w:ind w:firstLine="480"/>
              <w:jc w:val="both"/>
            </w:pPr>
            <w:r>
              <w:rPr>
                <w:rFonts w:ascii="仿宋_GB2312" w:hAnsi="仿宋_GB2312" w:cs="仿宋_GB2312" w:eastAsia="仿宋_GB2312"/>
                <w:sz w:val="21"/>
              </w:rPr>
              <w:t>B、电器部分:检查线路是否有松动、老化、失灵等情况；检查电器元件是否可靠、是否存在过载（各种传感器）、电器保护装置是否正常等情况。</w:t>
            </w:r>
          </w:p>
          <w:p>
            <w:pPr>
              <w:pStyle w:val="null3"/>
              <w:ind w:firstLine="480"/>
              <w:jc w:val="both"/>
            </w:pPr>
            <w:r>
              <w:rPr>
                <w:rFonts w:ascii="仿宋_GB2312" w:hAnsi="仿宋_GB2312" w:cs="仿宋_GB2312" w:eastAsia="仿宋_GB2312"/>
                <w:sz w:val="21"/>
              </w:rPr>
              <w:t>C、本体主机部分:</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1）全面清理烟管、锅筒、前后烟箱、炉膛及燃尽室积灰；</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2）全面开盖检查手孔、人孔等检查孔的密封完好程度，并及时更换有缺陷的密封垫；</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3）全面检测校定仪表、阀门，包括压力控制器及电极水位控制器等。</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4）检查锅炉、液位计水垢情况，及时查看是否需要清洗。</w:t>
            </w:r>
          </w:p>
          <w:p>
            <w:pPr>
              <w:pStyle w:val="null3"/>
              <w:ind w:firstLine="480"/>
              <w:jc w:val="both"/>
            </w:pPr>
            <w:r>
              <w:rPr>
                <w:rFonts w:ascii="仿宋_GB2312" w:hAnsi="仿宋_GB2312" w:cs="仿宋_GB2312" w:eastAsia="仿宋_GB2312"/>
                <w:sz w:val="21"/>
              </w:rPr>
              <w:t>D、采暖停炉后对锅炉采用湿法保养</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2、燃烧器保养：</w:t>
            </w:r>
          </w:p>
          <w:p>
            <w:pPr>
              <w:pStyle w:val="null3"/>
              <w:ind w:firstLine="480"/>
              <w:jc w:val="both"/>
            </w:pPr>
            <w:r>
              <w:rPr>
                <w:rFonts w:ascii="仿宋_GB2312" w:hAnsi="仿宋_GB2312" w:cs="仿宋_GB2312" w:eastAsia="仿宋_GB2312"/>
                <w:sz w:val="21"/>
              </w:rPr>
              <w:t>A、检查清理供气管线部分（燃烧器至球阀），重点清理燃气过滤器。</w:t>
            </w:r>
          </w:p>
          <w:p>
            <w:pPr>
              <w:pStyle w:val="null3"/>
              <w:ind w:firstLine="480"/>
              <w:jc w:val="both"/>
            </w:pPr>
            <w:r>
              <w:rPr>
                <w:rFonts w:ascii="仿宋_GB2312" w:hAnsi="仿宋_GB2312" w:cs="仿宋_GB2312" w:eastAsia="仿宋_GB2312"/>
                <w:sz w:val="21"/>
              </w:rPr>
              <w:t>B、检查燃烧器零部件，主要包括：燃烧程控器、伺服电机、点火变压器、燃气压力开关、鼓风电机、风压开关、点火电极、除氧化层及检查高压线路、离子探针、稳焰盘、燃烧器风门挡板、电磁阀组、调压稳压器、检漏器等。</w:t>
            </w:r>
          </w:p>
          <w:p>
            <w:pPr>
              <w:pStyle w:val="null3"/>
              <w:ind w:firstLine="480"/>
              <w:jc w:val="both"/>
            </w:pPr>
            <w:r>
              <w:rPr>
                <w:rFonts w:ascii="仿宋_GB2312" w:hAnsi="仿宋_GB2312" w:cs="仿宋_GB2312" w:eastAsia="仿宋_GB2312"/>
                <w:sz w:val="21"/>
              </w:rPr>
              <w:t>C、检查燃烧器电路部分有无老化松动等情况，包括：点火电极线、离子探针线、接触器、接线插座、端子排、燃烧器内部控制线等。</w:t>
            </w:r>
          </w:p>
          <w:p>
            <w:pPr>
              <w:pStyle w:val="null3"/>
              <w:ind w:firstLine="480"/>
              <w:jc w:val="both"/>
            </w:pPr>
            <w:r>
              <w:rPr>
                <w:rFonts w:ascii="仿宋_GB2312" w:hAnsi="仿宋_GB2312" w:cs="仿宋_GB2312" w:eastAsia="仿宋_GB2312"/>
                <w:sz w:val="21"/>
              </w:rPr>
              <w:t>D、定期清理燃烧器积碳。</w:t>
            </w:r>
          </w:p>
          <w:p>
            <w:pPr>
              <w:pStyle w:val="null3"/>
              <w:ind w:firstLine="480"/>
              <w:jc w:val="both"/>
            </w:pPr>
            <w:r>
              <w:rPr>
                <w:rFonts w:ascii="仿宋_GB2312" w:hAnsi="仿宋_GB2312" w:cs="仿宋_GB2312" w:eastAsia="仿宋_GB2312"/>
                <w:sz w:val="21"/>
              </w:rPr>
              <w:t>3、水泵保养：检查给水泵、补水泵、循环泵的轴承、密封等，供暖结束对其电机轴承加注润滑油。</w:t>
            </w:r>
          </w:p>
          <w:p>
            <w:pPr>
              <w:pStyle w:val="null3"/>
              <w:ind w:firstLine="480"/>
              <w:jc w:val="both"/>
            </w:pPr>
            <w:r>
              <w:rPr>
                <w:rFonts w:ascii="仿宋_GB2312" w:hAnsi="仿宋_GB2312" w:cs="仿宋_GB2312" w:eastAsia="仿宋_GB2312"/>
                <w:sz w:val="21"/>
              </w:rPr>
              <w:t>4、水处理设备保养：</w:t>
            </w:r>
          </w:p>
          <w:p>
            <w:pPr>
              <w:pStyle w:val="null3"/>
              <w:ind w:firstLine="480"/>
              <w:jc w:val="both"/>
            </w:pPr>
            <w:r>
              <w:rPr>
                <w:rFonts w:ascii="仿宋_GB2312" w:hAnsi="仿宋_GB2312" w:cs="仿宋_GB2312" w:eastAsia="仿宋_GB2312"/>
                <w:sz w:val="21"/>
              </w:rPr>
              <w:t>A、检测对软水器机头控制程序，包括排污、反洗、吸盐、运行四个程序等；</w:t>
            </w:r>
          </w:p>
          <w:p>
            <w:pPr>
              <w:pStyle w:val="null3"/>
              <w:ind w:firstLine="480"/>
              <w:jc w:val="both"/>
            </w:pPr>
            <w:r>
              <w:rPr>
                <w:rFonts w:ascii="仿宋_GB2312" w:hAnsi="仿宋_GB2312" w:cs="仿宋_GB2312" w:eastAsia="仿宋_GB2312"/>
                <w:sz w:val="21"/>
              </w:rPr>
              <w:t>B、检查软水器及其连接部位密封情况；</w:t>
            </w:r>
          </w:p>
          <w:p>
            <w:pPr>
              <w:pStyle w:val="null3"/>
              <w:ind w:firstLine="480"/>
              <w:jc w:val="both"/>
            </w:pPr>
            <w:r>
              <w:rPr>
                <w:rFonts w:ascii="仿宋_GB2312" w:hAnsi="仿宋_GB2312" w:cs="仿宋_GB2312" w:eastAsia="仿宋_GB2312"/>
                <w:sz w:val="21"/>
              </w:rPr>
              <w:t>C、检测软化水树脂是否具备再生能力，确保软化水水质满足锅炉给水标准。</w:t>
            </w:r>
          </w:p>
          <w:p>
            <w:pPr>
              <w:pStyle w:val="null3"/>
              <w:ind w:firstLine="480"/>
              <w:jc w:val="both"/>
            </w:pPr>
            <w:r>
              <w:rPr>
                <w:rFonts w:ascii="仿宋_GB2312" w:hAnsi="仿宋_GB2312" w:cs="仿宋_GB2312" w:eastAsia="仿宋_GB2312"/>
                <w:sz w:val="21"/>
              </w:rPr>
              <w:t>5、控制系统保养：控制柜线路、电器元件、变频设备、连锁功能、PLC控制画面、人机画面显示功能等检测维护。</w:t>
            </w:r>
          </w:p>
          <w:p>
            <w:pPr>
              <w:pStyle w:val="null3"/>
              <w:ind w:firstLine="480"/>
              <w:jc w:val="both"/>
            </w:pPr>
            <w:r>
              <w:rPr>
                <w:rFonts w:ascii="仿宋_GB2312" w:hAnsi="仿宋_GB2312" w:cs="仿宋_GB2312" w:eastAsia="仿宋_GB2312"/>
                <w:sz w:val="21"/>
              </w:rPr>
              <w:t>五、首年维保数据检测要求</w:t>
            </w:r>
          </w:p>
          <w:p>
            <w:pPr>
              <w:pStyle w:val="null3"/>
              <w:ind w:firstLine="530"/>
              <w:jc w:val="both"/>
            </w:pPr>
            <w:r>
              <w:rPr>
                <w:rFonts w:ascii="仿宋_GB2312" w:hAnsi="仿宋_GB2312" w:cs="仿宋_GB2312" w:eastAsia="仿宋_GB2312"/>
                <w:sz w:val="21"/>
              </w:rPr>
              <w:t>1.在运维第一年，建立锅炉能耗监测平台，采用标准化数据采集体系，实时监测，精准记录水、电、气消耗数据及终端温度数据，为后续能源托管提供可靠、精准的基数依据。数据至少包括:</w:t>
            </w:r>
          </w:p>
          <w:p>
            <w:pPr>
              <w:pStyle w:val="null3"/>
              <w:ind w:firstLine="530"/>
              <w:jc w:val="both"/>
            </w:pPr>
            <w:r>
              <w:rPr>
                <w:rFonts w:ascii="仿宋_GB2312" w:hAnsi="仿宋_GB2312" w:cs="仿宋_GB2312" w:eastAsia="仿宋_GB2312"/>
                <w:sz w:val="21"/>
              </w:rPr>
              <w:t>锅炉运行数据（锅炉运行状态，运行数量，锅炉出水温度、锅炉回水温度、锅炉压力、一次网供水温度、一次网回水温度）</w:t>
            </w:r>
            <w:r>
              <w:rPr>
                <w:rFonts w:ascii="仿宋_GB2312" w:hAnsi="仿宋_GB2312" w:cs="仿宋_GB2312" w:eastAsia="仿宋_GB2312"/>
                <w:sz w:val="21"/>
              </w:rPr>
              <w:t>;学生公寓楼、教学楼、校务楼体育馆等22个校方指定楼栋入口处供水温度和回水温度、流量、压力;每栋楼供热管网末端选取至少2个点位，采集室内温度;天气数据;锅炉房用水、用电、用气等数据；两个开水房的用电、用水量及供水量。</w:t>
            </w:r>
          </w:p>
          <w:p>
            <w:pPr>
              <w:pStyle w:val="null3"/>
              <w:ind w:firstLine="530"/>
              <w:jc w:val="both"/>
            </w:pPr>
            <w:r>
              <w:rPr>
                <w:rFonts w:ascii="仿宋_GB2312" w:hAnsi="仿宋_GB2312" w:cs="仿宋_GB2312" w:eastAsia="仿宋_GB2312"/>
                <w:sz w:val="21"/>
              </w:rPr>
              <w:t>2.建立能耗监测系统平台，所有数据传送到系统平台，可以在PC端和手机端查看系统运行数据，</w:t>
            </w:r>
            <w:r>
              <w:rPr>
                <w:rFonts w:ascii="仿宋_GB2312" w:hAnsi="仿宋_GB2312" w:cs="仿宋_GB2312" w:eastAsia="仿宋_GB2312"/>
                <w:sz w:val="21"/>
              </w:rPr>
              <w:t>每日报送数据，</w:t>
            </w:r>
            <w:r>
              <w:rPr>
                <w:rFonts w:ascii="仿宋_GB2312" w:hAnsi="仿宋_GB2312" w:cs="仿宋_GB2312" w:eastAsia="仿宋_GB2312"/>
                <w:sz w:val="21"/>
              </w:rPr>
              <w:t>对系统数据新型统计分析，得出系统运行状况，故障</w:t>
            </w:r>
            <w:r>
              <w:rPr>
                <w:rFonts w:ascii="仿宋_GB2312" w:hAnsi="仿宋_GB2312" w:cs="仿宋_GB2312" w:eastAsia="仿宋_GB2312"/>
                <w:sz w:val="21"/>
              </w:rPr>
              <w:t>预警</w:t>
            </w:r>
            <w:r>
              <w:rPr>
                <w:rFonts w:ascii="仿宋_GB2312" w:hAnsi="仿宋_GB2312" w:cs="仿宋_GB2312" w:eastAsia="仿宋_GB2312"/>
                <w:sz w:val="21"/>
              </w:rPr>
              <w:t>，指导系统运行调整</w:t>
            </w:r>
            <w:r>
              <w:rPr>
                <w:rFonts w:ascii="仿宋_GB2312" w:hAnsi="仿宋_GB2312" w:cs="仿宋_GB2312" w:eastAsia="仿宋_GB2312"/>
                <w:sz w:val="21"/>
              </w:rPr>
              <w:t>，运营期内能耗监测系统平台升级维护由运营单位负责。</w:t>
            </w:r>
          </w:p>
          <w:p>
            <w:pPr>
              <w:pStyle w:val="null3"/>
              <w:ind w:firstLine="530"/>
              <w:jc w:val="both"/>
            </w:pPr>
            <w:r>
              <w:rPr>
                <w:rFonts w:ascii="仿宋_GB2312" w:hAnsi="仿宋_GB2312" w:cs="仿宋_GB2312" w:eastAsia="仿宋_GB2312"/>
                <w:sz w:val="21"/>
              </w:rPr>
              <w:t>六、第二</w:t>
            </w: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年（能源托管期）运营方式</w:t>
            </w:r>
          </w:p>
          <w:p>
            <w:pPr>
              <w:pStyle w:val="null3"/>
              <w:ind w:firstLine="530"/>
              <w:jc w:val="both"/>
            </w:pPr>
            <w:r>
              <w:rPr>
                <w:rFonts w:ascii="仿宋_GB2312" w:hAnsi="仿宋_GB2312" w:cs="仿宋_GB2312" w:eastAsia="仿宋_GB2312"/>
                <w:sz w:val="21"/>
              </w:rPr>
              <w:t>1.制定运营基数：以2025年11月-2026年10月的能耗数据为核心依据，同时参考2023年、2024年同期能耗数据，综合考量气候差异、用能需求变化等因素，科学制定能源托管基数。</w:t>
            </w:r>
          </w:p>
          <w:p>
            <w:pPr>
              <w:pStyle w:val="null3"/>
              <w:ind w:firstLine="530"/>
              <w:jc w:val="both"/>
            </w:pPr>
            <w:r>
              <w:rPr>
                <w:rFonts w:ascii="仿宋_GB2312" w:hAnsi="仿宋_GB2312" w:cs="仿宋_GB2312" w:eastAsia="仿宋_GB2312"/>
                <w:sz w:val="21"/>
              </w:rPr>
              <w:t>2.节能改造：根据系统运行状态，运营单位做出经济运行和节能运行方案，视情况进行节能改造，降低运行成本</w:t>
            </w:r>
            <w:r>
              <w:rPr>
                <w:rFonts w:ascii="仿宋_GB2312" w:hAnsi="仿宋_GB2312" w:cs="仿宋_GB2312" w:eastAsia="仿宋_GB2312"/>
                <w:sz w:val="21"/>
              </w:rPr>
              <w:t>，运营期结束后所投入的设备归学校所有</w:t>
            </w:r>
            <w:r>
              <w:rPr>
                <w:rFonts w:ascii="仿宋_GB2312" w:hAnsi="仿宋_GB2312" w:cs="仿宋_GB2312" w:eastAsia="仿宋_GB2312"/>
                <w:sz w:val="21"/>
              </w:rPr>
              <w:t>。</w:t>
            </w:r>
          </w:p>
          <w:p>
            <w:pPr>
              <w:pStyle w:val="null3"/>
              <w:ind w:firstLine="530"/>
              <w:jc w:val="both"/>
            </w:pPr>
            <w:r>
              <w:rPr>
                <w:rFonts w:ascii="仿宋_GB2312" w:hAnsi="仿宋_GB2312" w:cs="仿宋_GB2312" w:eastAsia="仿宋_GB2312"/>
                <w:sz w:val="21"/>
              </w:rPr>
              <w:t>3.能源核算：每年供暖季结束后1个月内，完成上一托管年度的能耗核算与节省金额确认；若年度实际能耗总量低于基数，根据</w:t>
            </w:r>
            <w:r>
              <w:rPr>
                <w:rFonts w:ascii="仿宋_GB2312" w:hAnsi="仿宋_GB2312" w:cs="仿宋_GB2312" w:eastAsia="仿宋_GB2312"/>
                <w:sz w:val="21"/>
              </w:rPr>
              <w:t>设备</w:t>
            </w:r>
            <w:r>
              <w:rPr>
                <w:rFonts w:ascii="仿宋_GB2312" w:hAnsi="仿宋_GB2312" w:cs="仿宋_GB2312" w:eastAsia="仿宋_GB2312"/>
                <w:sz w:val="21"/>
              </w:rPr>
              <w:t>节能改造情况和资源节省部分按约定比例进行分成；若年度实际能耗总量高于基数，运维单位需全额承担超出部分的能源费用。</w:t>
            </w:r>
          </w:p>
          <w:p>
            <w:pPr>
              <w:pStyle w:val="null3"/>
              <w:ind w:firstLine="470"/>
              <w:jc w:val="both"/>
            </w:pPr>
            <w:r>
              <w:rPr>
                <w:rFonts w:ascii="仿宋_GB2312" w:hAnsi="仿宋_GB2312" w:cs="仿宋_GB2312" w:eastAsia="仿宋_GB2312"/>
                <w:sz w:val="21"/>
              </w:rPr>
              <w:t>七、合同签订方式及考核方式</w:t>
            </w:r>
          </w:p>
          <w:p>
            <w:pPr>
              <w:pStyle w:val="null3"/>
              <w:ind w:firstLine="470"/>
              <w:jc w:val="both"/>
            </w:pPr>
            <w:r>
              <w:rPr>
                <w:rFonts w:ascii="仿宋_GB2312" w:hAnsi="仿宋_GB2312" w:cs="仿宋_GB2312" w:eastAsia="仿宋_GB2312"/>
                <w:sz w:val="21"/>
              </w:rPr>
              <w:t>1.本项目合同采用“一年一签，到期续签”的模式，首年基础运维期合同于确定运维单位后签订，后续每年根据上一年度考核结果决定是否续签。</w:t>
            </w:r>
          </w:p>
          <w:p>
            <w:pPr>
              <w:pStyle w:val="null3"/>
              <w:ind w:firstLine="530"/>
              <w:jc w:val="both"/>
            </w:pPr>
            <w:r>
              <w:rPr>
                <w:rFonts w:ascii="仿宋_GB2312" w:hAnsi="仿宋_GB2312" w:cs="仿宋_GB2312" w:eastAsia="仿宋_GB2312"/>
                <w:sz w:val="21"/>
              </w:rPr>
              <w:t>2.考核内容包括数据监测是否完善、年度能耗是否控制在基数范围内、设备运维质量、服务响应效率、用户用暖效果评价、整改措施落实情况等。</w:t>
            </w:r>
          </w:p>
          <w:p>
            <w:pPr>
              <w:pStyle w:val="null3"/>
              <w:ind w:firstLine="530"/>
              <w:jc w:val="both"/>
            </w:pPr>
            <w:r>
              <w:rPr>
                <w:rFonts w:ascii="仿宋_GB2312" w:hAnsi="仿宋_GB2312" w:cs="仿宋_GB2312" w:eastAsia="仿宋_GB2312"/>
                <w:sz w:val="21"/>
              </w:rPr>
              <w:t>3.首年运维期结束后，若考核合格，续签第二年运维合同。同时双方协商，节能改造情况和资源节省部分决定后续节能分成比例。</w:t>
            </w:r>
          </w:p>
          <w:p>
            <w:pPr>
              <w:pStyle w:val="null3"/>
              <w:ind w:firstLine="530"/>
              <w:jc w:val="both"/>
            </w:pPr>
            <w:r>
              <w:rPr>
                <w:rFonts w:ascii="仿宋_GB2312" w:hAnsi="仿宋_GB2312" w:cs="仿宋_GB2312" w:eastAsia="仿宋_GB2312"/>
                <w:sz w:val="21"/>
              </w:rPr>
              <w:t>八、招标要求</w:t>
            </w:r>
          </w:p>
          <w:p>
            <w:pPr>
              <w:pStyle w:val="null3"/>
              <w:ind w:firstLine="530"/>
              <w:jc w:val="both"/>
            </w:pPr>
            <w:r>
              <w:rPr>
                <w:rFonts w:ascii="仿宋_GB2312" w:hAnsi="仿宋_GB2312" w:cs="仿宋_GB2312" w:eastAsia="仿宋_GB2312"/>
                <w:sz w:val="21"/>
              </w:rPr>
              <w:t>本次招标各供应商需提供的首年运维方案、监测平台布置方案及第二</w:t>
            </w: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年改造计划。</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首年(基础运维及数据采集期)非供暖期需配备至少3人，其中司炉工2人、管理1人、水质化验1人(可兼职); 供暖期间需至少配备7人，其中司炉工6人、管理1人、水质化验1人(可兼职)。第二、三年根据设备改造情况及校方要求配备足够人员。所配备的司炉工及锅炉水质化验人员需具备特种设备相关操作证书。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满足采购方要求和合同约定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每次服务期限壹年；本合同须在签订之日起壹年内完成当年全部服务项目，由供应商负责配合国家相关机构检查抽检，服务期结束后根据服务质量及后续改造方案决定是否续签一次，最多续签两次。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西北政法大学指定地点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首年2026年4月</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2026年10月完成当年全部服务项目，并验收合格</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1、供应商需要在线提交所有通过电子化交易平台实施的政府采购项目的投标文件，同时，线下提交纸质投标文件正本壹份、副本壹份、电子版壹份（U盘壹份）。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线下递交文件地点：西安市高新区唐延路旺座现代城C座2502室；若选择邮寄，请邮寄至2502室。 邮箱：sxwzzb123@163.com ； 2、付款方式： 付款条件说明： 首年2026年4月 ，达到付款条件起 14 日内，支付合同总金额的 50.00%。 付款条件说明： 2026年10月完成当年全部服务项目，并验收合格 ，达到付款条件起 14 日内，支付合同总金额的 50.00%。第二、三年，供暖季结束后核算。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提供2024年9月以来至少一个月的纳税证明或完税证明；依法免税的单位应提供相关证明材料（以税款所属日期为准）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非法定代表人参加投标的，须提供法定代表人委托授权书及被授权人身份证，法定代表人参加投标时,须提供法定代表人身份证。</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供应商须具有《中华人民共和国特种设备安装改造维修许可证》（锅炉安装、改造三级及以上）资质或《中华人民共和国特种设备生产许可证》锅炉安装（含修理、改造）B级（含）以上资质</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提供中小企业声明函（本项目为专门面向中小微企业采购）。</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本项目是否接受联合体磋商</w:t>
            </w:r>
          </w:p>
        </w:tc>
        <w:tc>
          <w:tcPr>
            <w:tcW w:type="dxa" w:w="3322"/>
          </w:tcPr>
          <w:p>
            <w:pPr>
              <w:pStyle w:val="null3"/>
            </w:pPr>
            <w:r>
              <w:rPr>
                <w:rFonts w:ascii="仿宋_GB2312" w:hAnsi="仿宋_GB2312" w:cs="仿宋_GB2312" w:eastAsia="仿宋_GB2312"/>
              </w:rPr>
              <w:t>本项目不接受联合体磋商，提供非联合体磋商声明</w:t>
            </w:r>
          </w:p>
        </w:tc>
        <w:tc>
          <w:tcPr>
            <w:tcW w:type="dxa" w:w="1661"/>
          </w:tcPr>
          <w:p>
            <w:pPr>
              <w:pStyle w:val="null3"/>
            </w:pPr>
            <w:r>
              <w:rPr>
                <w:rFonts w:ascii="仿宋_GB2312" w:hAnsi="仿宋_GB2312" w:cs="仿宋_GB2312" w:eastAsia="仿宋_GB2312"/>
              </w:rPr>
              <w:t>供应商资质证明资料.docx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报价是否超过采购预算或最高限价</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磋商一览表.docx 报价表 技术响应偏差表.docx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文件的签署、盖章是否满足磋商文件要求</w:t>
            </w:r>
          </w:p>
        </w:tc>
        <w:tc>
          <w:tcPr>
            <w:tcW w:type="dxa" w:w="1661"/>
          </w:tcPr>
          <w:p>
            <w:pPr>
              <w:pStyle w:val="null3"/>
            </w:pPr>
            <w:r>
              <w:rPr>
                <w:rFonts w:ascii="仿宋_GB2312" w:hAnsi="仿宋_GB2312" w:cs="仿宋_GB2312" w:eastAsia="仿宋_GB2312"/>
              </w:rPr>
              <w:t>磋商保证金.docx 供应商资质证明资料.docx 维保计划与措施.docx 人员配备.docx 中小企业声明函 供应商业绩一览表.docx 报价表 商务响应偏差表.docx 供应商承诺书.docx 运维实施方案.docx 响应文件封面 磋商一览表.docx 分项报价表.docx 节能改造方案.docx 残疾人福利性单位声明函 供应商认为有必要说明的其他问题.docx 标的清单 技术响应偏差表.docx 能耗监测平台建设方案.docx 响应函 监狱企业的证明文件 应急保障方案.docx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磋商有效期是否满足磋商文件要求</w:t>
            </w:r>
          </w:p>
        </w:tc>
        <w:tc>
          <w:tcPr>
            <w:tcW w:type="dxa" w:w="1661"/>
          </w:tcPr>
          <w:p>
            <w:pPr>
              <w:pStyle w:val="null3"/>
            </w:pPr>
            <w:r>
              <w:rPr>
                <w:rFonts w:ascii="仿宋_GB2312" w:hAnsi="仿宋_GB2312" w:cs="仿宋_GB2312" w:eastAsia="仿宋_GB2312"/>
              </w:rPr>
              <w:t>响应文件封面 供应商资质证明资料.docx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是否按规定缴纳磋商保证金</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无与采购文件商务要求条款不一致或增加了采购人难以接受的条款</w:t>
            </w:r>
          </w:p>
        </w:tc>
        <w:tc>
          <w:tcPr>
            <w:tcW w:type="dxa" w:w="1661"/>
          </w:tcPr>
          <w:p>
            <w:pPr>
              <w:pStyle w:val="null3"/>
            </w:pPr>
            <w:r>
              <w:rPr>
                <w:rFonts w:ascii="仿宋_GB2312" w:hAnsi="仿宋_GB2312" w:cs="仿宋_GB2312" w:eastAsia="仿宋_GB2312"/>
              </w:rPr>
              <w:t>响应文件封面 磋商一览表.docx 标的清单 报价表 商务响应偏差表.docx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响应文件封面 磋商一览表.docx 分项报价表.docx 磋商保证金.docx 供应商资质证明资料.docx 中小企业声明函 标的清单 报价表 技术响应偏差表.docx 响应函 商务响应偏差表.docx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运维实施方案</w:t>
            </w:r>
          </w:p>
        </w:tc>
        <w:tc>
          <w:tcPr>
            <w:tcW w:type="dxa" w:w="2492"/>
          </w:tcPr>
          <w:p>
            <w:pPr>
              <w:pStyle w:val="null3"/>
            </w:pPr>
            <w:r>
              <w:rPr>
                <w:rFonts w:ascii="仿宋_GB2312" w:hAnsi="仿宋_GB2312" w:cs="仿宋_GB2312" w:eastAsia="仿宋_GB2312"/>
              </w:rPr>
              <w:t>针对本项目提供详细的实施方案，包括但不限于：①托管运行计划方案；②操作规程；③风险防范方案；④安全管理制度；⑤设备设施保养、维修及校验方案；⑥服务进退场交接方案。 评审标准：根据实施方案、完善性、可行性、针对性完全满足采购需求并符合本项目实施特点的得30分；以上内容中每缺少一项内容扣 5分；每有一处内容与实际需求不符或不满足要求或与本项目需求不切合或直接套用其他项目内容的扣3分，扣完为止。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运维实施方案.docx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需提供本项目在实施期间应急保障方案（包括但不限于应急机制、诊断故障的流程和方法、常见故障处理预案等）完全满足采购需求并符合本项目实施特点的得15分；以上内容中每缺少一项内容扣5分；每有一处内容与实际需求不符或不满足要求或与本项目需求不切合或直接套用其他项目内容的扣3分，扣完为止。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应急保障方案.docx</w:t>
            </w:r>
          </w:p>
        </w:tc>
      </w:tr>
      <w:tr>
        <w:tc>
          <w:tcPr>
            <w:tcW w:type="dxa" w:w="831"/>
            <w:vMerge/>
          </w:tcPr>
          <w:p/>
        </w:tc>
        <w:tc>
          <w:tcPr>
            <w:tcW w:type="dxa" w:w="1661"/>
          </w:tcPr>
          <w:p>
            <w:pPr>
              <w:pStyle w:val="null3"/>
            </w:pPr>
            <w:r>
              <w:rPr>
                <w:rFonts w:ascii="仿宋_GB2312" w:hAnsi="仿宋_GB2312" w:cs="仿宋_GB2312" w:eastAsia="仿宋_GB2312"/>
              </w:rPr>
              <w:t>能耗监测平台建设方案</w:t>
            </w:r>
          </w:p>
        </w:tc>
        <w:tc>
          <w:tcPr>
            <w:tcW w:type="dxa" w:w="2492"/>
          </w:tcPr>
          <w:p>
            <w:pPr>
              <w:pStyle w:val="null3"/>
            </w:pPr>
            <w:r>
              <w:rPr>
                <w:rFonts w:ascii="仿宋_GB2312" w:hAnsi="仿宋_GB2312" w:cs="仿宋_GB2312" w:eastAsia="仿宋_GB2312"/>
              </w:rPr>
              <w:t>根据供应商提供的能耗监测平台建设方案，方案内容需围绕能耗平台核心建设需求，涵盖但不限于：能耗数据采集与传输设计、平台功能模块规划（含数据监测、分析、预警、报表等）、硬件设备选型与部署方案、软件系统开发与集成方案、项目实施进度计划及人员培训方案、售后服务与运维保障机制等关键内容。评审标准：方案完全覆盖上述所有关键内容，且各内容紧密贴合本能耗平台建设的实际需求（如适配项目所在场景的能耗类型、数据规模、管理目标等），无直接套用其他项目方案的情况，能充分满足采购需求及本项目实施特点，具备高度的针对性与可行性,得18分。上述关键内容中，每缺少一项核心内容扣 3 分，扣完为止。方案中每存在一处内容与本能耗平台建设实际需求不符、不满足采购要求、与项目实施特点不切合，或直接套用其他项目方案内容的情况，扣 1.5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能耗监测平台建设方案.docx</w:t>
            </w:r>
          </w:p>
        </w:tc>
      </w:tr>
      <w:tr>
        <w:tc>
          <w:tcPr>
            <w:tcW w:type="dxa" w:w="831"/>
            <w:vMerge/>
          </w:tcPr>
          <w:p/>
        </w:tc>
        <w:tc>
          <w:tcPr>
            <w:tcW w:type="dxa" w:w="1661"/>
          </w:tcPr>
          <w:p>
            <w:pPr>
              <w:pStyle w:val="null3"/>
            </w:pPr>
            <w:r>
              <w:rPr>
                <w:rFonts w:ascii="仿宋_GB2312" w:hAnsi="仿宋_GB2312" w:cs="仿宋_GB2312" w:eastAsia="仿宋_GB2312"/>
              </w:rPr>
              <w:t>节能改造方案</w:t>
            </w:r>
          </w:p>
        </w:tc>
        <w:tc>
          <w:tcPr>
            <w:tcW w:type="dxa" w:w="2492"/>
          </w:tcPr>
          <w:p>
            <w:pPr>
              <w:pStyle w:val="null3"/>
            </w:pPr>
            <w:r>
              <w:rPr>
                <w:rFonts w:ascii="仿宋_GB2312" w:hAnsi="仿宋_GB2312" w:cs="仿宋_GB2312" w:eastAsia="仿宋_GB2312"/>
              </w:rPr>
              <w:t>根据供应商提供的计划节能改造方案，方案需紧扣本项目节能目标，覆盖但不限于：初步的改造范围与技术路径选择（如设备更新、系统优化、能源替代等）、预计改造实施步骤与时间节点规划、改造过程中的安全与合规保障措施、节能效果监测等核心内容。 评审标准：方案完全覆盖上述核心内容，技术路径适配项目实际场景,无套用其他项目方案的情况，能切实支撑本项目节能改造落地，满足采购需求与实施特点,得12分。每缺少一项核心内容扣 3 分，扣完为止。方案中每存在一处内容与项目节能需求不符、目标未量化、技术路径不切实际，或直接套用其他项目内容的情况，扣 1.5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节能改造方案.docx</w:t>
            </w:r>
          </w:p>
        </w:tc>
      </w:tr>
      <w:tr>
        <w:tc>
          <w:tcPr>
            <w:tcW w:type="dxa" w:w="831"/>
            <w:vMerge/>
          </w:tcPr>
          <w:p/>
        </w:tc>
        <w:tc>
          <w:tcPr>
            <w:tcW w:type="dxa" w:w="1661"/>
          </w:tcPr>
          <w:p>
            <w:pPr>
              <w:pStyle w:val="null3"/>
            </w:pPr>
            <w:r>
              <w:rPr>
                <w:rFonts w:ascii="仿宋_GB2312" w:hAnsi="仿宋_GB2312" w:cs="仿宋_GB2312" w:eastAsia="仿宋_GB2312"/>
              </w:rPr>
              <w:t>维保计划与措施</w:t>
            </w:r>
          </w:p>
        </w:tc>
        <w:tc>
          <w:tcPr>
            <w:tcW w:type="dxa" w:w="2492"/>
          </w:tcPr>
          <w:p>
            <w:pPr>
              <w:pStyle w:val="null3"/>
            </w:pPr>
            <w:r>
              <w:rPr>
                <w:rFonts w:ascii="仿宋_GB2312" w:hAnsi="仿宋_GB2312" w:cs="仿宋_GB2312" w:eastAsia="仿宋_GB2312"/>
              </w:rPr>
              <w:t>根据供应商提供的巡查计划，包括但不限于：巡检周期安排、检查项目清单、标准操作程序、预防性维护计划、大修方案等等。完全满足采购需求并符合本项目实施特点的得5分；以上内容中每缺少一项内容扣 1分；每有一处内容与实际需求不符或不满足要求或与本项目需求不切合或直接套用其他项目内容的扣0.5分，扣完为止。未提供不得分。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维保计划与措施.docx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①有针对本项目的专业服务团队，人员配备数量充足，各专业配置齐全，完全满足项目实施需求，提供相关人员专业证书。②人员组织结构合理，有明确的岗位职责。 评审标准： 根据人员配备、完善性、可行性、针对性完全满足采购需求并符合本项目实施特点的得5分；以上内容每有一处内容与实际需求不符或不满足要求或与本项目需求不切合或直接套用其他项目内容的扣1-5分。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备注：磋商文件中提供业绩合同复印件加盖公章。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1、经初审合格的供应商，其最后提交的磋商响应报价为有效响应报价。 2、评审基准价：即满足磋商文件要求且价格最低的响应报价为评审基准价。 3、其他供应商的价格分统一按照下列公式计算。 4、响应报价得分=(评审基准价／响应报价)×10。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详见附件：供应商资质证明资料.docx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详见附件：商务响应偏差表.docx</w:t>
      </w:r>
    </w:p>
    <w:p>
      <w:pPr>
        <w:pStyle w:val="null3"/>
        <w:ind w:firstLine="960"/>
      </w:pPr>
      <w:r>
        <w:rPr>
          <w:rFonts w:ascii="仿宋_GB2312" w:hAnsi="仿宋_GB2312" w:cs="仿宋_GB2312" w:eastAsia="仿宋_GB2312"/>
        </w:rPr>
        <w:t>详见附件：技术响应偏差表.docx</w:t>
      </w:r>
    </w:p>
    <w:p>
      <w:pPr>
        <w:pStyle w:val="null3"/>
        <w:ind w:firstLine="960"/>
      </w:pPr>
      <w:r>
        <w:rPr>
          <w:rFonts w:ascii="仿宋_GB2312" w:hAnsi="仿宋_GB2312" w:cs="仿宋_GB2312" w:eastAsia="仿宋_GB2312"/>
        </w:rPr>
        <w:t>详见附件：运维实施方案.docx</w:t>
      </w:r>
    </w:p>
    <w:p>
      <w:pPr>
        <w:pStyle w:val="null3"/>
        <w:ind w:firstLine="960"/>
      </w:pPr>
      <w:r>
        <w:rPr>
          <w:rFonts w:ascii="仿宋_GB2312" w:hAnsi="仿宋_GB2312" w:cs="仿宋_GB2312" w:eastAsia="仿宋_GB2312"/>
        </w:rPr>
        <w:t>详见附件：应急保障方案.docx</w:t>
      </w:r>
    </w:p>
    <w:p>
      <w:pPr>
        <w:pStyle w:val="null3"/>
        <w:ind w:firstLine="960"/>
      </w:pPr>
      <w:r>
        <w:rPr>
          <w:rFonts w:ascii="仿宋_GB2312" w:hAnsi="仿宋_GB2312" w:cs="仿宋_GB2312" w:eastAsia="仿宋_GB2312"/>
        </w:rPr>
        <w:t>详见附件：能耗监测平台建设方案.docx</w:t>
      </w:r>
    </w:p>
    <w:p>
      <w:pPr>
        <w:pStyle w:val="null3"/>
        <w:ind w:firstLine="960"/>
      </w:pPr>
      <w:r>
        <w:rPr>
          <w:rFonts w:ascii="仿宋_GB2312" w:hAnsi="仿宋_GB2312" w:cs="仿宋_GB2312" w:eastAsia="仿宋_GB2312"/>
        </w:rPr>
        <w:t>详见附件：节能改造方案.docx</w:t>
      </w:r>
    </w:p>
    <w:p>
      <w:pPr>
        <w:pStyle w:val="null3"/>
        <w:ind w:firstLine="960"/>
      </w:pPr>
      <w:r>
        <w:rPr>
          <w:rFonts w:ascii="仿宋_GB2312" w:hAnsi="仿宋_GB2312" w:cs="仿宋_GB2312" w:eastAsia="仿宋_GB2312"/>
        </w:rPr>
        <w:t>详见附件：维保计划与措施.docx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