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3F2EC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shd w:val="clear" w:color="auto" w:fill="FFFFFF"/>
          <w:lang w:val="en-US" w:eastAsia="zh-CN"/>
        </w:rPr>
        <w:t>运维</w:t>
      </w:r>
      <w:r>
        <w:rPr>
          <w:rFonts w:hint="eastAsia" w:ascii="宋体" w:hAnsi="宋体" w:eastAsia="宋体" w:cs="宋体"/>
          <w:b/>
          <w:bCs/>
          <w:sz w:val="28"/>
          <w:szCs w:val="28"/>
          <w:shd w:val="clear" w:color="auto" w:fill="FFFFFF"/>
        </w:rPr>
        <w:t>实施方案</w:t>
      </w:r>
    </w:p>
    <w:p w14:paraId="0CAB331C">
      <w:pPr>
        <w:rPr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供应商根据评审标准自行填写，格式自拟</w:t>
      </w:r>
    </w:p>
    <w:p w14:paraId="20F6EF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B24E1"/>
    <w:rsid w:val="6A6B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2025-10-09T12:08:00Z</dcterms:created>
  <dc:creator>许芳芳</dc:creator>
  <cp:lastModifiedBy>许芳芳</cp:lastModifiedBy>
  <dcterms:modified xsi:type="dcterms:W3CDTF">2025-10-09T12:09:12Z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B538EDE1BAE84D038BDF0A4461DE9353_11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