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版本号：HCKPZY-ZB-2025040-220251110001</w:t>
      </w:r>
      <w:r>
        <w:br/>
      </w:r>
      <w:r>
        <w:br/>
      </w:r>
      <w:r>
        <w:br/>
      </w:r>
      <w:r>
        <w:br/>
      </w:r>
      <w:r>
        <w:br/>
      </w:r>
    </w:p>
    <w:p>
      <w:pPr>
        <w:pStyle w:val="null3"/>
        <w:jc w:val="center"/>
        <w:outlineLvl w:val="0"/>
      </w:pPr>
      <w:r>
        <w:rPr>
          <w:rFonts w:ascii="仿宋_GB2312" w:hAnsi="仿宋_GB2312" w:cs="仿宋_GB2312" w:eastAsia="仿宋_GB2312"/>
          <w:sz w:val="48"/>
          <w:b/>
        </w:rPr>
        <w:t>招 标 文 件</w:t>
      </w:r>
      <w:r>
        <w:br/>
      </w:r>
      <w:r>
        <w:br/>
      </w:r>
      <w:r>
        <w:br/>
      </w:r>
    </w:p>
    <w:p>
      <w:pPr>
        <w:pStyle w:val="null3"/>
        <w:jc w:val="center"/>
        <w:outlineLvl w:val="1"/>
      </w:pPr>
      <w:r>
        <w:rPr>
          <w:rFonts w:ascii="仿宋_GB2312" w:hAnsi="仿宋_GB2312" w:cs="仿宋_GB2312" w:eastAsia="仿宋_GB2312"/>
          <w:sz w:val="36"/>
          <w:b/>
        </w:rPr>
        <w:t>（货物类）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电子胃肠镜系统采购项目(二次)</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HCKPZY-ZB-2025040-2</w:t>
      </w:r>
      <w:r>
        <w:br/>
      </w:r>
      <w:r>
        <w:br/>
      </w:r>
      <w:r>
        <w:br/>
      </w:r>
    </w:p>
    <w:p>
      <w:pPr>
        <w:pStyle w:val="null3"/>
        <w:jc w:val="center"/>
        <w:outlineLvl w:val="2"/>
      </w:pPr>
      <w:r>
        <w:rPr>
          <w:rFonts w:ascii="仿宋_GB2312" w:hAnsi="仿宋_GB2312" w:cs="仿宋_GB2312" w:eastAsia="仿宋_GB2312"/>
          <w:sz w:val="28"/>
          <w:b/>
        </w:rPr>
        <w:t>陕西省交通医院</w:t>
      </w:r>
    </w:p>
    <w:p>
      <w:pPr>
        <w:pStyle w:val="null3"/>
        <w:jc w:val="center"/>
        <w:outlineLvl w:val="2"/>
      </w:pPr>
      <w:r>
        <w:rPr>
          <w:rFonts w:ascii="仿宋_GB2312" w:hAnsi="仿宋_GB2312" w:cs="仿宋_GB2312" w:eastAsia="仿宋_GB2312"/>
          <w:sz w:val="28"/>
          <w:b/>
        </w:rPr>
        <w:t>华春建设工程项目管理有限责任公司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2025年11月10日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pPr>
      <w:r>
        <w:rPr>
          <w:rFonts w:ascii="仿宋_GB2312" w:hAnsi="仿宋_GB2312" w:cs="仿宋_GB2312" w:eastAsia="仿宋_GB2312"/>
        </w:rPr>
        <w:t>华春建设工程项目管理有限责任公司</w:t>
      </w:r>
      <w:r>
        <w:rPr>
          <w:rFonts w:ascii="仿宋_GB2312" w:hAnsi="仿宋_GB2312" w:cs="仿宋_GB2312" w:eastAsia="仿宋_GB2312"/>
        </w:rPr>
        <w:t>（以下简称“代理机构”）受</w:t>
      </w:r>
      <w:r>
        <w:rPr>
          <w:rFonts w:ascii="仿宋_GB2312" w:hAnsi="仿宋_GB2312" w:cs="仿宋_GB2312" w:eastAsia="仿宋_GB2312"/>
        </w:rPr>
        <w:t>陕西省交通医院</w:t>
      </w:r>
      <w:r>
        <w:rPr>
          <w:rFonts w:ascii="仿宋_GB2312" w:hAnsi="仿宋_GB2312" w:cs="仿宋_GB2312" w:eastAsia="仿宋_GB2312"/>
        </w:rPr>
        <w:t>委托，拟对</w:t>
      </w:r>
      <w:r>
        <w:rPr>
          <w:rFonts w:ascii="仿宋_GB2312" w:hAnsi="仿宋_GB2312" w:cs="仿宋_GB2312" w:eastAsia="仿宋_GB2312"/>
        </w:rPr>
        <w:t>电子胃肠镜系统采购项目(二次)</w:t>
      </w:r>
      <w:r>
        <w:rPr>
          <w:rFonts w:ascii="仿宋_GB2312" w:hAnsi="仿宋_GB2312" w:cs="仿宋_GB2312" w:eastAsia="仿宋_GB2312"/>
        </w:rPr>
        <w:t>进行国内公开招标，兹邀请符合本次招标要求的供应商参加投标。</w:t>
      </w:r>
    </w:p>
    <w:p>
      <w:pPr>
        <w:pStyle w:val="null3"/>
        <w:outlineLvl w:val="2"/>
      </w:pPr>
      <w:r>
        <w:rPr>
          <w:rFonts w:ascii="仿宋_GB2312" w:hAnsi="仿宋_GB2312" w:cs="仿宋_GB2312" w:eastAsia="仿宋_GB2312"/>
          <w:sz w:val="28"/>
          <w:b/>
        </w:rPr>
        <w:t>一、采购项目编号：</w:t>
      </w:r>
      <w:r>
        <w:rPr>
          <w:rFonts w:ascii="仿宋_GB2312" w:hAnsi="仿宋_GB2312" w:cs="仿宋_GB2312" w:eastAsia="仿宋_GB2312"/>
          <w:sz w:val="28"/>
          <w:b/>
        </w:rPr>
        <w:t>HCKPZY-ZB-2025040-2</w:t>
      </w:r>
    </w:p>
    <w:p>
      <w:pPr>
        <w:pStyle w:val="null3"/>
        <w:outlineLvl w:val="2"/>
      </w:pPr>
      <w:r>
        <w:rPr>
          <w:rFonts w:ascii="仿宋_GB2312" w:hAnsi="仿宋_GB2312" w:cs="仿宋_GB2312" w:eastAsia="仿宋_GB2312"/>
          <w:sz w:val="28"/>
          <w:b/>
        </w:rPr>
        <w:t>二、采购项目名称：</w:t>
      </w:r>
      <w:r>
        <w:rPr>
          <w:rFonts w:ascii="仿宋_GB2312" w:hAnsi="仿宋_GB2312" w:cs="仿宋_GB2312" w:eastAsia="仿宋_GB2312"/>
          <w:sz w:val="28"/>
          <w:b/>
        </w:rPr>
        <w:t>电子胃肠镜系统采购项目(二次)</w:t>
      </w:r>
    </w:p>
    <w:p>
      <w:pPr>
        <w:pStyle w:val="null3"/>
        <w:outlineLvl w:val="2"/>
      </w:pPr>
      <w:r>
        <w:rPr>
          <w:rFonts w:ascii="仿宋_GB2312" w:hAnsi="仿宋_GB2312" w:cs="仿宋_GB2312" w:eastAsia="仿宋_GB2312"/>
          <w:sz w:val="28"/>
          <w:b/>
        </w:rPr>
        <w:t>三、招标项目简介</w:t>
      </w:r>
    </w:p>
    <w:p>
      <w:pPr>
        <w:pStyle w:val="null3"/>
        <w:ind w:firstLine="480"/>
      </w:pPr>
      <w:r>
        <w:rPr>
          <w:rFonts w:ascii="仿宋_GB2312" w:hAnsi="仿宋_GB2312" w:cs="仿宋_GB2312" w:eastAsia="仿宋_GB2312"/>
        </w:rPr>
        <w:t>陕西省交通医院电子胃肠镜系统采购项目，采购预算：2100000.00元。具体内容详见招标文件第三章。</w:t>
      </w:r>
    </w:p>
    <w:p>
      <w:pPr>
        <w:pStyle w:val="null3"/>
        <w:outlineLvl w:val="2"/>
      </w:pPr>
      <w:r>
        <w:rPr>
          <w:rFonts w:ascii="仿宋_GB2312" w:hAnsi="仿宋_GB2312" w:cs="仿宋_GB2312" w:eastAsia="仿宋_GB2312"/>
          <w:sz w:val="28"/>
          <w:b/>
        </w:rPr>
        <w:t>四、供应商参加本次政府采购活动应具备的条件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1.执行政府采购促进中小企业发展的相关政策</w:t>
      </w:r>
    </w:p>
    <w:p>
      <w:pPr>
        <w:pStyle w:val="null3"/>
      </w:pPr>
      <w:r>
        <w:rPr>
          <w:rFonts w:ascii="仿宋_GB2312" w:hAnsi="仿宋_GB2312" w:cs="仿宋_GB2312" w:eastAsia="仿宋_GB2312"/>
        </w:rPr>
        <w:t>无</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1、有效的主体资格证明：具有独立承担民事责任能力的法人、其他组织或自然人，并出具合法有效的营业执照或事业单位法人证书等国家规定的相关证明，自然人参与的提供其身份证明。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财务状况报告：提供2023或2024年度经审计的财务报告（包括“四表一注”，即资产负债表、利润表、现金流量表、所有者权益变动表及其附注，成立时间至提交投标文件截止时间不足一年的可提供成立后任意时段的资产负债表），或其开标前六个月内银行出具的资信证明。（以上两种形式的资料提供任何一种即可）。</w:t>
      </w:r>
    </w:p>
    <w:p>
      <w:pPr>
        <w:pStyle w:val="null3"/>
      </w:pPr>
      <w:r>
        <w:rPr>
          <w:rFonts w:ascii="仿宋_GB2312" w:hAnsi="仿宋_GB2312" w:cs="仿宋_GB2312" w:eastAsia="仿宋_GB2312"/>
        </w:rPr>
        <w:t>3、税收缴纳证明：提供开标截止日期近一年内已缴纳至少一个月的依法缴纳税款的相关凭据（时间以税款所属日期为准），凭据应有税务机关或代收机关的公章或业务专用章。依法免税或无须缴纳税款的投标人，应提供相关证明文件。</w:t>
      </w:r>
    </w:p>
    <w:p>
      <w:pPr>
        <w:pStyle w:val="null3"/>
      </w:pPr>
      <w:r>
        <w:rPr>
          <w:rFonts w:ascii="仿宋_GB2312" w:hAnsi="仿宋_GB2312" w:cs="仿宋_GB2312" w:eastAsia="仿宋_GB2312"/>
        </w:rPr>
        <w:t>4、社会保障资金缴纳证明：提供开标截止日期近一年内已缴纳的至少一个月的社会保障资金缴存单据或社保机构开具的社会保险参保缴费情况证明，依法不需要缴纳社会保障资金的单位应提供相关证明材料。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5、书面声明：参加本次政府采购活动前三年内在经营活动中没有重大违纪，以及未被列入失信被执行人、重大税收违法失信主体、政府采购严重违法失信行为记录名单的书面声明。本项目拒绝被列入失信被执行人、重大税收违法失信主体、政府采购严重违法失信行为的投标人参与。</w:t>
      </w:r>
    </w:p>
    <w:p>
      <w:pPr>
        <w:pStyle w:val="null3"/>
      </w:pPr>
      <w:r>
        <w:rPr>
          <w:rFonts w:ascii="仿宋_GB2312" w:hAnsi="仿宋_GB2312" w:cs="仿宋_GB2312" w:eastAsia="仿宋_GB2312"/>
        </w:rPr>
        <w:t>6、承诺函：提供具有履行合同所必需的设备和专业技术能力的承诺函。</w:t>
      </w:r>
    </w:p>
    <w:p>
      <w:pPr>
        <w:pStyle w:val="null3"/>
      </w:pPr>
      <w:r>
        <w:rPr>
          <w:rFonts w:ascii="仿宋_GB2312" w:hAnsi="仿宋_GB2312" w:cs="仿宋_GB2312" w:eastAsia="仿宋_GB2312"/>
        </w:rPr>
        <w:t>7、法定代表人授权书：法定代表人授权书及被授权人身份证明。（法定代表人直接投标只须提供其身份证明）</w:t>
      </w:r>
    </w:p>
    <w:p>
      <w:pPr>
        <w:pStyle w:val="null3"/>
      </w:pPr>
      <w:r>
        <w:rPr>
          <w:rFonts w:ascii="仿宋_GB2312" w:hAnsi="仿宋_GB2312" w:cs="仿宋_GB2312" w:eastAsia="仿宋_GB2312"/>
        </w:rPr>
        <w:t>8、特定资质：1、投标人为经销商的应具有有效的医疗器械经营许可证或经营备案凭证；投标人为制造厂家应具有有效的医疗器械生产许可证，且具有有效的医疗器械经营许可证或经营备案凭证。2、投标产品为医疗设备的需提供产品的有效医疗器械注册证或备案证。</w:t>
      </w:r>
    </w:p>
    <w:p>
      <w:pPr>
        <w:pStyle w:val="null3"/>
        <w:outlineLvl w:val="2"/>
      </w:pPr>
      <w:r>
        <w:rPr>
          <w:rFonts w:ascii="仿宋_GB2312" w:hAnsi="仿宋_GB2312" w:cs="仿宋_GB2312" w:eastAsia="仿宋_GB2312"/>
          <w:sz w:val="28"/>
          <w:b/>
        </w:rPr>
        <w:t>五、电子化采购相关事项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六、招标文件获取时间、方式及地址</w:t>
      </w:r>
    </w:p>
    <w:p>
      <w:pPr>
        <w:pStyle w:val="null3"/>
        <w:ind w:firstLine="480"/>
      </w:pPr>
      <w:r>
        <w:rPr>
          <w:rFonts w:ascii="仿宋_GB2312" w:hAnsi="仿宋_GB2312" w:cs="仿宋_GB2312" w:eastAsia="仿宋_GB2312"/>
        </w:rPr>
        <w:t>（一）招标文件获取时间：详见采购公告</w:t>
      </w:r>
    </w:p>
    <w:p>
      <w:pPr>
        <w:pStyle w:val="null3"/>
        <w:ind w:firstLine="480"/>
      </w:pPr>
      <w:r>
        <w:rPr>
          <w:rFonts w:ascii="仿宋_GB2312" w:hAnsi="仿宋_GB2312" w:cs="仿宋_GB2312" w:eastAsia="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pPr>
        <w:pStyle w:val="null3"/>
        <w:ind w:firstLine="480"/>
      </w:pPr>
      <w:r>
        <w:rPr>
          <w:rFonts w:ascii="仿宋_GB2312" w:hAnsi="仿宋_GB2312" w:cs="仿宋_GB2312" w:eastAsia="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pPr>
        <w:pStyle w:val="null3"/>
        <w:jc w:val="left"/>
      </w:pPr>
      <w:r>
        <w:rPr>
          <w:rFonts w:ascii="仿宋_GB2312" w:hAnsi="仿宋_GB2312" w:cs="仿宋_GB2312" w:eastAsia="仿宋_GB2312"/>
        </w:rPr>
        <w:t>注：获取的招标文件主体格式包括pdf、word两种格式版本，其中以pdf格式为准。</w:t>
      </w:r>
    </w:p>
    <w:p>
      <w:pPr>
        <w:pStyle w:val="null3"/>
        <w:outlineLvl w:val="2"/>
      </w:pPr>
      <w:r>
        <w:rPr>
          <w:rFonts w:ascii="仿宋_GB2312" w:hAnsi="仿宋_GB2312" w:cs="仿宋_GB2312" w:eastAsia="仿宋_GB2312"/>
          <w:sz w:val="28"/>
          <w:b/>
        </w:rPr>
        <w:t>七、投标文件提交截止时间及开标时间、地点、方式</w:t>
      </w:r>
    </w:p>
    <w:p>
      <w:pPr>
        <w:pStyle w:val="null3"/>
        <w:ind w:firstLine="480"/>
      </w:pPr>
      <w:r>
        <w:rPr>
          <w:rFonts w:ascii="仿宋_GB2312" w:hAnsi="仿宋_GB2312" w:cs="仿宋_GB2312" w:eastAsia="仿宋_GB2312"/>
        </w:rPr>
        <w:t>（一）投标文件提交截止时间及开标时间：详见采购公告</w:t>
      </w:r>
    </w:p>
    <w:p>
      <w:pPr>
        <w:pStyle w:val="null3"/>
        <w:ind w:firstLine="480"/>
      </w:pPr>
      <w:r>
        <w:rPr>
          <w:rFonts w:ascii="仿宋_GB2312" w:hAnsi="仿宋_GB2312" w:cs="仿宋_GB2312" w:eastAsia="仿宋_GB2312"/>
        </w:rPr>
        <w:t xml:space="preserve"> （二）投标文件提交方式、地点：供应商应当在投标文件提交截止时间前，通过项目电子化交易系统提交投标文件。成功提交的，供应商将收到已提交投标文件的回执函。</w:t>
      </w:r>
    </w:p>
    <w:p>
      <w:pPr>
        <w:pStyle w:val="null3"/>
        <w:ind w:firstLine="480"/>
      </w:pPr>
      <w:r>
        <w:rPr>
          <w:rFonts w:ascii="仿宋_GB2312" w:hAnsi="仿宋_GB2312" w:cs="仿宋_GB2312" w:eastAsia="仿宋_GB2312"/>
        </w:rPr>
        <w:t>（三）本项目采取网上开标，即采购人或代理机构通过项目电子化交易系统“开标/开启大厅”组织在线开标。</w:t>
      </w:r>
    </w:p>
    <w:p>
      <w:pPr>
        <w:pStyle w:val="null3"/>
        <w:outlineLvl w:val="2"/>
      </w:pPr>
      <w:r>
        <w:rPr>
          <w:rFonts w:ascii="仿宋_GB2312" w:hAnsi="仿宋_GB2312" w:cs="仿宋_GB2312" w:eastAsia="仿宋_GB2312"/>
          <w:sz w:val="28"/>
          <w:b/>
        </w:rPr>
        <w:t>八、本投标邀请在陕西省政府采购网以公告形式发布</w:t>
      </w:r>
    </w:p>
    <w:p>
      <w:pPr>
        <w:pStyle w:val="null3"/>
        <w:outlineLvl w:val="2"/>
      </w:pPr>
      <w:r>
        <w:rPr>
          <w:rFonts w:ascii="仿宋_GB2312" w:hAnsi="仿宋_GB2312" w:cs="仿宋_GB2312" w:eastAsia="仿宋_GB2312"/>
          <w:sz w:val="28"/>
          <w:b/>
        </w:rPr>
        <w:t>九、供应商信用融资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pPr>
        <w:pStyle w:val="null3"/>
        <w:outlineLvl w:val="2"/>
      </w:pPr>
      <w:r>
        <w:rPr>
          <w:rFonts w:ascii="仿宋_GB2312" w:hAnsi="仿宋_GB2312" w:cs="仿宋_GB2312" w:eastAsia="仿宋_GB2312"/>
          <w:sz w:val="28"/>
          <w:b/>
        </w:rPr>
        <w:t>十、联系方式</w:t>
      </w:r>
    </w:p>
    <w:p>
      <w:pPr>
        <w:pStyle w:val="null3"/>
        <w:outlineLvl w:val="2"/>
      </w:pPr>
      <w:r>
        <w:rPr>
          <w:rFonts w:ascii="仿宋_GB2312" w:hAnsi="仿宋_GB2312" w:cs="仿宋_GB2312" w:eastAsia="仿宋_GB2312"/>
          <w:sz w:val="28"/>
          <w:b/>
        </w:rPr>
        <w:t xml:space="preserve">采购人： </w:t>
      </w:r>
      <w:r>
        <w:rPr>
          <w:rFonts w:ascii="仿宋_GB2312" w:hAnsi="仿宋_GB2312" w:cs="仿宋_GB2312" w:eastAsia="仿宋_GB2312"/>
          <w:sz w:val="28"/>
          <w:b/>
        </w:rPr>
        <w:t>陕西省交通医院</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西安市大学南路276号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冯老师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029-88489770</w:t>
      </w:r>
    </w:p>
    <w:p>
      <w:pPr>
        <w:pStyle w:val="null3"/>
        <w:outlineLvl w:val="2"/>
      </w:pPr>
      <w:r>
        <w:rPr>
          <w:rFonts w:ascii="仿宋_GB2312" w:hAnsi="仿宋_GB2312" w:cs="仿宋_GB2312" w:eastAsia="仿宋_GB2312"/>
          <w:sz w:val="28"/>
          <w:b/>
        </w:rPr>
        <w:t>代理机构：</w:t>
      </w:r>
      <w:r>
        <w:rPr>
          <w:rFonts w:ascii="仿宋_GB2312" w:hAnsi="仿宋_GB2312" w:cs="仿宋_GB2312" w:eastAsia="仿宋_GB2312"/>
          <w:sz w:val="28"/>
          <w:b/>
        </w:rPr>
        <w:t>华春建设工程项目管理有限责任公司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陕西省西安市南二环西段58号成长大厦8楼</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郭雄龙、张聪</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029-85205306、17791552327</w:t>
      </w:r>
    </w:p>
    <w:p>
      <w:pPr>
        <w:pStyle w:val="null3"/>
        <w:outlineLvl w:val="2"/>
      </w:pPr>
      <w:r>
        <w:rPr>
          <w:rFonts w:ascii="仿宋_GB2312" w:hAnsi="仿宋_GB2312" w:cs="仿宋_GB2312" w:eastAsia="仿宋_GB2312"/>
          <w:sz w:val="28"/>
          <w:b/>
        </w:rPr>
        <w:t>采购监督机构：</w:t>
      </w:r>
      <w:r>
        <w:rPr>
          <w:rFonts w:ascii="仿宋_GB2312" w:hAnsi="仿宋_GB2312" w:cs="仿宋_GB2312" w:eastAsia="仿宋_GB2312"/>
          <w:sz w:val="28"/>
          <w:b/>
        </w:rPr>
        <w:t>财政厅政府采购管理处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柴老师、杨老师</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029-68936409、029-68936410</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w:t>
      </w:r>
    </w:p>
    <w:p>
      <w:pPr>
        <w:pStyle w:val="null3"/>
        <w:outlineLvl w:val="2"/>
      </w:pPr>
      <w:r>
        <w:rPr>
          <w:rFonts w:ascii="仿宋_GB2312" w:hAnsi="仿宋_GB2312" w:cs="仿宋_GB2312" w:eastAsia="仿宋_GB2312"/>
          <w:sz w:val="28"/>
          <w:b/>
        </w:rPr>
        <w:t>2.1投标人须知前附表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采购包1：2,100,000.00元</w:t>
            </w:r>
            <w:r>
              <w:rPr>
                <w:rFonts w:ascii="仿宋_GB2312" w:hAnsi="仿宋_GB2312" w:cs="仿宋_GB2312" w:eastAsia="仿宋_GB2312"/>
              </w:rPr>
              <w:t xml:space="preserve"> 投标人的采购包投标报价高于采购包采购预算的，其投标文件将按无效处理。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投标人的采购包投标报价高于最高限价的，其投标文件将按无效处理。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评标方法</w:t>
            </w:r>
          </w:p>
        </w:tc>
        <w:tc>
          <w:tcPr>
            <w:tcW w:type="dxa" w:w="5004"/>
          </w:tcPr>
          <w:p>
            <w:pPr>
              <w:pStyle w:val="null3"/>
            </w:pPr>
            <w:r>
              <w:rPr>
                <w:rFonts w:ascii="仿宋_GB2312" w:hAnsi="仿宋_GB2312" w:cs="仿宋_GB2312" w:eastAsia="仿宋_GB2312"/>
              </w:rPr>
              <w:t>采购包1：综合评分法</w:t>
            </w:r>
            <w:r>
              <w:rPr>
                <w:rFonts w:ascii="仿宋_GB2312" w:hAnsi="仿宋_GB2312" w:cs="仿宋_GB2312" w:eastAsia="仿宋_GB2312"/>
              </w:rPr>
              <w:t xml:space="preserve"> （详见第五章）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如以联合体投标的，联合体各方均应当具备本招标文件要求的资格条件和能力。</w:t>
            </w:r>
          </w:p>
          <w:p>
            <w:pPr>
              <w:pStyle w:val="null3"/>
            </w:pPr>
            <w:r>
              <w:rPr>
                <w:rFonts w:ascii="仿宋_GB2312" w:hAnsi="仿宋_GB2312" w:cs="仿宋_GB2312" w:eastAsia="仿宋_GB2312"/>
              </w:rPr>
              <w:t xml:space="preserve"> （1）联合体各方均应具有承担本项目必备的条件，如相应的人力、物力、资金等。</w:t>
            </w:r>
          </w:p>
          <w:p>
            <w:pPr>
              <w:pStyle w:val="null3"/>
            </w:pPr>
            <w:r>
              <w:rPr>
                <w:rFonts w:ascii="仿宋_GB2312" w:hAnsi="仿宋_GB2312" w:cs="仿宋_GB2312" w:eastAsia="仿宋_GB2312"/>
              </w:rPr>
              <w:t xml:space="preserve"> （2）招标文件对投标人资格条件有特殊要求的，联合体各个成员都应当具备规定的相应资格条件。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如有</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产品属于节能产品政府采购品目清单中应强制采购的产品范围，供应商应当提供国家确定的认证机构出具的、处于有效期之内的节能产品认证证书，否则作无效投标处理。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如有</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如有</w:t>
            </w:r>
            <w:r>
              <w:rPr>
                <w:rFonts w:ascii="仿宋_GB2312" w:hAnsi="仿宋_GB2312" w:cs="仿宋_GB2312" w:eastAsia="仿宋_GB2312"/>
              </w:rPr>
              <w:t>产品属于环境标志产品政府采购品目清单中应优先采购的产品范围，评审得分/响应报价相同的，按供应商提供的优先采购产品认证证书数量由多到少顺序排列。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 xml:space="preserve"> 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关于本项目采购包中执行小微企业（监狱企业、残疾人福利性单位视同小微企业）价格扣除情况、具体扣除比例和规则详见第五章。</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pPr>
              <w:pStyle w:val="null3"/>
            </w:pPr>
            <w:r>
              <w:rPr>
                <w:rFonts w:ascii="仿宋_GB2312" w:hAnsi="仿宋_GB2312" w:cs="仿宋_GB2312" w:eastAsia="仿宋_GB2312"/>
              </w:rPr>
              <w:t xml:space="preserve"> 采用最低评标价法的采购项目，提供相同品牌产品的不同投标人参加同一合同项下投标的，以其中通过资格审查、符合性审查且报价最低的参加评标；报价相同的，由采购人或者采购人委托评标委员会按照随机抽取方式确定一个参加评标的投标人，其他投标无效。</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在符合性审查环节提供核心产品品牌不足3个的，视为有效投标人不足3家。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投标保证金</w:t>
            </w:r>
          </w:p>
        </w:tc>
        <w:tc>
          <w:tcPr>
            <w:tcW w:type="dxa" w:w="5004"/>
          </w:tcPr>
          <w:p>
            <w:pPr>
              <w:pStyle w:val="null3"/>
            </w:pPr>
            <w:r>
              <w:rPr>
                <w:rFonts w:ascii="仿宋_GB2312" w:hAnsi="仿宋_GB2312" w:cs="仿宋_GB2312" w:eastAsia="仿宋_GB2312"/>
              </w:rPr>
              <w:t>采购包1保证金金额：40,000.00元</w:t>
            </w:r>
          </w:p>
          <w:p>
            <w:pPr>
              <w:pStyle w:val="null3"/>
            </w:pPr>
            <w:r>
              <w:rPr>
                <w:rFonts w:ascii="仿宋_GB2312" w:hAnsi="仿宋_GB2312" w:cs="仿宋_GB2312" w:eastAsia="仿宋_GB2312"/>
              </w:rPr>
              <w:t>缴交渠道：电子保函,转账、支票、汇票等（需通过实体账户、户名及开户行信息）</w:t>
            </w:r>
          </w:p>
          <w:p>
            <w:pPr>
              <w:pStyle w:val="null3"/>
            </w:pPr>
            <w:r>
              <w:rPr>
                <w:rFonts w:ascii="仿宋_GB2312" w:hAnsi="仿宋_GB2312" w:cs="仿宋_GB2312" w:eastAsia="仿宋_GB2312"/>
              </w:rPr>
              <w:t>开户名称：华春建设工程项目管理有限责任公司</w:t>
            </w:r>
          </w:p>
          <w:p>
            <w:pPr>
              <w:pStyle w:val="null3"/>
            </w:pPr>
            <w:r>
              <w:rPr>
                <w:rFonts w:ascii="仿宋_GB2312" w:hAnsi="仿宋_GB2312" w:cs="仿宋_GB2312" w:eastAsia="仿宋_GB2312"/>
              </w:rPr>
              <w:t>开户银行：平安银行西安分行营业部</w:t>
            </w:r>
          </w:p>
          <w:p>
            <w:pPr>
              <w:pStyle w:val="null3"/>
            </w:pPr>
            <w:r>
              <w:rPr>
                <w:rFonts w:ascii="仿宋_GB2312" w:hAnsi="仿宋_GB2312" w:cs="仿宋_GB2312" w:eastAsia="仿宋_GB2312"/>
              </w:rPr>
              <w:t>银行账号：30208471002561</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说明：设备到货安装试运行稳定且验收合格后，乙方应按合同总价款的 5%向甲方支付履约金或提供开户银行按照合同总价5%开具的履约保函，售后服务期满后无任何质量问题履约保证金一次性无息退还或履约保函自动解除。</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投标有效期（实质性要求）</w:t>
            </w:r>
          </w:p>
        </w:tc>
        <w:tc>
          <w:tcPr>
            <w:tcW w:type="dxa" w:w="5004"/>
          </w:tcPr>
          <w:p>
            <w:pPr>
              <w:pStyle w:val="null3"/>
            </w:pPr>
            <w:r>
              <w:rPr>
                <w:rFonts w:ascii="仿宋_GB2312" w:hAnsi="仿宋_GB2312" w:cs="仿宋_GB2312" w:eastAsia="仿宋_GB2312"/>
              </w:rPr>
              <w:t>提交投标文件的截止之日起不少于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招标代理服务费（实质性要求）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参照国家计委颁发的《招标代理服务收费管理暂行办法》（计价格[2002]1980号）和国家发展改革委员会办公厅颁发的《关于招标代理服务收费有关问题的通知》（发改办价格[2003]857号）的有关规定下浮20%收取。</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中标通知书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采购结果公告发布的同时，采购人或代理机构通过项目电子化交易系统向中标供应商发出中标通知书；中标供应商通过项目电子化交易系统获取中标通知书。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 出现下列情形之一的，采购人或者采购代理机构应当中止电子化采购活动，并保留相关证明材料备查：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出现上述的情形，不影响采购公平、公正的，采购人或者代理机构可以待上述情形消除后继续组织采购活动；影响或者可能影响采购公平、公正的，采购人或者代理机构应当依法废标。</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一、本招标文件仅适用于本次公开招标采购项目。</w:t>
      </w:r>
    </w:p>
    <w:p>
      <w:pPr>
        <w:pStyle w:val="null3"/>
        <w:ind w:firstLine="480"/>
      </w:pPr>
      <w:r>
        <w:rPr>
          <w:rFonts w:ascii="仿宋_GB2312" w:hAnsi="仿宋_GB2312" w:cs="仿宋_GB2312" w:eastAsia="仿宋_GB2312"/>
        </w:rPr>
        <w:t xml:space="preserve"> 二、本招标文件的最终解释权由</w:t>
      </w:r>
      <w:r>
        <w:rPr>
          <w:rFonts w:ascii="仿宋_GB2312" w:hAnsi="仿宋_GB2312" w:cs="仿宋_GB2312" w:eastAsia="仿宋_GB2312"/>
        </w:rPr>
        <w:t>陕西省交通医院</w:t>
      </w:r>
      <w:r>
        <w:rPr>
          <w:rFonts w:ascii="仿宋_GB2312" w:hAnsi="仿宋_GB2312" w:cs="仿宋_GB2312" w:eastAsia="仿宋_GB2312"/>
        </w:rPr>
        <w:t>和</w:t>
      </w:r>
      <w:r>
        <w:rPr>
          <w:rFonts w:ascii="仿宋_GB2312" w:hAnsi="仿宋_GB2312" w:cs="仿宋_GB2312" w:eastAsia="仿宋_GB2312"/>
        </w:rPr>
        <w:t>华春建设工程项目管理有限责任公司</w:t>
      </w:r>
      <w:r>
        <w:rPr>
          <w:rFonts w:ascii="仿宋_GB2312" w:hAnsi="仿宋_GB2312" w:cs="仿宋_GB2312" w:eastAsia="仿宋_GB2312"/>
        </w:rPr>
        <w:t>享有。对招标文件中供应商参加本次政府采购活动应当具备的条件，招标项目技术、服务、商务及其他要求，评标细则及标准由</w:t>
      </w:r>
      <w:r>
        <w:rPr>
          <w:rFonts w:ascii="仿宋_GB2312" w:hAnsi="仿宋_GB2312" w:cs="仿宋_GB2312" w:eastAsia="仿宋_GB2312"/>
        </w:rPr>
        <w:t>陕西省交通医院</w:t>
      </w:r>
      <w:r>
        <w:rPr>
          <w:rFonts w:ascii="仿宋_GB2312" w:hAnsi="仿宋_GB2312" w:cs="仿宋_GB2312" w:eastAsia="仿宋_GB2312"/>
        </w:rPr>
        <w:t>负责解释。除上述招标文件内容，其他内容由</w:t>
      </w:r>
      <w:r>
        <w:rPr>
          <w:rFonts w:ascii="仿宋_GB2312" w:hAnsi="仿宋_GB2312" w:cs="仿宋_GB2312" w:eastAsia="仿宋_GB2312"/>
        </w:rPr>
        <w:t>华春建设工程项目管理有限责任公司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一、“采购人”是指依法进行政府采购的各级国家机关、事业单位、团体组织。本次招标的采购人是</w:t>
      </w:r>
      <w:r>
        <w:rPr>
          <w:rFonts w:ascii="仿宋_GB2312" w:hAnsi="仿宋_GB2312" w:cs="仿宋_GB2312" w:eastAsia="仿宋_GB2312"/>
        </w:rPr>
        <w:t>陕西省交通医院</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二、“投标人”是指按照采购公告规定获取了招标文件，拟参加投标和向采购人提供货物、工程或服务的法人、其他组织或者自然人。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华春建设工程项目管理有限责任公司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四、“网上开标”是指代理机构通过项目电子化交易系统在线完成签到、开标、唱标和记录等活动，供应商通过项目电子化交易系统在线完成投标文件解密、参与开标活动。</w:t>
      </w:r>
    </w:p>
    <w:p>
      <w:pPr>
        <w:pStyle w:val="null3"/>
        <w:ind w:firstLine="480"/>
      </w:pPr>
      <w:r>
        <w:rPr>
          <w:rFonts w:ascii="仿宋_GB2312" w:hAnsi="仿宋_GB2312" w:cs="仿宋_GB2312" w:eastAsia="仿宋_GB2312"/>
        </w:rPr>
        <w:t xml:space="preserve"> 五、“电子评标”是指通过项目电子化交易系统在线完成资格审查小组和评审小组组建，开展资格和符合性审查、比较与评价、出具评标报告、推荐中标候选供应商等活动。</w:t>
      </w:r>
    </w:p>
    <w:p>
      <w:pPr>
        <w:pStyle w:val="null3"/>
        <w:outlineLvl w:val="2"/>
      </w:pPr>
      <w:r>
        <w:rPr>
          <w:rFonts w:ascii="仿宋_GB2312" w:hAnsi="仿宋_GB2312" w:cs="仿宋_GB2312" w:eastAsia="仿宋_GB2312"/>
          <w:sz w:val="28"/>
          <w:b/>
        </w:rPr>
        <w:t>2.3招标文件</w:t>
      </w:r>
    </w:p>
    <w:p>
      <w:pPr>
        <w:pStyle w:val="null3"/>
        <w:outlineLvl w:val="3"/>
      </w:pPr>
      <w:r>
        <w:rPr>
          <w:rFonts w:ascii="仿宋_GB2312" w:hAnsi="仿宋_GB2312" w:cs="仿宋_GB2312" w:eastAsia="仿宋_GB2312"/>
          <w:sz w:val="24"/>
          <w:b/>
        </w:rPr>
        <w:t xml:space="preserve"> 2.3.1招标文件的构成</w:t>
      </w:r>
    </w:p>
    <w:p>
      <w:pPr>
        <w:pStyle w:val="null3"/>
        <w:ind w:firstLine="480"/>
      </w:pPr>
      <w:r>
        <w:rPr>
          <w:rFonts w:ascii="仿宋_GB2312" w:hAnsi="仿宋_GB2312" w:cs="仿宋_GB2312" w:eastAsia="仿宋_GB2312"/>
        </w:rPr>
        <w:t xml:space="preserve"> 一、招标文件是投标人准备投标文件和参加投标的依据，同时也是资格审查、评标的重要依据。招标文件用以阐明招标项目所需的资质、技术、服务及报价等要求、招标投标程序、有关规定和注意事项以及合同主要条款等。本招标文件包括以下内容：</w:t>
      </w:r>
    </w:p>
    <w:p>
      <w:pPr>
        <w:pStyle w:val="null3"/>
        <w:ind w:firstLine="480"/>
      </w:pPr>
      <w:r>
        <w:rPr>
          <w:rFonts w:ascii="仿宋_GB2312" w:hAnsi="仿宋_GB2312" w:cs="仿宋_GB2312" w:eastAsia="仿宋_GB2312"/>
        </w:rPr>
        <w:t>（一）投标邀请；</w:t>
      </w:r>
    </w:p>
    <w:p>
      <w:pPr>
        <w:pStyle w:val="null3"/>
        <w:ind w:firstLine="480"/>
      </w:pPr>
      <w:r>
        <w:rPr>
          <w:rFonts w:ascii="仿宋_GB2312" w:hAnsi="仿宋_GB2312" w:cs="仿宋_GB2312" w:eastAsia="仿宋_GB2312"/>
        </w:rPr>
        <w:t>（二）投标人须知；</w:t>
      </w:r>
    </w:p>
    <w:p>
      <w:pPr>
        <w:pStyle w:val="null3"/>
        <w:ind w:firstLine="480"/>
      </w:pPr>
      <w:r>
        <w:rPr>
          <w:rFonts w:ascii="仿宋_GB2312" w:hAnsi="仿宋_GB2312" w:cs="仿宋_GB2312" w:eastAsia="仿宋_GB2312"/>
        </w:rPr>
        <w:t>（三）招标项目技术、服务、商务及其他要求；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（五）评标办法；</w:t>
      </w:r>
    </w:p>
    <w:p>
      <w:pPr>
        <w:pStyle w:val="null3"/>
        <w:ind w:firstLine="480"/>
      </w:pPr>
      <w:r>
        <w:rPr>
          <w:rFonts w:ascii="仿宋_GB2312" w:hAnsi="仿宋_GB2312" w:cs="仿宋_GB2312" w:eastAsia="仿宋_GB2312"/>
        </w:rPr>
        <w:t>（六）投标文件格式；</w:t>
      </w:r>
    </w:p>
    <w:p>
      <w:pPr>
        <w:pStyle w:val="null3"/>
        <w:ind w:firstLine="480"/>
      </w:pPr>
      <w:r>
        <w:rPr>
          <w:rFonts w:ascii="仿宋_GB2312" w:hAnsi="仿宋_GB2312" w:cs="仿宋_GB2312" w:eastAsia="仿宋_GB2312"/>
        </w:rPr>
        <w:t>（七）拟签订采购合同文本。</w:t>
      </w:r>
    </w:p>
    <w:p>
      <w:pPr>
        <w:pStyle w:val="null3"/>
        <w:ind w:firstLine="480"/>
      </w:pPr>
      <w:r>
        <w:rPr>
          <w:rFonts w:ascii="仿宋_GB2312" w:hAnsi="仿宋_GB2312" w:cs="仿宋_GB2312" w:eastAsia="仿宋_GB2312"/>
        </w:rPr>
        <w:t xml:space="preserve"> 二、投标人应认真阅读和充分理解招标文件中所有的事项、格式条款和规范要求。投标人没有对招标文件全面做出实质性响应所产生的风险由投标人承担。</w:t>
      </w:r>
    </w:p>
    <w:p>
      <w:pPr>
        <w:pStyle w:val="null3"/>
        <w:outlineLvl w:val="3"/>
      </w:pPr>
      <w:r>
        <w:rPr>
          <w:rFonts w:ascii="仿宋_GB2312" w:hAnsi="仿宋_GB2312" w:cs="仿宋_GB2312" w:eastAsia="仿宋_GB2312"/>
          <w:sz w:val="24"/>
          <w:b/>
        </w:rPr>
        <w:t xml:space="preserve"> 2.3.2招标文件的澄清和修改</w:t>
      </w:r>
    </w:p>
    <w:p>
      <w:pPr>
        <w:pStyle w:val="null3"/>
        <w:ind w:firstLine="480"/>
      </w:pPr>
      <w:r>
        <w:rPr>
          <w:rFonts w:ascii="仿宋_GB2312" w:hAnsi="仿宋_GB2312" w:cs="仿宋_GB2312" w:eastAsia="仿宋_GB2312"/>
        </w:rPr>
        <w:t>一、在投标文件提交截止时间前，采购人或者代理机构可以对已发出的招标文件进行必要的澄清或者修改。</w:t>
      </w:r>
    </w:p>
    <w:p>
      <w:pPr>
        <w:pStyle w:val="null3"/>
        <w:ind w:firstLine="480"/>
      </w:pPr>
      <w:r>
        <w:rPr>
          <w:rFonts w:ascii="仿宋_GB2312" w:hAnsi="仿宋_GB2312" w:cs="仿宋_GB2312" w:eastAsia="仿宋_GB2312"/>
        </w:rPr>
        <w:t xml:space="preserve"> 二、澄清或者修改的内容为招标文件的组成部分，采购人或者代理机构将在陕西省政府采购网发布更正公告，投标人应及时关注本项目更正公告信息，按更正后公告要求进行响应。更正内容可能影响投标文件编制的，采购人或者代理机构将通过项目电子化交易系统发布更正后的招标文件，投标人应依据更正后的招标文件编制投标文件。若投标人未按前述要求进行投标响应的，自行承担不利后果。</w:t>
      </w:r>
    </w:p>
    <w:p>
      <w:pPr>
        <w:pStyle w:val="null3"/>
        <w:outlineLvl w:val="2"/>
      </w:pPr>
      <w:r>
        <w:rPr>
          <w:rFonts w:ascii="仿宋_GB2312" w:hAnsi="仿宋_GB2312" w:cs="仿宋_GB2312" w:eastAsia="仿宋_GB2312"/>
          <w:sz w:val="28"/>
          <w:b/>
        </w:rPr>
        <w:t>2.4投标文件</w:t>
      </w:r>
    </w:p>
    <w:p>
      <w:pPr>
        <w:pStyle w:val="null3"/>
        <w:outlineLvl w:val="3"/>
      </w:pPr>
      <w:r>
        <w:rPr>
          <w:rFonts w:ascii="仿宋_GB2312" w:hAnsi="仿宋_GB2312" w:cs="仿宋_GB2312" w:eastAsia="仿宋_GB2312"/>
          <w:sz w:val="24"/>
          <w:b/>
        </w:rPr>
        <w:t xml:space="preserve"> 2.4.1投标文件的语言</w:t>
      </w:r>
    </w:p>
    <w:p>
      <w:pPr>
        <w:pStyle w:val="null3"/>
        <w:ind w:firstLine="480"/>
      </w:pPr>
      <w:r>
        <w:rPr>
          <w:rFonts w:ascii="仿宋_GB2312" w:hAnsi="仿宋_GB2312" w:cs="仿宋_GB2312" w:eastAsia="仿宋_GB2312"/>
        </w:rPr>
        <w:t xml:space="preserve"> 一、投标人提交的投标文件以及投标人与采购人或代理机构就有关投标的所有来往书面文件均须使用中文。投标文件中如附有外文资料，主要部分要对应翻译成中文并附在相关外文资料后面。未翻译的外文资料，评标委员会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三、如因未翻译而造成对投标人的不利后果，由投标人承担。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除招标文件中另有规定外，本项目均采用国家法定的计量单位。</w:t>
      </w:r>
    </w:p>
    <w:p>
      <w:pPr>
        <w:pStyle w:val="null3"/>
        <w:outlineLvl w:val="3"/>
      </w:pPr>
      <w:r>
        <w:rPr>
          <w:rFonts w:ascii="仿宋_GB2312" w:hAnsi="仿宋_GB2312" w:cs="仿宋_GB2312" w:eastAsia="仿宋_GB2312"/>
          <w:sz w:val="24"/>
          <w:b/>
        </w:rPr>
        <w:t>2.4.3投标货币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三、如采用投标人所不拥有的知识产权，则在投标报价中必须包括合法使用该知识产权的相关费用。</w:t>
      </w:r>
    </w:p>
    <w:p>
      <w:pPr>
        <w:pStyle w:val="null3"/>
        <w:outlineLvl w:val="3"/>
      </w:pPr>
      <w:r>
        <w:rPr>
          <w:rFonts w:ascii="仿宋_GB2312" w:hAnsi="仿宋_GB2312" w:cs="仿宋_GB2312" w:eastAsia="仿宋_GB2312"/>
          <w:sz w:val="24"/>
          <w:b/>
        </w:rPr>
        <w:t>2.4.5投标文件的组成</w:t>
      </w:r>
    </w:p>
    <w:p>
      <w:pPr>
        <w:pStyle w:val="null3"/>
        <w:ind w:firstLine="480"/>
      </w:pPr>
      <w:r>
        <w:rPr>
          <w:rFonts w:ascii="仿宋_GB2312" w:hAnsi="仿宋_GB2312" w:cs="仿宋_GB2312" w:eastAsia="仿宋_GB2312"/>
        </w:rPr>
        <w:t>投标人应当按照招标文件的要求编制投标文件。投标文件应当对招标文件提出的要求和条件作出明确响应。</w:t>
      </w:r>
    </w:p>
    <w:p>
      <w:pPr>
        <w:pStyle w:val="null3"/>
        <w:ind w:firstLine="480"/>
      </w:pPr>
      <w:r>
        <w:rPr>
          <w:rFonts w:ascii="仿宋_GB2312" w:hAnsi="仿宋_GB2312" w:cs="仿宋_GB2312" w:eastAsia="仿宋_GB2312"/>
        </w:rPr>
        <w:t>投标文件具体内容详见第六章。</w:t>
      </w:r>
    </w:p>
    <w:p>
      <w:pPr>
        <w:pStyle w:val="null3"/>
        <w:outlineLvl w:val="3"/>
      </w:pPr>
      <w:r>
        <w:rPr>
          <w:rFonts w:ascii="仿宋_GB2312" w:hAnsi="仿宋_GB2312" w:cs="仿宋_GB2312" w:eastAsia="仿宋_GB2312"/>
          <w:sz w:val="24"/>
          <w:b/>
        </w:rPr>
        <w:t xml:space="preserve"> 2.4.6投标文件格式</w:t>
      </w:r>
    </w:p>
    <w:p>
      <w:pPr>
        <w:pStyle w:val="null3"/>
        <w:ind w:firstLine="480"/>
      </w:pPr>
      <w:r>
        <w:rPr>
          <w:rFonts w:ascii="仿宋_GB2312" w:hAnsi="仿宋_GB2312" w:cs="仿宋_GB2312" w:eastAsia="仿宋_GB2312"/>
        </w:rPr>
        <w:t>一、投标人应按照招标文件第六章中提供的“投标文件格式”填写相关内容。</w:t>
      </w:r>
    </w:p>
    <w:p>
      <w:pPr>
        <w:pStyle w:val="null3"/>
        <w:ind w:firstLine="480"/>
      </w:pPr>
      <w:r>
        <w:rPr>
          <w:rFonts w:ascii="仿宋_GB2312" w:hAnsi="仿宋_GB2312" w:cs="仿宋_GB2312" w:eastAsia="仿宋_GB2312"/>
        </w:rPr>
        <w:t>二、对于没有格式要求的投标文件由投标人自行编写。</w:t>
      </w:r>
    </w:p>
    <w:p>
      <w:pPr>
        <w:pStyle w:val="null3"/>
        <w:outlineLvl w:val="3"/>
      </w:pPr>
      <w:r>
        <w:rPr>
          <w:rFonts w:ascii="仿宋_GB2312" w:hAnsi="仿宋_GB2312" w:cs="仿宋_GB2312" w:eastAsia="仿宋_GB2312"/>
          <w:sz w:val="24"/>
          <w:b/>
        </w:rPr>
        <w:t>2.4.7投标报价（实质性要求）</w:t>
      </w:r>
    </w:p>
    <w:p>
      <w:pPr>
        <w:pStyle w:val="null3"/>
        <w:ind w:firstLine="480"/>
      </w:pPr>
      <w:r>
        <w:rPr>
          <w:rFonts w:ascii="仿宋_GB2312" w:hAnsi="仿宋_GB2312" w:cs="仿宋_GB2312" w:eastAsia="仿宋_GB2312"/>
        </w:rPr>
        <w:t>一、投标人的报价是投标人响应招标项目要 求的全部工作内容的价格体现，包括投标人完成本项目所需的一切费用。</w:t>
      </w:r>
    </w:p>
    <w:p>
      <w:pPr>
        <w:pStyle w:val="null3"/>
        <w:ind w:firstLine="480"/>
      </w:pPr>
      <w:r>
        <w:rPr>
          <w:rFonts w:ascii="仿宋_GB2312" w:hAnsi="仿宋_GB2312" w:cs="仿宋_GB2312" w:eastAsia="仿宋_GB2312"/>
        </w:rPr>
        <w:t xml:space="preserve"> 二、投标人每种货物及服务内容只允许有一个报价，并且在合同履行过程中是固定不变的，任何有选择或可调整的报价将不予接受，并按无效投标处理。</w:t>
      </w:r>
    </w:p>
    <w:p>
      <w:pPr>
        <w:pStyle w:val="null3"/>
        <w:ind w:firstLine="480"/>
      </w:pPr>
      <w:r>
        <w:rPr>
          <w:rFonts w:ascii="仿宋_GB2312" w:hAnsi="仿宋_GB2312" w:cs="仿宋_GB2312" w:eastAsia="仿宋_GB2312"/>
        </w:rPr>
        <w:t xml:space="preserve"> 三、投标文件报价出现前后不一致的，按照招标文件第五章评标办法规定予以修正，修正后的报价经投标人通过项目电子化交易系统进行确认，并加盖投标人（法定名称）电子签章，投标人未在规定时间内确认的，其投标无效。</w:t>
      </w:r>
    </w:p>
    <w:p>
      <w:pPr>
        <w:pStyle w:val="null3"/>
        <w:outlineLvl w:val="3"/>
      </w:pPr>
      <w:r>
        <w:rPr>
          <w:rFonts w:ascii="仿宋_GB2312" w:hAnsi="仿宋_GB2312" w:cs="仿宋_GB2312" w:eastAsia="仿宋_GB2312"/>
          <w:sz w:val="24"/>
          <w:b/>
        </w:rPr>
        <w:t>2.4.8投标有效期（实质性要求）</w:t>
      </w:r>
    </w:p>
    <w:p>
      <w:pPr>
        <w:pStyle w:val="null3"/>
        <w:ind w:firstLine="480"/>
      </w:pPr>
      <w:r>
        <w:rPr>
          <w:rFonts w:ascii="仿宋_GB2312" w:hAnsi="仿宋_GB2312" w:cs="仿宋_GB2312" w:eastAsia="仿宋_GB2312"/>
        </w:rPr>
        <w:t xml:space="preserve"> 投标有效期详见第二章“投标人须知前附表”，投标文件未明确投标有效期或者投标有效期小于“投标人须知前附表”中投标有效期要求的，其投标文件按无效处理。</w:t>
      </w:r>
    </w:p>
    <w:p>
      <w:pPr>
        <w:pStyle w:val="null3"/>
        <w:outlineLvl w:val="3"/>
      </w:pPr>
      <w:r>
        <w:rPr>
          <w:rFonts w:ascii="仿宋_GB2312" w:hAnsi="仿宋_GB2312" w:cs="仿宋_GB2312" w:eastAsia="仿宋_GB2312"/>
          <w:sz w:val="24"/>
          <w:b/>
        </w:rPr>
        <w:t xml:space="preserve"> 2.4.9投标文件的制作、签章和加密（实质性要求）</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二、投标人应按照客户端操作要求，对应招标文件的每项实质性要求，逐一如实响应；未如实响应或者响应内容不符合招标文件对应项的要求的，其投标文件作无效处理。</w:t>
      </w:r>
    </w:p>
    <w:p>
      <w:pPr>
        <w:pStyle w:val="null3"/>
        <w:ind w:firstLine="480"/>
      </w:pPr>
      <w:r>
        <w:rPr>
          <w:rFonts w:ascii="仿宋_GB2312" w:hAnsi="仿宋_GB2312" w:cs="仿宋_GB2312" w:eastAsia="仿宋_GB2312"/>
        </w:rPr>
        <w:t xml:space="preserve"> 三、投标人完成投标文件编制后，应按照招标文件第一章明确的签章要求，使用互认的证书及签章对投标文件进行电子签章和加密。</w:t>
      </w:r>
    </w:p>
    <w:p>
      <w:pPr>
        <w:pStyle w:val="null3"/>
        <w:ind w:firstLine="480"/>
      </w:pPr>
      <w:r>
        <w:rPr>
          <w:rFonts w:ascii="仿宋_GB2312" w:hAnsi="仿宋_GB2312" w:cs="仿宋_GB2312" w:eastAsia="仿宋_GB2312"/>
        </w:rPr>
        <w:t xml:space="preserve"> 四、招标文件澄清或者修改的内容可能影响投标文件编制的，代理机构将重新发布澄清或者修改后的招标文件，投标人应重新获取澄清或者修改后的招标文件，按照澄清或者修改后的招标文件进行投标文件编制、签章和加密。</w:t>
      </w:r>
    </w:p>
    <w:p>
      <w:pPr>
        <w:pStyle w:val="null3"/>
        <w:outlineLvl w:val="3"/>
      </w:pPr>
      <w:r>
        <w:rPr>
          <w:rFonts w:ascii="仿宋_GB2312" w:hAnsi="仿宋_GB2312" w:cs="仿宋_GB2312" w:eastAsia="仿宋_GB2312"/>
          <w:sz w:val="24"/>
          <w:b/>
        </w:rPr>
        <w:t>2.4.10投标文件的提交</w:t>
      </w:r>
    </w:p>
    <w:p>
      <w:pPr>
        <w:pStyle w:val="null3"/>
        <w:ind w:firstLine="480"/>
      </w:pPr>
      <w:r>
        <w:rPr>
          <w:rFonts w:ascii="仿宋_GB2312" w:hAnsi="仿宋_GB2312" w:cs="仿宋_GB2312" w:eastAsia="仿宋_GB2312"/>
        </w:rPr>
        <w:t>一、（实质性要求）投标人应当在投标文件提交截止时间前，通过项目电子化交易系统完成投标文件提交。</w:t>
      </w:r>
    </w:p>
    <w:p>
      <w:pPr>
        <w:pStyle w:val="null3"/>
        <w:ind w:firstLine="480"/>
      </w:pPr>
      <w:r>
        <w:rPr>
          <w:rFonts w:ascii="仿宋_GB2312" w:hAnsi="仿宋_GB2312" w:cs="仿宋_GB2312" w:eastAsia="仿宋_GB2312"/>
        </w:rPr>
        <w:t xml:space="preserve"> 二、在投标文件提交截止时间后，采购人或者代理机构不再接受投标人提交投标文件。投标人应充分考虑影响投标文件提交的各种因素，确保在投标文件提交截止时间前完成提交。</w:t>
      </w:r>
    </w:p>
    <w:p>
      <w:pPr>
        <w:pStyle w:val="null3"/>
        <w:outlineLvl w:val="3"/>
      </w:pPr>
      <w:r>
        <w:rPr>
          <w:rFonts w:ascii="仿宋_GB2312" w:hAnsi="仿宋_GB2312" w:cs="仿宋_GB2312" w:eastAsia="仿宋_GB2312"/>
          <w:sz w:val="24"/>
          <w:b/>
        </w:rPr>
        <w:t>2.4.11投标文件的补充、修改、撤回（实质性要求）</w:t>
      </w:r>
    </w:p>
    <w:p>
      <w:pPr>
        <w:pStyle w:val="null3"/>
        <w:ind w:firstLine="480"/>
      </w:pPr>
      <w:r>
        <w:rPr>
          <w:rFonts w:ascii="仿宋_GB2312" w:hAnsi="仿宋_GB2312" w:cs="仿宋_GB2312" w:eastAsia="仿宋_GB2312"/>
        </w:rPr>
        <w:t xml:space="preserve"> 投标文件提交截止时间前，投标人可以补充、修改或者撤回已成功提交的投标文件；对投标文件进行补充、修改的，应当先行撤回已提交的投标文件，补充、修改后重新提交。</w:t>
      </w:r>
    </w:p>
    <w:p>
      <w:pPr>
        <w:pStyle w:val="null3"/>
        <w:ind w:firstLine="480"/>
      </w:pPr>
      <w:r>
        <w:rPr>
          <w:rFonts w:ascii="仿宋_GB2312" w:hAnsi="仿宋_GB2312" w:cs="仿宋_GB2312" w:eastAsia="仿宋_GB2312"/>
        </w:rPr>
        <w:t>供应商投标文件撤回后，视为未提交过投标文件。</w:t>
      </w:r>
    </w:p>
    <w:p>
      <w:pPr>
        <w:pStyle w:val="null3"/>
        <w:outlineLvl w:val="2"/>
      </w:pPr>
      <w:r>
        <w:rPr>
          <w:rFonts w:ascii="仿宋_GB2312" w:hAnsi="仿宋_GB2312" w:cs="仿宋_GB2312" w:eastAsia="仿宋_GB2312"/>
          <w:sz w:val="28"/>
          <w:b/>
        </w:rPr>
        <w:t>2.5开标、资格审查、评标和中标</w:t>
      </w:r>
    </w:p>
    <w:p>
      <w:pPr>
        <w:pStyle w:val="null3"/>
        <w:outlineLvl w:val="3"/>
      </w:pPr>
      <w:r>
        <w:rPr>
          <w:rFonts w:ascii="仿宋_GB2312" w:hAnsi="仿宋_GB2312" w:cs="仿宋_GB2312" w:eastAsia="仿宋_GB2312"/>
          <w:sz w:val="24"/>
          <w:b/>
        </w:rPr>
        <w:t>2.5.1开标及开标程序</w:t>
      </w:r>
    </w:p>
    <w:p>
      <w:pPr>
        <w:pStyle w:val="null3"/>
        <w:ind w:firstLine="480"/>
      </w:pPr>
      <w:r>
        <w:rPr>
          <w:rFonts w:ascii="仿宋_GB2312" w:hAnsi="仿宋_GB2312" w:cs="仿宋_GB2312" w:eastAsia="仿宋_GB2312"/>
        </w:rPr>
        <w:t xml:space="preserve"> 一、本项目为网上开标项目。网上开标的开始时间为投标文件提交截止时间。成功提交或解密电子投标文件的投标人不足3家的，不予开标，采购人或代理机构将作废标处理。</w:t>
      </w:r>
    </w:p>
    <w:p>
      <w:pPr>
        <w:pStyle w:val="null3"/>
        <w:ind w:firstLine="480"/>
      </w:pPr>
      <w:r>
        <w:rPr>
          <w:rFonts w:ascii="仿宋_GB2312" w:hAnsi="仿宋_GB2312" w:cs="仿宋_GB2312" w:eastAsia="仿宋_GB2312"/>
        </w:rPr>
        <w:t>二、开标准备工作</w:t>
      </w:r>
    </w:p>
    <w:p>
      <w:pPr>
        <w:pStyle w:val="null3"/>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三、解密投标文件（实质性要求）</w:t>
      </w:r>
    </w:p>
    <w:p>
      <w:pPr>
        <w:pStyle w:val="null3"/>
        <w:ind w:firstLine="480"/>
      </w:pPr>
      <w:r>
        <w:rPr>
          <w:rFonts w:ascii="仿宋_GB2312" w:hAnsi="仿宋_GB2312" w:cs="仿宋_GB2312" w:eastAsia="仿宋_GB2312"/>
        </w:rPr>
        <w:t xml:space="preserve"> 投标文件提交截止时间后，成功提交投标文件的投标人符合招标文件规定数量的，代理机构将启动投标文件解密程序，解密时间为</w:t>
      </w:r>
      <w:r>
        <w:rPr>
          <w:rFonts w:ascii="仿宋_GB2312" w:hAnsi="仿宋_GB2312" w:cs="仿宋_GB2312" w:eastAsia="仿宋_GB2312"/>
        </w:rPr>
        <w:t>30</w:t>
      </w:r>
      <w:r>
        <w:rPr>
          <w:rFonts w:ascii="仿宋_GB2312" w:hAnsi="仿宋_GB2312" w:cs="仿宋_GB2312" w:eastAsia="仿宋_GB2312"/>
        </w:rPr>
        <w:t>分钟；投标人应在规定的解密时间内，使用互认的证书及签章通过项目电子化采购系统进行投标文件解密。</w:t>
      </w:r>
    </w:p>
    <w:p>
      <w:pPr>
        <w:pStyle w:val="null3"/>
        <w:ind w:firstLine="480"/>
      </w:pPr>
      <w:r>
        <w:rPr>
          <w:rFonts w:ascii="仿宋_GB2312" w:hAnsi="仿宋_GB2312" w:cs="仿宋_GB2312" w:eastAsia="仿宋_GB2312"/>
        </w:rPr>
        <w:t>四、开标</w:t>
      </w:r>
    </w:p>
    <w:p>
      <w:pPr>
        <w:pStyle w:val="null3"/>
        <w:ind w:firstLine="480"/>
      </w:pPr>
      <w:r>
        <w:rPr>
          <w:rFonts w:ascii="仿宋_GB2312" w:hAnsi="仿宋_GB2312" w:cs="仿宋_GB2312" w:eastAsia="仿宋_GB2312"/>
        </w:rPr>
        <w:t xml:space="preserve"> 解密时间截止或者所有投标人投标文件均完成解密后（以发生在先的时间为准），由代理机构通过项目电子化交易系统对投标人名称、投标文件解密情况、投标报价进行展示。</w:t>
      </w:r>
    </w:p>
    <w:p>
      <w:pPr>
        <w:pStyle w:val="null3"/>
        <w:ind w:firstLine="480"/>
      </w:pPr>
      <w:r>
        <w:rPr>
          <w:rFonts w:ascii="仿宋_GB2312" w:hAnsi="仿宋_GB2312" w:cs="仿宋_GB2312" w:eastAsia="仿宋_GB2312"/>
        </w:rPr>
        <w:t xml:space="preserve"> 开标过程中，各方主体均应遵守互联网有关规定，不得发表与采购活动无关的言论。投标人对开标过程和开标记录有疑义，以及认为采购人或代理机构相关工作人员有需要回避的情形的，及时向工作人员提出询问或者回避申请。采购人或代理机构对投标人提出的询问或者回避申请应当及时处理。</w:t>
      </w:r>
    </w:p>
    <w:p>
      <w:pPr>
        <w:pStyle w:val="null3"/>
        <w:ind w:firstLine="480"/>
      </w:pPr>
      <w:r>
        <w:rPr>
          <w:rFonts w:ascii="仿宋_GB2312" w:hAnsi="仿宋_GB2312" w:cs="仿宋_GB2312" w:eastAsia="仿宋_GB2312"/>
        </w:rPr>
        <w:t>投标人完成投标文件解密后，自主决定是否参加网上在线开标，未参加的，视同认可开标结果。</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标结束后，采购人或代理机构根据《关于在政府采购活动中查询及使用信用记录有关问题的通知》（财库〔2016〕125号）的要求，通过“信用中国”网站（www.creditchina.gov.cn）、“中国政府采购网”网站（www.ccgp.gov.cn）等渠道，查询投标人在投标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两个以上的自然人、法人或者其他组织组成一个联合体，以一个投标人的身份共同参加政府采购活动的，将对所有联合体成员进行信用记录查询，联合体成员存在不良信用记录的，视同联合体存在不良信用记录。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详见招标文件第四章。</w:t>
      </w:r>
    </w:p>
    <w:p>
      <w:pPr>
        <w:pStyle w:val="null3"/>
        <w:outlineLvl w:val="3"/>
      </w:pPr>
      <w:r>
        <w:rPr>
          <w:rFonts w:ascii="仿宋_GB2312" w:hAnsi="仿宋_GB2312" w:cs="仿宋_GB2312" w:eastAsia="仿宋_GB2312"/>
          <w:sz w:val="24"/>
          <w:b/>
        </w:rPr>
        <w:t>2.5.4评标</w:t>
      </w:r>
    </w:p>
    <w:p>
      <w:pPr>
        <w:pStyle w:val="null3"/>
        <w:ind w:firstLine="480"/>
      </w:pPr>
      <w:r>
        <w:rPr>
          <w:rFonts w:ascii="仿宋_GB2312" w:hAnsi="仿宋_GB2312" w:cs="仿宋_GB2312" w:eastAsia="仿宋_GB2312"/>
        </w:rPr>
        <w:t>详见招标文件第五章。</w:t>
      </w:r>
    </w:p>
    <w:p>
      <w:pPr>
        <w:pStyle w:val="null3"/>
        <w:outlineLvl w:val="3"/>
      </w:pPr>
      <w:r>
        <w:rPr>
          <w:rFonts w:ascii="仿宋_GB2312" w:hAnsi="仿宋_GB2312" w:cs="仿宋_GB2312" w:eastAsia="仿宋_GB2312"/>
          <w:sz w:val="24"/>
          <w:b/>
        </w:rPr>
        <w:t>2.5.5中标通知书</w:t>
      </w:r>
    </w:p>
    <w:p>
      <w:pPr>
        <w:pStyle w:val="null3"/>
        <w:ind w:firstLine="480"/>
      </w:pPr>
      <w:r>
        <w:rPr>
          <w:rFonts w:ascii="仿宋_GB2312" w:hAnsi="仿宋_GB2312" w:cs="仿宋_GB2312" w:eastAsia="仿宋_GB2312"/>
        </w:rPr>
        <w:t xml:space="preserve"> 一、采购人或者评标委员会确认中标供应商后，代理机构在陕西省政府采购网发布中标结果公告、通过项目电子化交易系统发出中标通知书，中标供应商通过项目电子化交易系统获取中标通知书。</w:t>
      </w:r>
    </w:p>
    <w:p>
      <w:pPr>
        <w:pStyle w:val="null3"/>
        <w:ind w:firstLine="480"/>
      </w:pPr>
      <w:r>
        <w:rPr>
          <w:rFonts w:ascii="仿宋_GB2312" w:hAnsi="仿宋_GB2312" w:cs="仿宋_GB2312" w:eastAsia="仿宋_GB2312"/>
        </w:rPr>
        <w:t xml:space="preserve"> 二、中标通知书是采购人和中标供应商签订政府采购合同的依据，是合同的有效组成部分。如果出现政府采购法律法规、规章制度规定的中标无效情形的，将以公告形式宣布发出的中标通知书无效，中标通知书将自动失效，并依法重新确定中标供应商或者重新开展采购活动。</w:t>
      </w:r>
    </w:p>
    <w:p>
      <w:pPr>
        <w:pStyle w:val="null3"/>
        <w:ind w:firstLine="480"/>
      </w:pPr>
      <w:r>
        <w:rPr>
          <w:rFonts w:ascii="仿宋_GB2312" w:hAnsi="仿宋_GB2312" w:cs="仿宋_GB2312" w:eastAsia="仿宋_GB2312"/>
        </w:rPr>
        <w:t>三、中标通知书对采购人和中标供应商均具有法律效力。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一、采购人应在中标通知书发出之日起三十日内与中标人签订采购合同。</w:t>
      </w:r>
    </w:p>
    <w:p>
      <w:pPr>
        <w:pStyle w:val="null3"/>
        <w:ind w:firstLine="480"/>
      </w:pPr>
      <w:r>
        <w:rPr>
          <w:rFonts w:ascii="仿宋_GB2312" w:hAnsi="仿宋_GB2312" w:cs="仿宋_GB2312" w:eastAsia="仿宋_GB2312"/>
        </w:rPr>
        <w:t>二、采购人和中标人签订的采购合同不得对招标文件确定的事项以及中标人的投标文件作实质性修改。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投标人根据招标文件的规定和采购项目的实际情况，拟在中标后将中标项目的非主体、非关键性工作分包的，应当在投标文件中载明分包承担主体，分包承担主体应当具备相应资质条件且不得再次分包。分包供应商履行的分包项目的品牌、规格型号及技术要求等，必须与中标的品牌、规格型号及技术要求一致。</w:t>
      </w:r>
    </w:p>
    <w:p>
      <w:pPr>
        <w:pStyle w:val="null3"/>
        <w:ind w:firstLine="480"/>
      </w:pPr>
      <w:r>
        <w:rPr>
          <w:rFonts w:ascii="仿宋_GB2312" w:hAnsi="仿宋_GB2312" w:cs="仿宋_GB2312" w:eastAsia="仿宋_GB2312"/>
        </w:rPr>
        <w:t>二、分包履行合同的部分应当为采购项目的非主体、非关键性工作，不属于中标人的主要合同义务。</w:t>
      </w:r>
    </w:p>
    <w:p>
      <w:pPr>
        <w:pStyle w:val="null3"/>
        <w:ind w:firstLine="480"/>
      </w:pPr>
      <w:r>
        <w:rPr>
          <w:rFonts w:ascii="仿宋_GB2312" w:hAnsi="仿宋_GB2312" w:cs="仿宋_GB2312" w:eastAsia="仿宋_GB2312"/>
        </w:rPr>
        <w:t>三、采购合同实行分包履行的，中标人就采购项目和分包项目向采购人负责，分包供应商就分包项目承担责任。</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一、严禁中标人将本项目转包。本项目所称转包，是指将本项目转给他人或者将本项目全部肢解以后以分包的名义分别转给他人的行为。</w:t>
      </w:r>
    </w:p>
    <w:p>
      <w:pPr>
        <w:pStyle w:val="null3"/>
        <w:ind w:firstLine="480"/>
      </w:pPr>
      <w:r>
        <w:rPr>
          <w:rFonts w:ascii="仿宋_GB2312" w:hAnsi="仿宋_GB2312" w:cs="仿宋_GB2312" w:eastAsia="仿宋_GB2312"/>
        </w:rPr>
        <w:t>二、中标人转包的，视同拒绝履行政府采购合同，将依法追究法律责任。</w:t>
      </w:r>
    </w:p>
    <w:p>
      <w:pPr>
        <w:pStyle w:val="null3"/>
        <w:outlineLvl w:val="3"/>
      </w:pPr>
      <w:r>
        <w:rPr>
          <w:rFonts w:ascii="仿宋_GB2312" w:hAnsi="仿宋_GB2312" w:cs="仿宋_GB2312" w:eastAsia="仿宋_GB2312"/>
          <w:sz w:val="24"/>
          <w:b/>
        </w:rPr>
        <w:t>2.6.3采购人增加合同标的的权利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采购合同履行过程中，采购人需要追加与合同标的相同的货物或者服务的，在不改变合同其他条款的前提下，可以与中标人协商签订补充合同，但所有补充合同的采购金额不得超过原合同采购金额的百分之十。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2.6.4履行合同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 xml:space="preserve"> 2.6.5履约验收方案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按照招标文件及供应商投标文件进行履约验收。</w:t>
      </w:r>
    </w:p>
    <w:p>
      <w:pPr>
        <w:pStyle w:val="null3"/>
        <w:outlineLvl w:val="3"/>
      </w:pPr>
      <w:r>
        <w:rPr>
          <w:rFonts w:ascii="仿宋_GB2312" w:hAnsi="仿宋_GB2312" w:cs="仿宋_GB2312" w:eastAsia="仿宋_GB2312"/>
          <w:sz w:val="24"/>
          <w:b/>
        </w:rPr>
        <w:t>2.6.6资金支付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2.7.1评标活动纪律要求</w:t>
      </w:r>
    </w:p>
    <w:p>
      <w:pPr>
        <w:pStyle w:val="null3"/>
        <w:ind w:firstLine="480"/>
      </w:pPr>
      <w:r>
        <w:rPr>
          <w:rFonts w:ascii="仿宋_GB2312" w:hAnsi="仿宋_GB2312" w:cs="仿宋_GB2312" w:eastAsia="仿宋_GB2312"/>
        </w:rPr>
        <w:t xml:space="preserve"> 采购人、代理机构应保证评标活动在严格保密的情况下进行，采购人、代理机构、投标人和评标委员会成员应当严格遵守政府采购法律法规规章制度和本项目招标文件以及代理机构现场管理规定，接受采购人委派的监督人员的监督，任何单位和个人不得非法干预和影响评标过程和结果。对各投标人的商业秘密，评标委员会成员应予以保密，不得泄露给其他投标人。</w:t>
      </w:r>
    </w:p>
    <w:p>
      <w:pPr>
        <w:pStyle w:val="null3"/>
        <w:ind w:firstLine="480"/>
        <w:jc w:val="left"/>
      </w:pPr>
      <w:r>
        <w:rPr>
          <w:rFonts w:ascii="仿宋_GB2312" w:hAnsi="仿宋_GB2312" w:cs="仿宋_GB2312" w:eastAsia="仿宋_GB2312"/>
        </w:rPr>
        <w:t>对各投标人的商业秘密，评标委员会成员应予以保密，不得泄露给其他投标人。</w:t>
      </w:r>
    </w:p>
    <w:p>
      <w:pPr>
        <w:pStyle w:val="null3"/>
        <w:outlineLvl w:val="3"/>
      </w:pPr>
      <w:r>
        <w:rPr>
          <w:rFonts w:ascii="仿宋_GB2312" w:hAnsi="仿宋_GB2312" w:cs="仿宋_GB2312" w:eastAsia="仿宋_GB2312"/>
          <w:sz w:val="24"/>
          <w:b/>
        </w:rPr>
        <w:t xml:space="preserve"> 2.7.2投标人不得具有的情形（实质性要求）</w:t>
      </w:r>
    </w:p>
    <w:p>
      <w:pPr>
        <w:pStyle w:val="null3"/>
        <w:ind w:firstLine="480"/>
      </w:pPr>
      <w:r>
        <w:rPr>
          <w:rFonts w:ascii="仿宋_GB2312" w:hAnsi="仿宋_GB2312" w:cs="仿宋_GB2312" w:eastAsia="仿宋_GB2312"/>
        </w:rPr>
        <w:t>一、有下列情形之一的，视为投标人串通投标：</w:t>
      </w:r>
    </w:p>
    <w:p>
      <w:pPr>
        <w:pStyle w:val="null3"/>
        <w:ind w:firstLine="480"/>
      </w:pPr>
      <w:r>
        <w:rPr>
          <w:rFonts w:ascii="仿宋_GB2312" w:hAnsi="仿宋_GB2312" w:cs="仿宋_GB2312" w:eastAsia="仿宋_GB2312"/>
        </w:rPr>
        <w:t>（一）不同投标人的投标文件由同一单位或者个人编制；</w:t>
      </w:r>
    </w:p>
    <w:p>
      <w:pPr>
        <w:pStyle w:val="null3"/>
        <w:ind w:firstLine="480"/>
      </w:pPr>
      <w:r>
        <w:rPr>
          <w:rFonts w:ascii="仿宋_GB2312" w:hAnsi="仿宋_GB2312" w:cs="仿宋_GB2312" w:eastAsia="仿宋_GB2312"/>
        </w:rPr>
        <w:t>（二）不同投标人委托同一单位或者个人办理投标事宜；</w:t>
      </w:r>
    </w:p>
    <w:p>
      <w:pPr>
        <w:pStyle w:val="null3"/>
        <w:ind w:firstLine="480"/>
      </w:pPr>
      <w:r>
        <w:rPr>
          <w:rFonts w:ascii="仿宋_GB2312" w:hAnsi="仿宋_GB2312" w:cs="仿宋_GB2312" w:eastAsia="仿宋_GB2312"/>
        </w:rPr>
        <w:t>（三）不同投标人的投标文件载明的项目管理成员或者联系人员为同一人；</w:t>
      </w:r>
    </w:p>
    <w:p>
      <w:pPr>
        <w:pStyle w:val="null3"/>
        <w:ind w:firstLine="480"/>
      </w:pPr>
      <w:r>
        <w:rPr>
          <w:rFonts w:ascii="仿宋_GB2312" w:hAnsi="仿宋_GB2312" w:cs="仿宋_GB2312" w:eastAsia="仿宋_GB2312"/>
        </w:rPr>
        <w:t>（四）不同投标人的投标文件异常一致或者投标报价呈规律性差异；</w:t>
      </w:r>
    </w:p>
    <w:p>
      <w:pPr>
        <w:pStyle w:val="null3"/>
        <w:ind w:firstLine="480"/>
      </w:pPr>
      <w:r>
        <w:rPr>
          <w:rFonts w:ascii="仿宋_GB2312" w:hAnsi="仿宋_GB2312" w:cs="仿宋_GB2312" w:eastAsia="仿宋_GB2312"/>
        </w:rPr>
        <w:t>（五）不同投标人的投标文件相互混装。</w:t>
      </w:r>
    </w:p>
    <w:p>
      <w:pPr>
        <w:pStyle w:val="null3"/>
        <w:ind w:firstLine="480"/>
      </w:pPr>
      <w:r>
        <w:rPr>
          <w:rFonts w:ascii="仿宋_GB2312" w:hAnsi="仿宋_GB2312" w:cs="仿宋_GB2312" w:eastAsia="仿宋_GB2312"/>
        </w:rPr>
        <w:t>二、提供虚假材料谋取中标；</w:t>
      </w:r>
    </w:p>
    <w:p>
      <w:pPr>
        <w:pStyle w:val="null3"/>
        <w:ind w:firstLine="480"/>
      </w:pPr>
      <w:r>
        <w:rPr>
          <w:rFonts w:ascii="仿宋_GB2312" w:hAnsi="仿宋_GB2312" w:cs="仿宋_GB2312" w:eastAsia="仿宋_GB2312"/>
        </w:rPr>
        <w:t>三、采取不正当手段诋毁、排挤其他投标人；</w:t>
      </w:r>
    </w:p>
    <w:p>
      <w:pPr>
        <w:pStyle w:val="null3"/>
        <w:ind w:firstLine="480"/>
      </w:pPr>
      <w:r>
        <w:rPr>
          <w:rFonts w:ascii="仿宋_GB2312" w:hAnsi="仿宋_GB2312" w:cs="仿宋_GB2312" w:eastAsia="仿宋_GB2312"/>
        </w:rPr>
        <w:t>四、与采购人或代理机构、其他投标人恶意串通；</w:t>
      </w:r>
    </w:p>
    <w:p>
      <w:pPr>
        <w:pStyle w:val="null3"/>
        <w:ind w:firstLine="480"/>
      </w:pPr>
      <w:r>
        <w:rPr>
          <w:rFonts w:ascii="仿宋_GB2312" w:hAnsi="仿宋_GB2312" w:cs="仿宋_GB2312" w:eastAsia="仿宋_GB2312"/>
        </w:rPr>
        <w:t>五、向采购人或代理机构、评标委员会成员行贿或者提供其他不正当利益；</w:t>
      </w:r>
    </w:p>
    <w:p>
      <w:pPr>
        <w:pStyle w:val="null3"/>
        <w:ind w:firstLine="480"/>
      </w:pPr>
      <w:r>
        <w:rPr>
          <w:rFonts w:ascii="仿宋_GB2312" w:hAnsi="仿宋_GB2312" w:cs="仿宋_GB2312" w:eastAsia="仿宋_GB2312"/>
        </w:rPr>
        <w:t>六、在招标过程中与采购人或代理机构进行协商谈判；</w:t>
      </w:r>
    </w:p>
    <w:p>
      <w:pPr>
        <w:pStyle w:val="null3"/>
        <w:ind w:firstLine="480"/>
      </w:pPr>
      <w:r>
        <w:rPr>
          <w:rFonts w:ascii="仿宋_GB2312" w:hAnsi="仿宋_GB2312" w:cs="仿宋_GB2312" w:eastAsia="仿宋_GB2312"/>
        </w:rPr>
        <w:t>七、中标后无正当理由拒不与采购人签订政府采购合同；</w:t>
      </w:r>
    </w:p>
    <w:p>
      <w:pPr>
        <w:pStyle w:val="null3"/>
        <w:ind w:firstLine="480"/>
      </w:pPr>
      <w:r>
        <w:rPr>
          <w:rFonts w:ascii="仿宋_GB2312" w:hAnsi="仿宋_GB2312" w:cs="仿宋_GB2312" w:eastAsia="仿宋_GB2312"/>
        </w:rPr>
        <w:t>八、未按照采购文件确定的事项签订政府采购合同；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投标人有上述情形的，按照规定追究法律责任，具备一至十一条情形之一的，其投标文件无效，或取消被确认为中标供应商的资格或认定中标无效。</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根据委托代理协议约定，供应商对招标文件中采购需求的询问、质疑由 </w:t>
      </w:r>
      <w:r>
        <w:rPr>
          <w:rFonts w:ascii="仿宋_GB2312" w:hAnsi="仿宋_GB2312" w:cs="仿宋_GB2312" w:eastAsia="仿宋_GB2312"/>
        </w:rPr>
        <w:t>华春建设工程项目管理有限责任公司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华春建设工程项目管理有限责任公司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华春建设工程项目管理有限责任公司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为提高采购效率，降低社会成本，鼓励询问主体对于不损害国家及社会利益或自身合法权益的问题或情形采用询问方式处理解决（包含但不限于文字错误、标点符号、不影响投标文件的编制的情形）。</w:t>
      </w:r>
    </w:p>
    <w:p>
      <w:pPr>
        <w:pStyle w:val="null3"/>
        <w:ind w:firstLine="480"/>
      </w:pPr>
      <w:r>
        <w:rPr>
          <w:rFonts w:ascii="仿宋_GB2312" w:hAnsi="仿宋_GB2312" w:cs="仿宋_GB2312" w:eastAsia="仿宋_GB2312"/>
        </w:rPr>
        <w:t xml:space="preserve"> 四、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jc w:val="left"/>
      </w:pPr>
      <w:r>
        <w:rPr>
          <w:rFonts w:ascii="仿宋_GB2312" w:hAnsi="仿宋_GB2312" w:cs="仿宋_GB2312" w:eastAsia="仿宋_GB2312"/>
        </w:rPr>
        <w:t>（一）对可以质疑的采购文件提出质疑的，为收到采购文件之日或者采购文件公告期限届满之日</w:t>
      </w:r>
    </w:p>
    <w:p>
      <w:pPr>
        <w:pStyle w:val="null3"/>
        <w:jc w:val="left"/>
      </w:pPr>
      <w:r>
        <w:rPr>
          <w:rFonts w:ascii="仿宋_GB2312" w:hAnsi="仿宋_GB2312" w:cs="仿宋_GB2312" w:eastAsia="仿宋_GB2312"/>
        </w:rPr>
        <w:t>（二）对采购过程提出质疑的，为各采购程序环节结束之日；</w:t>
      </w:r>
    </w:p>
    <w:p>
      <w:pPr>
        <w:pStyle w:val="null3"/>
        <w:jc w:val="left"/>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（一）质疑书正本1份；（政府采购供应商质疑函范本详见附件一）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（五）针对质疑事项必要的证明材料（针对招标文件提出的质疑，需提交从项目电子化交易系统获取的招标文件回执单）。</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联系人：郭雄龙、张聪</w:t>
      </w:r>
    </w:p>
    <w:p>
      <w:pPr>
        <w:pStyle w:val="null3"/>
      </w:pPr>
      <w:r>
        <w:rPr>
          <w:rFonts w:ascii="仿宋_GB2312" w:hAnsi="仿宋_GB2312" w:cs="仿宋_GB2312" w:eastAsia="仿宋_GB2312"/>
        </w:rPr>
        <w:t>联系电话：17791552327</w:t>
      </w:r>
    </w:p>
    <w:p>
      <w:pPr>
        <w:pStyle w:val="null3"/>
      </w:pPr>
      <w:r>
        <w:rPr>
          <w:rFonts w:ascii="仿宋_GB2312" w:hAnsi="仿宋_GB2312" w:cs="仿宋_GB2312" w:eastAsia="仿宋_GB2312"/>
        </w:rPr>
        <w:t>地址：陕西省西安市南二环西段58号成长大厦8楼</w:t>
      </w:r>
    </w:p>
    <w:p>
      <w:pPr>
        <w:pStyle w:val="null3"/>
      </w:pPr>
      <w:r>
        <w:rPr>
          <w:rFonts w:ascii="仿宋_GB2312" w:hAnsi="仿宋_GB2312" w:cs="仿宋_GB2312" w:eastAsia="仿宋_GB2312"/>
        </w:rPr>
        <w:t>邮编：710000</w:t>
      </w:r>
    </w:p>
    <w:p>
      <w:pPr>
        <w:pStyle w:val="null3"/>
        <w:ind w:firstLine="480"/>
      </w:pPr>
      <w:r>
        <w:rPr>
          <w:rFonts w:ascii="仿宋_GB2312" w:hAnsi="仿宋_GB2312" w:cs="仿宋_GB2312" w:eastAsia="仿宋_GB2312"/>
        </w:rPr>
        <w:t>注：根据《中华人民共和国政府采购法》的规定，供应商质疑不得超出采购文件、采购过程、采购结果的范围。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招标项目技术、服务、商务及其他要求</w:t>
      </w:r>
    </w:p>
    <w:p>
      <w:pPr>
        <w:pStyle w:val="null3"/>
        <w:ind w:firstLine="480"/>
      </w:pPr>
      <w:r>
        <w:rPr>
          <w:rFonts w:ascii="仿宋_GB2312" w:hAnsi="仿宋_GB2312" w:cs="仿宋_GB2312" w:eastAsia="仿宋_GB2312"/>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ind w:firstLine="480"/>
      </w:pPr>
      <w:r>
        <w:rPr>
          <w:rFonts w:ascii="仿宋_GB2312" w:hAnsi="仿宋_GB2312" w:cs="仿宋_GB2312" w:eastAsia="仿宋_GB2312"/>
        </w:rPr>
        <w:t xml:space="preserve"> （注：当采购包的评标方法为最低评标价法时带“★”的参数需求为实质性要求，供应商必须响应并满足的参数需求，采购人、采购代理机构应当根据项目实际需求合理设定，并明确具体要求。）</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陕西省交通医院电子胃肠镜系统采购项目，1批,采购预算：2100000.00元。</w:t>
      </w:r>
    </w:p>
    <w:p>
      <w:pPr>
        <w:pStyle w:val="null3"/>
        <w:outlineLvl w:val="2"/>
      </w:pPr>
      <w:r>
        <w:rPr>
          <w:rFonts w:ascii="仿宋_GB2312" w:hAnsi="仿宋_GB2312" w:cs="仿宋_GB2312" w:eastAsia="仿宋_GB2312"/>
          <w:sz w:val="28"/>
          <w:b/>
        </w:rPr>
        <w:t>3.2采购内容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2,100,000.00</w:t>
      </w:r>
    </w:p>
    <w:p>
      <w:pPr>
        <w:pStyle w:val="null3"/>
      </w:pPr>
      <w:r>
        <w:rPr>
          <w:rFonts w:ascii="仿宋_GB2312" w:hAnsi="仿宋_GB2312" w:cs="仿宋_GB2312" w:eastAsia="仿宋_GB2312"/>
        </w:rPr>
        <w:t>采购包最高限价（元）: 2,100,000.00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电子胃肠镜系统</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2,100,000.00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3.3技术要求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标的名称：电子胃肠镜系统</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159"/>
              <w:gridCol w:w="373"/>
              <w:gridCol w:w="296"/>
              <w:gridCol w:w="1725"/>
            </w:tblGrid>
            <w:tr>
              <w:tc>
                <w:tcPr>
                  <w:tcW w:type="dxa" w:w="1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序号</w:t>
                  </w:r>
                </w:p>
              </w:tc>
              <w:tc>
                <w:tcPr>
                  <w:tcW w:type="dxa" w:w="3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仪器名称</w:t>
                  </w:r>
                </w:p>
              </w:tc>
              <w:tc>
                <w:tcPr>
                  <w:tcW w:type="dxa" w:w="29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数量（台）</w:t>
                  </w:r>
                </w:p>
              </w:tc>
              <w:tc>
                <w:tcPr>
                  <w:tcW w:type="dxa" w:w="172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技术参数</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电子图像处理器</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1、主机光源一体式设计。</w:t>
                  </w:r>
                </w:p>
                <w:p>
                  <w:pPr>
                    <w:pStyle w:val="null3"/>
                    <w:jc w:val="left"/>
                  </w:pPr>
                  <w:r>
                    <w:rPr>
                      <w:rFonts w:ascii="仿宋_GB2312" w:hAnsi="仿宋_GB2312" w:cs="仿宋_GB2312" w:eastAsia="仿宋_GB2312"/>
                      <w:sz w:val="21"/>
                    </w:rPr>
                    <w:t>2、特殊光模式：具备≥3 种特殊光模式。</w:t>
                  </w:r>
                </w:p>
                <w:p>
                  <w:pPr>
                    <w:pStyle w:val="null3"/>
                    <w:jc w:val="left"/>
                  </w:pPr>
                  <w:r>
                    <w:rPr>
                      <w:rFonts w:ascii="仿宋_GB2312" w:hAnsi="仿宋_GB2312" w:cs="仿宋_GB2312" w:eastAsia="仿宋_GB2312"/>
                      <w:sz w:val="21"/>
                    </w:rPr>
                    <w:t>▲</w:t>
                  </w:r>
                  <w:r>
                    <w:rPr>
                      <w:rFonts w:ascii="仿宋_GB2312" w:hAnsi="仿宋_GB2312" w:cs="仿宋_GB2312" w:eastAsia="仿宋_GB2312"/>
                      <w:sz w:val="21"/>
                    </w:rPr>
                    <w:t>3、染色技术：具有光学染色和电子染色两种技术。</w:t>
                  </w:r>
                </w:p>
                <w:p>
                  <w:pPr>
                    <w:pStyle w:val="null3"/>
                    <w:jc w:val="left"/>
                  </w:pPr>
                  <w:r>
                    <w:rPr>
                      <w:rFonts w:ascii="仿宋_GB2312" w:hAnsi="仿宋_GB2312" w:cs="仿宋_GB2312" w:eastAsia="仿宋_GB2312"/>
                      <w:sz w:val="21"/>
                    </w:rPr>
                    <w:t>4、测光模式：平均测光/峰值测光/自动测光。</w:t>
                  </w:r>
                </w:p>
                <w:p>
                  <w:pPr>
                    <w:pStyle w:val="null3"/>
                    <w:jc w:val="left"/>
                  </w:pPr>
                  <w:r>
                    <w:rPr>
                      <w:rFonts w:ascii="仿宋_GB2312" w:hAnsi="仿宋_GB2312" w:cs="仿宋_GB2312" w:eastAsia="仿宋_GB2312"/>
                      <w:sz w:val="21"/>
                    </w:rPr>
                    <w:t>5、结构强调功能：≥4 级。</w:t>
                  </w:r>
                </w:p>
                <w:p>
                  <w:pPr>
                    <w:pStyle w:val="null3"/>
                    <w:jc w:val="left"/>
                  </w:pPr>
                  <w:r>
                    <w:rPr>
                      <w:rFonts w:ascii="仿宋_GB2312" w:hAnsi="仿宋_GB2312" w:cs="仿宋_GB2312" w:eastAsia="仿宋_GB2312"/>
                      <w:sz w:val="21"/>
                    </w:rPr>
                    <w:t>6、图像放大功能：兼容内镜均具有2倍电子放大功能。</w:t>
                  </w:r>
                </w:p>
                <w:p>
                  <w:pPr>
                    <w:pStyle w:val="null3"/>
                    <w:jc w:val="left"/>
                  </w:pPr>
                  <w:r>
                    <w:rPr>
                      <w:rFonts w:ascii="仿宋_GB2312" w:hAnsi="仿宋_GB2312" w:cs="仿宋_GB2312" w:eastAsia="仿宋_GB2312"/>
                      <w:sz w:val="21"/>
                    </w:rPr>
                    <w:t>7、图像信号输出方式：高清数字DVI接口：≥2个（1920*1080P）。</w:t>
                  </w:r>
                </w:p>
                <w:p>
                  <w:pPr>
                    <w:pStyle w:val="null3"/>
                    <w:jc w:val="left"/>
                  </w:pPr>
                  <w:r>
                    <w:rPr>
                      <w:rFonts w:ascii="仿宋_GB2312" w:hAnsi="仿宋_GB2312" w:cs="仿宋_GB2312" w:eastAsia="仿宋_GB2312"/>
                      <w:sz w:val="21"/>
                    </w:rPr>
                    <w:t>8、图像冻结模式：实时冻结，≥3种冻结模式可选。</w:t>
                  </w:r>
                </w:p>
                <w:p>
                  <w:pPr>
                    <w:pStyle w:val="null3"/>
                    <w:jc w:val="left"/>
                  </w:pPr>
                  <w:r>
                    <w:rPr>
                      <w:rFonts w:ascii="仿宋_GB2312" w:hAnsi="仿宋_GB2312" w:cs="仿宋_GB2312" w:eastAsia="仿宋_GB2312"/>
                      <w:sz w:val="21"/>
                    </w:rPr>
                    <w:t>9、画中画功能：冻结图像与运动图像同时出现在画面上。</w:t>
                  </w:r>
                </w:p>
                <w:p>
                  <w:pPr>
                    <w:pStyle w:val="null3"/>
                    <w:jc w:val="left"/>
                  </w:pPr>
                  <w:r>
                    <w:rPr>
                      <w:rFonts w:ascii="仿宋_GB2312" w:hAnsi="仿宋_GB2312" w:cs="仿宋_GB2312" w:eastAsia="仿宋_GB2312"/>
                      <w:sz w:val="21"/>
                    </w:rPr>
                    <w:t>10、光源寿命：≥10000小时。</w:t>
                  </w:r>
                </w:p>
                <w:p>
                  <w:pPr>
                    <w:pStyle w:val="null3"/>
                    <w:jc w:val="left"/>
                  </w:pPr>
                  <w:r>
                    <w:rPr>
                      <w:rFonts w:ascii="仿宋_GB2312" w:hAnsi="仿宋_GB2312" w:cs="仿宋_GB2312" w:eastAsia="仿宋_GB2312"/>
                      <w:sz w:val="21"/>
                    </w:rPr>
                    <w:t>▲</w:t>
                  </w:r>
                  <w:r>
                    <w:rPr>
                      <w:rFonts w:ascii="仿宋_GB2312" w:hAnsi="仿宋_GB2312" w:cs="仿宋_GB2312" w:eastAsia="仿宋_GB2312"/>
                      <w:sz w:val="21"/>
                    </w:rPr>
                    <w:t>11、光源：多色LED光源，数量≥3个。</w:t>
                  </w:r>
                </w:p>
                <w:p>
                  <w:pPr>
                    <w:pStyle w:val="null3"/>
                    <w:jc w:val="left"/>
                  </w:pPr>
                  <w:r>
                    <w:rPr>
                      <w:rFonts w:ascii="仿宋_GB2312" w:hAnsi="仿宋_GB2312" w:cs="仿宋_GB2312" w:eastAsia="仿宋_GB2312"/>
                      <w:sz w:val="21"/>
                    </w:rPr>
                    <w:t>12、具有外接USB输出。</w:t>
                  </w:r>
                </w:p>
                <w:p>
                  <w:pPr>
                    <w:pStyle w:val="null3"/>
                    <w:jc w:val="left"/>
                  </w:pPr>
                  <w:r>
                    <w:rPr>
                      <w:rFonts w:ascii="仿宋_GB2312" w:hAnsi="仿宋_GB2312" w:cs="仿宋_GB2312" w:eastAsia="仿宋_GB2312"/>
                      <w:sz w:val="21"/>
                    </w:rPr>
                    <w:t>13、内置存储器：≥4G。</w:t>
                  </w:r>
                </w:p>
                <w:p>
                  <w:pPr>
                    <w:pStyle w:val="null3"/>
                    <w:jc w:val="both"/>
                  </w:pPr>
                  <w:r>
                    <w:rPr>
                      <w:rFonts w:ascii="仿宋_GB2312" w:hAnsi="仿宋_GB2312" w:cs="仿宋_GB2312" w:eastAsia="仿宋_GB2312"/>
                      <w:sz w:val="21"/>
                    </w:rPr>
                    <w:t>▲</w:t>
                  </w:r>
                  <w:r>
                    <w:rPr>
                      <w:rFonts w:ascii="仿宋_GB2312" w:hAnsi="仿宋_GB2312" w:cs="仿宋_GB2312" w:eastAsia="仿宋_GB2312"/>
                      <w:sz w:val="21"/>
                    </w:rPr>
                    <w:t>14、兼容性：可兼容胃镜、肠镜、超声胃镜、经鼻内镜、十二指肠镜、支气管镜、电子鼻咽喉镜等。</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高清电子胃镜</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1条</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1、图像传感器:高清CMOS图像传感器、兼容HDTV全高清输出。</w:t>
                  </w:r>
                </w:p>
                <w:p>
                  <w:pPr>
                    <w:pStyle w:val="null3"/>
                    <w:jc w:val="both"/>
                  </w:pPr>
                  <w:r>
                    <w:rPr>
                      <w:rFonts w:ascii="仿宋_GB2312" w:hAnsi="仿宋_GB2312" w:cs="仿宋_GB2312" w:eastAsia="仿宋_GB2312"/>
                      <w:sz w:val="21"/>
                    </w:rPr>
                    <w:t>2、具备特殊光模式≥3 种。</w:t>
                  </w:r>
                </w:p>
                <w:p>
                  <w:pPr>
                    <w:pStyle w:val="null3"/>
                    <w:jc w:val="both"/>
                  </w:pPr>
                  <w:r>
                    <w:rPr>
                      <w:rFonts w:ascii="仿宋_GB2312" w:hAnsi="仿宋_GB2312" w:cs="仿宋_GB2312" w:eastAsia="仿宋_GB2312"/>
                      <w:sz w:val="21"/>
                    </w:rPr>
                    <w:t>3、视野角度:0°(直视)。</w:t>
                  </w:r>
                </w:p>
                <w:p>
                  <w:pPr>
                    <w:pStyle w:val="null3"/>
                    <w:jc w:val="both"/>
                  </w:pPr>
                  <w:r>
                    <w:rPr>
                      <w:rFonts w:ascii="仿宋_GB2312" w:hAnsi="仿宋_GB2312" w:cs="仿宋_GB2312" w:eastAsia="仿宋_GB2312"/>
                      <w:sz w:val="21"/>
                    </w:rPr>
                    <w:t>4、视野范围:≥140°。</w:t>
                  </w:r>
                </w:p>
                <w:p>
                  <w:pPr>
                    <w:pStyle w:val="null3"/>
                    <w:jc w:val="both"/>
                  </w:pPr>
                  <w:r>
                    <w:rPr>
                      <w:rFonts w:ascii="仿宋_GB2312" w:hAnsi="仿宋_GB2312" w:cs="仿宋_GB2312" w:eastAsia="仿宋_GB2312"/>
                      <w:sz w:val="21"/>
                    </w:rPr>
                    <w:t>5、景深: 2-100mm。</w:t>
                  </w:r>
                </w:p>
                <w:p>
                  <w:pPr>
                    <w:pStyle w:val="null3"/>
                    <w:jc w:val="both"/>
                  </w:pPr>
                  <w:r>
                    <w:rPr>
                      <w:rFonts w:ascii="仿宋_GB2312" w:hAnsi="仿宋_GB2312" w:cs="仿宋_GB2312" w:eastAsia="仿宋_GB2312"/>
                      <w:sz w:val="21"/>
                    </w:rPr>
                    <w:t>6、先端部外径:≤9.3mm。</w:t>
                  </w:r>
                </w:p>
                <w:p>
                  <w:pPr>
                    <w:pStyle w:val="null3"/>
                    <w:jc w:val="both"/>
                  </w:pPr>
                  <w:r>
                    <w:rPr>
                      <w:rFonts w:ascii="仿宋_GB2312" w:hAnsi="仿宋_GB2312" w:cs="仿宋_GB2312" w:eastAsia="仿宋_GB2312"/>
                      <w:sz w:val="21"/>
                    </w:rPr>
                    <w:t>7、弯曲部外径:≤9.4mm。</w:t>
                  </w:r>
                </w:p>
                <w:p>
                  <w:pPr>
                    <w:pStyle w:val="null3"/>
                    <w:jc w:val="both"/>
                  </w:pPr>
                  <w:r>
                    <w:rPr>
                      <w:rFonts w:ascii="仿宋_GB2312" w:hAnsi="仿宋_GB2312" w:cs="仿宋_GB2312" w:eastAsia="仿宋_GB2312"/>
                      <w:sz w:val="21"/>
                    </w:rPr>
                    <w:t>8、有效长度:≥1000mm。</w:t>
                  </w:r>
                </w:p>
                <w:p>
                  <w:pPr>
                    <w:pStyle w:val="null3"/>
                    <w:jc w:val="both"/>
                  </w:pPr>
                  <w:r>
                    <w:rPr>
                      <w:rFonts w:ascii="仿宋_GB2312" w:hAnsi="仿宋_GB2312" w:cs="仿宋_GB2312" w:eastAsia="仿宋_GB2312"/>
                      <w:sz w:val="21"/>
                    </w:rPr>
                    <w:t>9、全长:≥1350mm。</w:t>
                  </w:r>
                </w:p>
                <w:p>
                  <w:pPr>
                    <w:pStyle w:val="null3"/>
                    <w:jc w:val="both"/>
                  </w:pPr>
                  <w:r>
                    <w:rPr>
                      <w:rFonts w:ascii="仿宋_GB2312" w:hAnsi="仿宋_GB2312" w:cs="仿宋_GB2312" w:eastAsia="仿宋_GB2312"/>
                      <w:sz w:val="21"/>
                    </w:rPr>
                    <w:t>10、弯曲角度:上:≥210°、下:≥90°、左:≥100°、右:≥100°。</w:t>
                  </w:r>
                </w:p>
                <w:p>
                  <w:pPr>
                    <w:pStyle w:val="null3"/>
                    <w:jc w:val="both"/>
                  </w:pPr>
                  <w:r>
                    <w:rPr>
                      <w:rFonts w:ascii="仿宋_GB2312" w:hAnsi="仿宋_GB2312" w:cs="仿宋_GB2312" w:eastAsia="仿宋_GB2312"/>
                      <w:sz w:val="21"/>
                    </w:rPr>
                    <w:t>11、钳道直径:≥2.8mm。</w:t>
                  </w:r>
                </w:p>
                <w:p>
                  <w:pPr>
                    <w:pStyle w:val="null3"/>
                    <w:jc w:val="both"/>
                  </w:pPr>
                  <w:r>
                    <w:rPr>
                      <w:rFonts w:ascii="仿宋_GB2312" w:hAnsi="仿宋_GB2312" w:cs="仿宋_GB2312" w:eastAsia="仿宋_GB2312"/>
                      <w:sz w:val="21"/>
                    </w:rPr>
                    <w:t>12、辅助送水功能：具有前射水功能。</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高清放大电子胃镜</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1条</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1、图像传感器：高清CMOS 图像传感器、兼容HDTV全高清输出。</w:t>
                  </w:r>
                </w:p>
                <w:p>
                  <w:pPr>
                    <w:pStyle w:val="null3"/>
                    <w:jc w:val="both"/>
                  </w:pPr>
                  <w:r>
                    <w:rPr>
                      <w:rFonts w:ascii="仿宋_GB2312" w:hAnsi="仿宋_GB2312" w:cs="仿宋_GB2312" w:eastAsia="仿宋_GB2312"/>
                      <w:sz w:val="21"/>
                    </w:rPr>
                    <w:t>2、具备特殊光模式≥3 种。</w:t>
                  </w:r>
                </w:p>
                <w:p>
                  <w:pPr>
                    <w:pStyle w:val="null3"/>
                    <w:jc w:val="both"/>
                  </w:pPr>
                  <w:r>
                    <w:rPr>
                      <w:rFonts w:ascii="仿宋_GB2312" w:hAnsi="仿宋_GB2312" w:cs="仿宋_GB2312" w:eastAsia="仿宋_GB2312"/>
                      <w:sz w:val="21"/>
                    </w:rPr>
                    <w:t>3、视野角度：0°(直视)。</w:t>
                  </w:r>
                </w:p>
                <w:p>
                  <w:pPr>
                    <w:pStyle w:val="null3"/>
                    <w:jc w:val="both"/>
                  </w:pPr>
                  <w:r>
                    <w:rPr>
                      <w:rFonts w:ascii="仿宋_GB2312" w:hAnsi="仿宋_GB2312" w:cs="仿宋_GB2312" w:eastAsia="仿宋_GB2312"/>
                      <w:sz w:val="21"/>
                    </w:rPr>
                    <w:t>4、视场角：正常≥140°。</w:t>
                  </w:r>
                </w:p>
                <w:p>
                  <w:pPr>
                    <w:pStyle w:val="null3"/>
                    <w:jc w:val="both"/>
                  </w:pPr>
                  <w:r>
                    <w:rPr>
                      <w:rFonts w:ascii="仿宋_GB2312" w:hAnsi="仿宋_GB2312" w:cs="仿宋_GB2312" w:eastAsia="仿宋_GB2312"/>
                      <w:sz w:val="21"/>
                    </w:rPr>
                    <w:t>5、景深：正常3-100mm。</w:t>
                  </w:r>
                </w:p>
                <w:p>
                  <w:pPr>
                    <w:pStyle w:val="null3"/>
                    <w:jc w:val="both"/>
                  </w:pPr>
                  <w:r>
                    <w:rPr>
                      <w:rFonts w:ascii="仿宋_GB2312" w:hAnsi="仿宋_GB2312" w:cs="仿宋_GB2312" w:eastAsia="仿宋_GB2312"/>
                      <w:sz w:val="21"/>
                    </w:rPr>
                    <w:t>6、先端部外径：Ф≤10mm。</w:t>
                  </w:r>
                </w:p>
                <w:p>
                  <w:pPr>
                    <w:pStyle w:val="null3"/>
                    <w:jc w:val="both"/>
                  </w:pPr>
                  <w:r>
                    <w:rPr>
                      <w:rFonts w:ascii="仿宋_GB2312" w:hAnsi="仿宋_GB2312" w:cs="仿宋_GB2312" w:eastAsia="仿宋_GB2312"/>
                      <w:sz w:val="21"/>
                    </w:rPr>
                    <w:t>7、软性部外径：Ф≤9.8mm。</w:t>
                  </w:r>
                </w:p>
                <w:p>
                  <w:pPr>
                    <w:pStyle w:val="null3"/>
                    <w:jc w:val="both"/>
                  </w:pPr>
                  <w:r>
                    <w:rPr>
                      <w:rFonts w:ascii="仿宋_GB2312" w:hAnsi="仿宋_GB2312" w:cs="仿宋_GB2312" w:eastAsia="仿宋_GB2312"/>
                      <w:sz w:val="21"/>
                    </w:rPr>
                    <w:t>8、有效长度：≥1000mm。</w:t>
                  </w:r>
                </w:p>
                <w:p>
                  <w:pPr>
                    <w:pStyle w:val="null3"/>
                    <w:jc w:val="both"/>
                  </w:pPr>
                  <w:r>
                    <w:rPr>
                      <w:rFonts w:ascii="仿宋_GB2312" w:hAnsi="仿宋_GB2312" w:cs="仿宋_GB2312" w:eastAsia="仿宋_GB2312"/>
                      <w:sz w:val="21"/>
                    </w:rPr>
                    <w:t>9、全长：≥1350mm。</w:t>
                  </w:r>
                </w:p>
                <w:p>
                  <w:pPr>
                    <w:pStyle w:val="null3"/>
                    <w:jc w:val="both"/>
                  </w:pPr>
                  <w:r>
                    <w:rPr>
                      <w:rFonts w:ascii="仿宋_GB2312" w:hAnsi="仿宋_GB2312" w:cs="仿宋_GB2312" w:eastAsia="仿宋_GB2312"/>
                      <w:sz w:val="21"/>
                    </w:rPr>
                    <w:t>10、弯曲角度：上：≥210°、下：≥90°、左：≥100°、右：≥100°。</w:t>
                  </w:r>
                </w:p>
                <w:p>
                  <w:pPr>
                    <w:pStyle w:val="null3"/>
                    <w:jc w:val="both"/>
                  </w:pPr>
                  <w:r>
                    <w:rPr>
                      <w:rFonts w:ascii="仿宋_GB2312" w:hAnsi="仿宋_GB2312" w:cs="仿宋_GB2312" w:eastAsia="仿宋_GB2312"/>
                      <w:sz w:val="21"/>
                    </w:rPr>
                    <w:t>11、钳道内径：Ф≥2.8mm。</w:t>
                  </w:r>
                </w:p>
                <w:p>
                  <w:pPr>
                    <w:pStyle w:val="null3"/>
                    <w:jc w:val="both"/>
                  </w:pPr>
                  <w:r>
                    <w:rPr>
                      <w:rFonts w:ascii="仿宋_GB2312" w:hAnsi="仿宋_GB2312" w:cs="仿宋_GB2312" w:eastAsia="仿宋_GB2312"/>
                      <w:sz w:val="21"/>
                    </w:rPr>
                    <w:t>12、辅助送水功能：具有前射水功能。</w:t>
                  </w:r>
                </w:p>
                <w:p>
                  <w:pPr>
                    <w:pStyle w:val="null3"/>
                    <w:jc w:val="both"/>
                  </w:pPr>
                  <w:r>
                    <w:rPr>
                      <w:rFonts w:ascii="仿宋_GB2312" w:hAnsi="仿宋_GB2312" w:cs="仿宋_GB2312" w:eastAsia="仿宋_GB2312"/>
                      <w:sz w:val="21"/>
                    </w:rPr>
                    <w:t>13、无电器接点外露。</w:t>
                  </w:r>
                </w:p>
                <w:p>
                  <w:pPr>
                    <w:pStyle w:val="null3"/>
                    <w:jc w:val="both"/>
                  </w:pPr>
                  <w:r>
                    <w:rPr>
                      <w:rFonts w:ascii="仿宋_GB2312" w:hAnsi="仿宋_GB2312" w:cs="仿宋_GB2312" w:eastAsia="仿宋_GB2312"/>
                      <w:sz w:val="21"/>
                    </w:rPr>
                    <w:t>▲</w:t>
                  </w:r>
                  <w:r>
                    <w:rPr>
                      <w:rFonts w:ascii="仿宋_GB2312" w:hAnsi="仿宋_GB2312" w:cs="仿宋_GB2312" w:eastAsia="仿宋_GB2312"/>
                      <w:sz w:val="21"/>
                    </w:rPr>
                    <w:t>14、光学放大倍数≥140倍。</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高清电子结肠镜</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2条</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1、图像传感器：高清CMOS 图像传感器、兼容HDTV全高清输出。</w:t>
                  </w:r>
                </w:p>
                <w:p>
                  <w:pPr>
                    <w:pStyle w:val="null3"/>
                    <w:jc w:val="both"/>
                  </w:pPr>
                  <w:r>
                    <w:rPr>
                      <w:rFonts w:ascii="仿宋_GB2312" w:hAnsi="仿宋_GB2312" w:cs="仿宋_GB2312" w:eastAsia="仿宋_GB2312"/>
                      <w:sz w:val="21"/>
                    </w:rPr>
                    <w:t>2、具备特殊光模式≥3 种。</w:t>
                  </w:r>
                </w:p>
                <w:p>
                  <w:pPr>
                    <w:pStyle w:val="null3"/>
                    <w:jc w:val="both"/>
                  </w:pPr>
                  <w:r>
                    <w:rPr>
                      <w:rFonts w:ascii="仿宋_GB2312" w:hAnsi="仿宋_GB2312" w:cs="仿宋_GB2312" w:eastAsia="仿宋_GB2312"/>
                      <w:sz w:val="21"/>
                    </w:rPr>
                    <w:t>3、视野角度：0°(直视)。</w:t>
                  </w:r>
                </w:p>
                <w:p>
                  <w:pPr>
                    <w:pStyle w:val="null3"/>
                    <w:jc w:val="both"/>
                  </w:pPr>
                  <w:r>
                    <w:rPr>
                      <w:rFonts w:ascii="仿宋_GB2312" w:hAnsi="仿宋_GB2312" w:cs="仿宋_GB2312" w:eastAsia="仿宋_GB2312"/>
                      <w:sz w:val="21"/>
                    </w:rPr>
                    <w:t>4、视野范围：≥170°。</w:t>
                  </w:r>
                </w:p>
                <w:p>
                  <w:pPr>
                    <w:pStyle w:val="null3"/>
                    <w:jc w:val="both"/>
                  </w:pPr>
                  <w:r>
                    <w:rPr>
                      <w:rFonts w:ascii="仿宋_GB2312" w:hAnsi="仿宋_GB2312" w:cs="仿宋_GB2312" w:eastAsia="仿宋_GB2312"/>
                      <w:sz w:val="21"/>
                    </w:rPr>
                    <w:t>5、景深：2-100mm。</w:t>
                  </w:r>
                </w:p>
                <w:p>
                  <w:pPr>
                    <w:pStyle w:val="null3"/>
                    <w:jc w:val="both"/>
                  </w:pPr>
                  <w:r>
                    <w:rPr>
                      <w:rFonts w:ascii="仿宋_GB2312" w:hAnsi="仿宋_GB2312" w:cs="仿宋_GB2312" w:eastAsia="仿宋_GB2312"/>
                      <w:sz w:val="21"/>
                    </w:rPr>
                    <w:t>6、先端部外径：Ф≤12.5mm。</w:t>
                  </w:r>
                </w:p>
                <w:p>
                  <w:pPr>
                    <w:pStyle w:val="null3"/>
                    <w:jc w:val="both"/>
                  </w:pPr>
                  <w:r>
                    <w:rPr>
                      <w:rFonts w:ascii="仿宋_GB2312" w:hAnsi="仿宋_GB2312" w:cs="仿宋_GB2312" w:eastAsia="仿宋_GB2312"/>
                      <w:sz w:val="21"/>
                    </w:rPr>
                    <w:t>7、弯曲部外径：Ф≤12.5mm。</w:t>
                  </w:r>
                </w:p>
                <w:p>
                  <w:pPr>
                    <w:pStyle w:val="null3"/>
                    <w:jc w:val="both"/>
                  </w:pPr>
                  <w:r>
                    <w:rPr>
                      <w:rFonts w:ascii="仿宋_GB2312" w:hAnsi="仿宋_GB2312" w:cs="仿宋_GB2312" w:eastAsia="仿宋_GB2312"/>
                      <w:sz w:val="21"/>
                    </w:rPr>
                    <w:t>8、有效长度：≥1300mm。</w:t>
                  </w:r>
                </w:p>
                <w:p>
                  <w:pPr>
                    <w:pStyle w:val="null3"/>
                    <w:jc w:val="both"/>
                  </w:pPr>
                  <w:r>
                    <w:rPr>
                      <w:rFonts w:ascii="仿宋_GB2312" w:hAnsi="仿宋_GB2312" w:cs="仿宋_GB2312" w:eastAsia="仿宋_GB2312"/>
                      <w:sz w:val="21"/>
                    </w:rPr>
                    <w:t>9、全长：≥1650mm。</w:t>
                  </w:r>
                </w:p>
                <w:p>
                  <w:pPr>
                    <w:pStyle w:val="null3"/>
                    <w:jc w:val="both"/>
                  </w:pPr>
                  <w:r>
                    <w:rPr>
                      <w:rFonts w:ascii="仿宋_GB2312" w:hAnsi="仿宋_GB2312" w:cs="仿宋_GB2312" w:eastAsia="仿宋_GB2312"/>
                      <w:sz w:val="21"/>
                    </w:rPr>
                    <w:t>弯曲角度：上：</w:t>
                  </w:r>
                  <w:r>
                    <w:rPr>
                      <w:rFonts w:ascii="仿宋_GB2312" w:hAnsi="仿宋_GB2312" w:cs="仿宋_GB2312" w:eastAsia="仿宋_GB2312"/>
                      <w:sz w:val="21"/>
                    </w:rPr>
                    <w:t>≥180° 、下：≥180° 、左：≥160° 、右：≥160°。</w:t>
                  </w:r>
                </w:p>
                <w:p>
                  <w:pPr>
                    <w:pStyle w:val="null3"/>
                    <w:jc w:val="both"/>
                  </w:pPr>
                  <w:r>
                    <w:rPr>
                      <w:rFonts w:ascii="仿宋_GB2312" w:hAnsi="仿宋_GB2312" w:cs="仿宋_GB2312" w:eastAsia="仿宋_GB2312"/>
                      <w:sz w:val="21"/>
                    </w:rPr>
                    <w:t>▲</w:t>
                  </w:r>
                  <w:r>
                    <w:rPr>
                      <w:rFonts w:ascii="仿宋_GB2312" w:hAnsi="仿宋_GB2312" w:cs="仿宋_GB2312" w:eastAsia="仿宋_GB2312"/>
                      <w:sz w:val="21"/>
                    </w:rPr>
                    <w:t>11 、钳道内径：Ф≥3.8mm。</w:t>
                  </w:r>
                </w:p>
                <w:p>
                  <w:pPr>
                    <w:pStyle w:val="null3"/>
                    <w:jc w:val="both"/>
                  </w:pPr>
                  <w:r>
                    <w:rPr>
                      <w:rFonts w:ascii="仿宋_GB2312" w:hAnsi="仿宋_GB2312" w:cs="仿宋_GB2312" w:eastAsia="仿宋_GB2312"/>
                      <w:sz w:val="21"/>
                    </w:rPr>
                    <w:t>12、辅助送水功能：具有前射水功能。</w:t>
                  </w:r>
                </w:p>
                <w:p>
                  <w:pPr>
                    <w:pStyle w:val="null3"/>
                    <w:jc w:val="both"/>
                  </w:pPr>
                  <w:r>
                    <w:rPr>
                      <w:rFonts w:ascii="仿宋_GB2312" w:hAnsi="仿宋_GB2312" w:cs="仿宋_GB2312" w:eastAsia="仿宋_GB2312"/>
                      <w:sz w:val="21"/>
                    </w:rPr>
                    <w:t>13 、无电器接点外露。</w:t>
                  </w:r>
                </w:p>
                <w:p>
                  <w:pPr>
                    <w:pStyle w:val="null3"/>
                    <w:jc w:val="both"/>
                  </w:pPr>
                  <w:r>
                    <w:rPr>
                      <w:rFonts w:ascii="仿宋_GB2312" w:hAnsi="仿宋_GB2312" w:cs="仿宋_GB2312" w:eastAsia="仿宋_GB2312"/>
                      <w:sz w:val="21"/>
                    </w:rPr>
                    <w:t>14、能够顺时弯曲，硬度渐变。</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内镜用高清工作站</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1套</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1、具有登记录入功能：可一键复制再次登记历史患者信息。</w:t>
                  </w:r>
                </w:p>
                <w:p>
                  <w:pPr>
                    <w:pStyle w:val="null3"/>
                    <w:jc w:val="both"/>
                  </w:pPr>
                  <w:r>
                    <w:rPr>
                      <w:rFonts w:ascii="仿宋_GB2312" w:hAnsi="仿宋_GB2312" w:cs="仿宋_GB2312" w:eastAsia="仿宋_GB2312"/>
                      <w:sz w:val="21"/>
                    </w:rPr>
                    <w:t>2、软件包可以随意运行在各类介质，包括U盘，移动硬盘，光盘。</w:t>
                  </w:r>
                </w:p>
                <w:p>
                  <w:pPr>
                    <w:pStyle w:val="null3"/>
                    <w:jc w:val="both"/>
                  </w:pPr>
                  <w:r>
                    <w:rPr>
                      <w:rFonts w:ascii="仿宋_GB2312" w:hAnsi="仿宋_GB2312" w:cs="仿宋_GB2312" w:eastAsia="仿宋_GB2312"/>
                      <w:sz w:val="21"/>
                    </w:rPr>
                    <w:t>3、具有报告撰写功能：模板自定义，可以自行添加修改，打印同时间生成电子报告单。</w:t>
                  </w:r>
                </w:p>
                <w:p>
                  <w:pPr>
                    <w:pStyle w:val="null3"/>
                    <w:jc w:val="both"/>
                  </w:pPr>
                  <w:r>
                    <w:rPr>
                      <w:rFonts w:ascii="仿宋_GB2312" w:hAnsi="仿宋_GB2312" w:cs="仿宋_GB2312" w:eastAsia="仿宋_GB2312"/>
                      <w:sz w:val="21"/>
                    </w:rPr>
                    <w:t>4、具有资料导出功能：任意患者单个或者批量可以方便转出。</w:t>
                  </w:r>
                </w:p>
                <w:p>
                  <w:pPr>
                    <w:pStyle w:val="null3"/>
                    <w:jc w:val="both"/>
                  </w:pPr>
                  <w:r>
                    <w:rPr>
                      <w:rFonts w:ascii="仿宋_GB2312" w:hAnsi="仿宋_GB2312" w:cs="仿宋_GB2312" w:eastAsia="仿宋_GB2312"/>
                      <w:sz w:val="21"/>
                    </w:rPr>
                    <w:t>5、开放端口，负责和医院信息系统进行连接。</w:t>
                  </w:r>
                </w:p>
                <w:p>
                  <w:pPr>
                    <w:pStyle w:val="null3"/>
                    <w:jc w:val="both"/>
                  </w:pPr>
                  <w:r>
                    <w:rPr>
                      <w:rFonts w:ascii="仿宋_GB2312" w:hAnsi="仿宋_GB2312" w:cs="仿宋_GB2312" w:eastAsia="仿宋_GB2312"/>
                      <w:sz w:val="21"/>
                    </w:rPr>
                    <w:t>6、硬件：电脑1套（</w:t>
                  </w:r>
                  <w:r>
                    <w:rPr>
                      <w:rFonts w:ascii="仿宋_GB2312" w:hAnsi="仿宋_GB2312" w:cs="仿宋_GB2312" w:eastAsia="仿宋_GB2312"/>
                      <w:sz w:val="21"/>
                    </w:rPr>
                    <w:t>处理器（</w:t>
                  </w:r>
                  <w:r>
                    <w:rPr>
                      <w:rFonts w:ascii="仿宋_GB2312" w:hAnsi="仿宋_GB2312" w:cs="仿宋_GB2312" w:eastAsia="仿宋_GB2312"/>
                      <w:sz w:val="21"/>
                    </w:rPr>
                    <w:t>CPU）：处理器≥8核，主频≥2.7GHz；内存（RAM）：≥16GB，配备≥2个内存插槽；存储设备：≥1TB  SSD</w:t>
                  </w:r>
                  <w:r>
                    <w:rPr>
                      <w:rFonts w:ascii="仿宋_GB2312" w:hAnsi="仿宋_GB2312" w:cs="仿宋_GB2312" w:eastAsia="仿宋_GB2312"/>
                      <w:sz w:val="21"/>
                    </w:rPr>
                    <w:t xml:space="preserve"> </w:t>
                  </w:r>
                  <w:r>
                    <w:rPr>
                      <w:rFonts w:ascii="仿宋_GB2312" w:hAnsi="仿宋_GB2312" w:cs="仿宋_GB2312" w:eastAsia="仿宋_GB2312"/>
                      <w:sz w:val="21"/>
                    </w:rPr>
                    <w:t>），高清采集系统</w:t>
                  </w:r>
                  <w:r>
                    <w:rPr>
                      <w:rFonts w:ascii="仿宋_GB2312" w:hAnsi="仿宋_GB2312" w:cs="仿宋_GB2312" w:eastAsia="仿宋_GB2312"/>
                      <w:sz w:val="21"/>
                    </w:rPr>
                    <w:t>1套：彩色喷墨打印机1台，电脑桌椅1套。</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内镜专用高清液晶监视器</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1、显示器≥27英寸，分辨率：1920×1080P。</w:t>
                  </w:r>
                </w:p>
                <w:p>
                  <w:pPr>
                    <w:pStyle w:val="null3"/>
                    <w:jc w:val="both"/>
                  </w:pPr>
                  <w:r>
                    <w:rPr>
                      <w:rFonts w:ascii="仿宋_GB2312" w:hAnsi="仿宋_GB2312" w:cs="仿宋_GB2312" w:eastAsia="仿宋_GB2312"/>
                      <w:sz w:val="21"/>
                    </w:rPr>
                    <w:t>2、最大亮度：≥300cd/㎡。</w:t>
                  </w:r>
                </w:p>
                <w:p>
                  <w:pPr>
                    <w:pStyle w:val="null3"/>
                    <w:jc w:val="both"/>
                  </w:pPr>
                  <w:r>
                    <w:rPr>
                      <w:rFonts w:ascii="仿宋_GB2312" w:hAnsi="仿宋_GB2312" w:cs="仿宋_GB2312" w:eastAsia="仿宋_GB2312"/>
                      <w:sz w:val="21"/>
                    </w:rPr>
                    <w:t>3、视频信号输入接口类型：DVI（两组）、3G-SDI（两组）。</w:t>
                  </w:r>
                </w:p>
                <w:p>
                  <w:pPr>
                    <w:pStyle w:val="null3"/>
                    <w:jc w:val="both"/>
                  </w:pPr>
                  <w:r>
                    <w:rPr>
                      <w:rFonts w:ascii="仿宋_GB2312" w:hAnsi="仿宋_GB2312" w:cs="仿宋_GB2312" w:eastAsia="仿宋_GB2312"/>
                      <w:sz w:val="21"/>
                    </w:rPr>
                    <w:t>4、双画面显示：支持双画面多信号同屏显示；支持数字信号（DVI, SDI等）与模拟信号（S-Video, VGA等）画中画显示。</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7</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内窥镜专用台车</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1、具有可转动的液晶显示器支架。</w:t>
                  </w:r>
                </w:p>
                <w:p>
                  <w:pPr>
                    <w:pStyle w:val="null3"/>
                    <w:jc w:val="both"/>
                  </w:pPr>
                  <w:r>
                    <w:rPr>
                      <w:rFonts w:ascii="仿宋_GB2312" w:hAnsi="仿宋_GB2312" w:cs="仿宋_GB2312" w:eastAsia="仿宋_GB2312"/>
                      <w:sz w:val="21"/>
                    </w:rPr>
                    <w:t>2、可升降支架，可同时悬挂两根镜子。</w:t>
                  </w:r>
                </w:p>
                <w:p>
                  <w:pPr>
                    <w:pStyle w:val="null3"/>
                    <w:jc w:val="both"/>
                  </w:pPr>
                  <w:r>
                    <w:rPr>
                      <w:rFonts w:ascii="仿宋_GB2312" w:hAnsi="仿宋_GB2312" w:cs="仿宋_GB2312" w:eastAsia="仿宋_GB2312"/>
                      <w:sz w:val="21"/>
                    </w:rPr>
                    <w:t>3、可拉伸键盘托盘。</w:t>
                  </w:r>
                </w:p>
                <w:p>
                  <w:pPr>
                    <w:pStyle w:val="null3"/>
                    <w:jc w:val="both"/>
                  </w:pPr>
                  <w:r>
                    <w:rPr>
                      <w:rFonts w:ascii="仿宋_GB2312" w:hAnsi="仿宋_GB2312" w:cs="仿宋_GB2312" w:eastAsia="仿宋_GB2312"/>
                      <w:sz w:val="21"/>
                    </w:rPr>
                    <w:t>4、带锁定装置。</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8</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内窥镜送水装置</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1.送水调节范围：0-600ml/min。</w:t>
                  </w:r>
                </w:p>
                <w:p>
                  <w:pPr>
                    <w:pStyle w:val="null3"/>
                    <w:jc w:val="both"/>
                  </w:pPr>
                  <w:r>
                    <w:rPr>
                      <w:rFonts w:ascii="仿宋_GB2312" w:hAnsi="仿宋_GB2312" w:cs="仿宋_GB2312" w:eastAsia="仿宋_GB2312"/>
                      <w:sz w:val="21"/>
                    </w:rPr>
                    <w:t>2.送水袋挂件的安全工作载荷：≥2kg。</w:t>
                  </w:r>
                </w:p>
                <w:p>
                  <w:pPr>
                    <w:pStyle w:val="null3"/>
                    <w:jc w:val="both"/>
                  </w:pPr>
                  <w:r>
                    <w:rPr>
                      <w:rFonts w:ascii="仿宋_GB2312" w:hAnsi="仿宋_GB2312" w:cs="仿宋_GB2312" w:eastAsia="仿宋_GB2312"/>
                      <w:sz w:val="21"/>
                    </w:rPr>
                    <w:t>3.最长送水时间≥20s，具有输出定时保护功能。</w:t>
                  </w:r>
                </w:p>
                <w:p>
                  <w:pPr>
                    <w:pStyle w:val="null3"/>
                    <w:jc w:val="both"/>
                  </w:pPr>
                  <w:r>
                    <w:rPr>
                      <w:rFonts w:ascii="仿宋_GB2312" w:hAnsi="仿宋_GB2312" w:cs="仿宋_GB2312" w:eastAsia="仿宋_GB2312"/>
                      <w:sz w:val="21"/>
                    </w:rPr>
                    <w:t>4.最大传输压强：≤400kPa。</w:t>
                  </w:r>
                </w:p>
                <w:p>
                  <w:pPr>
                    <w:pStyle w:val="null3"/>
                    <w:jc w:val="both"/>
                  </w:pPr>
                  <w:r>
                    <w:rPr>
                      <w:rFonts w:ascii="仿宋_GB2312" w:hAnsi="仿宋_GB2312" w:cs="仿宋_GB2312" w:eastAsia="仿宋_GB2312"/>
                      <w:sz w:val="21"/>
                    </w:rPr>
                    <w:t>5.具备安全提示功能：具有泵头松脱监测，设备故障监测等功能。</w:t>
                  </w:r>
                </w:p>
                <w:p>
                  <w:pPr>
                    <w:pStyle w:val="null3"/>
                    <w:jc w:val="both"/>
                  </w:pPr>
                  <w:r>
                    <w:rPr>
                      <w:rFonts w:ascii="仿宋_GB2312" w:hAnsi="仿宋_GB2312" w:cs="仿宋_GB2312" w:eastAsia="仿宋_GB2312"/>
                      <w:sz w:val="21"/>
                    </w:rPr>
                    <w:t>6.控制方式；气囊式脚踏或按键。</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9</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预清洗槽和干燥台</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1套</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1.槽体，功能背板和干燥台采用高分子复合材料吸塑而成，抗菌、耐酸碱腐蚀、易清洁；槽盖采用透明高分子材料，柜门采用烤漆材质。</w:t>
                  </w:r>
                </w:p>
                <w:p>
                  <w:pPr>
                    <w:pStyle w:val="null3"/>
                    <w:jc w:val="both"/>
                  </w:pPr>
                  <w:r>
                    <w:rPr>
                      <w:rFonts w:ascii="仿宋_GB2312" w:hAnsi="仿宋_GB2312" w:cs="仿宋_GB2312" w:eastAsia="仿宋_GB2312"/>
                      <w:sz w:val="21"/>
                    </w:rPr>
                    <w:t>2.高压水枪，高压气枪，配备专用冲洗喷头；内置无油静音空压机，气压调节范围：0～0.75mpa；提供压力空气。</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10</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全自动内镜清洗消毒机</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1"/>
                    </w:rPr>
                    <w:t>1.适用于软式内镜清洗消毒。</w:t>
                  </w:r>
                  <w:r>
                    <w:rPr>
                      <w:rFonts w:ascii="仿宋_GB2312" w:hAnsi="仿宋_GB2312" w:cs="仿宋_GB2312" w:eastAsia="仿宋_GB2312"/>
                      <w:sz w:val="21"/>
                    </w:rPr>
                    <w:t>单个运行过程清洗液或消毒剂使用量</w:t>
                  </w:r>
                  <w:r>
                    <w:rPr>
                      <w:rFonts w:ascii="仿宋_GB2312" w:hAnsi="仿宋_GB2312" w:cs="仿宋_GB2312" w:eastAsia="仿宋_GB2312"/>
                      <w:sz w:val="21"/>
                    </w:rPr>
                    <w:t>≤</w:t>
                  </w:r>
                  <w:r>
                    <w:rPr>
                      <w:rFonts w:ascii="仿宋_GB2312" w:hAnsi="仿宋_GB2312" w:cs="仿宋_GB2312" w:eastAsia="仿宋_GB2312"/>
                      <w:sz w:val="21"/>
                    </w:rPr>
                    <w:t>10</w:t>
                  </w:r>
                  <w:r>
                    <w:rPr>
                      <w:rFonts w:ascii="仿宋_GB2312" w:hAnsi="仿宋_GB2312" w:cs="仿宋_GB2312" w:eastAsia="仿宋_GB2312"/>
                      <w:sz w:val="21"/>
                    </w:rPr>
                    <w:t>L</w:t>
                  </w:r>
                  <w:r>
                    <w:rPr>
                      <w:rFonts w:ascii="仿宋_GB2312" w:hAnsi="仿宋_GB2312" w:cs="仿宋_GB2312" w:eastAsia="仿宋_GB2312"/>
                      <w:sz w:val="21"/>
                    </w:rPr>
                    <w:t>。</w:t>
                  </w:r>
                </w:p>
                <w:p>
                  <w:pPr>
                    <w:pStyle w:val="null3"/>
                  </w:pPr>
                  <w:r>
                    <w:rPr>
                      <w:rFonts w:ascii="仿宋_GB2312" w:hAnsi="仿宋_GB2312" w:cs="仿宋_GB2312" w:eastAsia="仿宋_GB2312"/>
                      <w:sz w:val="21"/>
                    </w:rPr>
                    <w:t>2.三种开门方式：触摸屏、实体键、脚踢开关；</w:t>
                  </w:r>
                  <w:r>
                    <w:rPr>
                      <w:rFonts w:ascii="仿宋_GB2312" w:hAnsi="仿宋_GB2312" w:cs="仿宋_GB2312" w:eastAsia="仿宋_GB2312"/>
                      <w:sz w:val="21"/>
                    </w:rPr>
                    <w:t>具备断电应急开门功能；具备不停机直接消毒液浓度检测功能，槽盖具有消毒液浓度检测口</w:t>
                  </w:r>
                  <w:r>
                    <w:rPr>
                      <w:rFonts w:ascii="仿宋_GB2312" w:hAnsi="仿宋_GB2312" w:cs="仿宋_GB2312" w:eastAsia="仿宋_GB2312"/>
                      <w:sz w:val="21"/>
                    </w:rPr>
                    <w:t>。</w:t>
                  </w:r>
                </w:p>
                <w:p>
                  <w:pPr>
                    <w:pStyle w:val="null3"/>
                  </w:pPr>
                  <w:r>
                    <w:rPr>
                      <w:rFonts w:ascii="仿宋_GB2312" w:hAnsi="仿宋_GB2312" w:cs="仿宋_GB2312" w:eastAsia="仿宋_GB2312"/>
                      <w:sz w:val="21"/>
                    </w:rPr>
                    <w:t>3.自定消毒程序≥</w:t>
                  </w:r>
                  <w:r>
                    <w:rPr>
                      <w:rFonts w:ascii="仿宋_GB2312" w:hAnsi="仿宋_GB2312" w:cs="仿宋_GB2312" w:eastAsia="仿宋_GB2312"/>
                      <w:sz w:val="21"/>
                    </w:rPr>
                    <w:t>12</w:t>
                  </w:r>
                  <w:r>
                    <w:rPr>
                      <w:rFonts w:ascii="仿宋_GB2312" w:hAnsi="仿宋_GB2312" w:cs="仿宋_GB2312" w:eastAsia="仿宋_GB2312"/>
                      <w:sz w:val="21"/>
                    </w:rPr>
                    <w:t>套；可独立单一运行工作流程，如清洗、消毒、漂洗等单一模式。</w:t>
                  </w:r>
                </w:p>
                <w:p>
                  <w:pPr>
                    <w:pStyle w:val="null3"/>
                  </w:pPr>
                  <w:r>
                    <w:rPr>
                      <w:rFonts w:ascii="仿宋_GB2312" w:hAnsi="仿宋_GB2312" w:cs="仿宋_GB2312" w:eastAsia="仿宋_GB2312"/>
                      <w:sz w:val="21"/>
                    </w:rPr>
                    <w:t>4.设备内置</w:t>
                  </w:r>
                  <w:r>
                    <w:rPr>
                      <w:rFonts w:ascii="仿宋_GB2312" w:hAnsi="仿宋_GB2312" w:cs="仿宋_GB2312" w:eastAsia="仿宋_GB2312"/>
                      <w:sz w:val="21"/>
                    </w:rPr>
                    <w:t>≤</w:t>
                  </w:r>
                  <w:r>
                    <w:rPr>
                      <w:rFonts w:ascii="仿宋_GB2312" w:hAnsi="仿宋_GB2312" w:cs="仿宋_GB2312" w:eastAsia="仿宋_GB2312"/>
                      <w:sz w:val="21"/>
                    </w:rPr>
                    <w:t>0.2</w:t>
                  </w:r>
                  <w:r>
                    <w:rPr>
                      <w:rFonts w:ascii="仿宋_GB2312" w:hAnsi="仿宋_GB2312" w:cs="仿宋_GB2312" w:eastAsia="仿宋_GB2312"/>
                      <w:sz w:val="21"/>
                    </w:rPr>
                    <w:t>μ</w:t>
                  </w:r>
                  <w:r>
                    <w:rPr>
                      <w:rFonts w:ascii="仿宋_GB2312" w:hAnsi="仿宋_GB2312" w:cs="仿宋_GB2312" w:eastAsia="仿宋_GB2312"/>
                      <w:sz w:val="21"/>
                    </w:rPr>
                    <w:t>m孔径除菌型空气过滤滤芯，</w:t>
                  </w:r>
                  <w:r>
                    <w:rPr>
                      <w:rFonts w:ascii="仿宋_GB2312" w:hAnsi="仿宋_GB2312" w:cs="仿宋_GB2312" w:eastAsia="仿宋_GB2312"/>
                      <w:sz w:val="21"/>
                    </w:rPr>
                    <w:t>具有</w:t>
                  </w:r>
                  <w:r>
                    <w:rPr>
                      <w:rFonts w:ascii="仿宋_GB2312" w:hAnsi="仿宋_GB2312" w:cs="仿宋_GB2312" w:eastAsia="仿宋_GB2312"/>
                      <w:sz w:val="21"/>
                    </w:rPr>
                    <w:t>空气滤芯更换日期和限用天数到期提醒功能，设备打印机可自动打印各个过程的运行数据，并可打印内镜名称和编号，消毒剂名称、编号。</w:t>
                  </w:r>
                </w:p>
                <w:p>
                  <w:pPr>
                    <w:pStyle w:val="null3"/>
                  </w:pPr>
                  <w:r>
                    <w:rPr>
                      <w:rFonts w:ascii="仿宋_GB2312" w:hAnsi="仿宋_GB2312" w:cs="仿宋_GB2312" w:eastAsia="仿宋_GB2312"/>
                      <w:sz w:val="21"/>
                    </w:rPr>
                    <w:t>5.</w:t>
                  </w:r>
                  <w:r>
                    <w:rPr>
                      <w:rFonts w:ascii="仿宋_GB2312" w:hAnsi="仿宋_GB2312" w:cs="仿宋_GB2312" w:eastAsia="仿宋_GB2312"/>
                      <w:sz w:val="21"/>
                    </w:rPr>
                    <w:t>设备具有进水喷淋冲洗和喷淋灌流两种清洗方式</w:t>
                  </w:r>
                  <w:r>
                    <w:rPr>
                      <w:rFonts w:ascii="仿宋_GB2312" w:hAnsi="仿宋_GB2312" w:cs="仿宋_GB2312" w:eastAsia="仿宋_GB2312"/>
                      <w:sz w:val="21"/>
                    </w:rPr>
                    <w:t>，</w:t>
                  </w:r>
                  <w:r>
                    <w:rPr>
                      <w:rFonts w:ascii="仿宋_GB2312" w:hAnsi="仿宋_GB2312" w:cs="仿宋_GB2312" w:eastAsia="仿宋_GB2312"/>
                      <w:sz w:val="21"/>
                    </w:rPr>
                    <w:t>具有自身消毒功能。</w:t>
                  </w:r>
                </w:p>
                <w:p>
                  <w:pPr>
                    <w:pStyle w:val="null3"/>
                  </w:pPr>
                  <w:r>
                    <w:rPr>
                      <w:rFonts w:ascii="仿宋_GB2312" w:hAnsi="仿宋_GB2312" w:cs="仿宋_GB2312" w:eastAsia="仿宋_GB2312"/>
                      <w:sz w:val="21"/>
                    </w:rPr>
                    <w:t>6.提供消毒效果</w:t>
                  </w:r>
                  <w:r>
                    <w:rPr>
                      <w:rFonts w:ascii="仿宋_GB2312" w:hAnsi="仿宋_GB2312" w:cs="仿宋_GB2312" w:eastAsia="仿宋_GB2312"/>
                      <w:sz w:val="21"/>
                    </w:rPr>
                    <w:t>的第三方检测报告。</w:t>
                  </w:r>
                </w:p>
              </w:tc>
            </w:tr>
            <w:tr>
              <w:tc>
                <w:tcPr>
                  <w:tcW w:type="dxa" w:w="1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3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软式内镜储存柜</w:t>
                  </w:r>
                  <w:r>
                    <w:rPr>
                      <w:rFonts w:ascii="仿宋_GB2312" w:hAnsi="仿宋_GB2312" w:cs="仿宋_GB2312" w:eastAsia="仿宋_GB2312"/>
                      <w:sz w:val="21"/>
                    </w:rPr>
                    <w:t xml:space="preserve"> </w:t>
                  </w:r>
                </w:p>
              </w:tc>
              <w:tc>
                <w:tcPr>
                  <w:tcW w:type="dxa" w:w="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c>
                <w:tcPr>
                  <w:tcW w:type="dxa" w:w="172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1.高分子材料，可储存≥6条内镜。</w:t>
                  </w:r>
                </w:p>
                <w:p>
                  <w:pPr>
                    <w:pStyle w:val="null3"/>
                    <w:jc w:val="both"/>
                  </w:pPr>
                  <w:r>
                    <w:rPr>
                      <w:rFonts w:ascii="仿宋_GB2312" w:hAnsi="仿宋_GB2312" w:cs="仿宋_GB2312" w:eastAsia="仿宋_GB2312"/>
                      <w:sz w:val="21"/>
                    </w:rPr>
                    <w:t>2.液晶中文显示，触摸屏控制，具备循环风消毒系统。</w:t>
                  </w:r>
                </w:p>
              </w:tc>
            </w:tr>
          </w:tbl>
          <w:p/>
        </w:tc>
      </w:tr>
    </w:tbl>
    <w:p>
      <w:pPr>
        <w:pStyle w:val="null3"/>
        <w:outlineLvl w:val="2"/>
      </w:pPr>
      <w:r>
        <w:rPr>
          <w:rFonts w:ascii="仿宋_GB2312" w:hAnsi="仿宋_GB2312" w:cs="仿宋_GB2312" w:eastAsia="仿宋_GB2312"/>
          <w:sz w:val="28"/>
          <w:b/>
        </w:rPr>
        <w:t>3.4商务要求</w:t>
      </w:r>
    </w:p>
    <w:p>
      <w:pPr>
        <w:pStyle w:val="null3"/>
        <w:outlineLvl w:val="3"/>
      </w:pPr>
      <w:r>
        <w:rPr>
          <w:rFonts w:ascii="仿宋_GB2312" w:hAnsi="仿宋_GB2312" w:cs="仿宋_GB2312" w:eastAsia="仿宋_GB2312"/>
          <w:sz w:val="24"/>
          <w:b/>
        </w:rPr>
        <w:t xml:space="preserve"> 3.4.1交货时间</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自合同签订之日起60个日历日内</w:t>
      </w:r>
    </w:p>
    <w:p>
      <w:pPr>
        <w:pStyle w:val="null3"/>
        <w:outlineLvl w:val="3"/>
      </w:pPr>
      <w:r>
        <w:rPr>
          <w:rFonts w:ascii="仿宋_GB2312" w:hAnsi="仿宋_GB2312" w:cs="仿宋_GB2312" w:eastAsia="仿宋_GB2312"/>
          <w:sz w:val="24"/>
          <w:b/>
        </w:rPr>
        <w:t>3.4.2交货地点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陕西省交通医院指定地点</w:t>
      </w:r>
    </w:p>
    <w:p>
      <w:pPr>
        <w:pStyle w:val="null3"/>
        <w:outlineLvl w:val="3"/>
      </w:pPr>
      <w:r>
        <w:rPr>
          <w:rFonts w:ascii="仿宋_GB2312" w:hAnsi="仿宋_GB2312" w:cs="仿宋_GB2312" w:eastAsia="仿宋_GB2312"/>
          <w:sz w:val="24"/>
          <w:b/>
        </w:rPr>
        <w:t>3.4.3支付方式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一次付清</w:t>
      </w:r>
    </w:p>
    <w:p>
      <w:pPr>
        <w:pStyle w:val="null3"/>
        <w:outlineLvl w:val="3"/>
      </w:pPr>
      <w:r>
        <w:rPr>
          <w:rFonts w:ascii="仿宋_GB2312" w:hAnsi="仿宋_GB2312" w:cs="仿宋_GB2312" w:eastAsia="仿宋_GB2312"/>
          <w:sz w:val="24"/>
          <w:b/>
        </w:rPr>
        <w:t>3.4.4支付约定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设备到货安装试运行稳定且验收合格后，乙方应按合同总价款的 5%向甲方支付履约金或提供开户银行按照合同总价5%开具的履约保函，收到履约保证金或履约保函后</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3.4.5验收标准和方法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1、招标文件、投标文件、澄清表（函）； 2、合同及附件文本； 3、国家相应的标准、规范。</w:t>
      </w:r>
    </w:p>
    <w:p>
      <w:pPr>
        <w:pStyle w:val="null3"/>
        <w:outlineLvl w:val="3"/>
      </w:pPr>
      <w:r>
        <w:rPr>
          <w:rFonts w:ascii="仿宋_GB2312" w:hAnsi="仿宋_GB2312" w:cs="仿宋_GB2312" w:eastAsia="仿宋_GB2312"/>
          <w:sz w:val="24"/>
          <w:b/>
        </w:rPr>
        <w:t>3.4.6包装方式及运输</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outlineLvl w:val="3"/>
      </w:pPr>
      <w:r>
        <w:rPr>
          <w:rFonts w:ascii="仿宋_GB2312" w:hAnsi="仿宋_GB2312" w:cs="仿宋_GB2312" w:eastAsia="仿宋_GB2312"/>
          <w:sz w:val="24"/>
          <w:b/>
        </w:rPr>
        <w:t>3.4.7质量保修范围和保修期</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3年。</w:t>
      </w:r>
    </w:p>
    <w:p>
      <w:pPr>
        <w:pStyle w:val="null3"/>
        <w:outlineLvl w:val="3"/>
      </w:pPr>
      <w:r>
        <w:rPr>
          <w:rFonts w:ascii="仿宋_GB2312" w:hAnsi="仿宋_GB2312" w:cs="仿宋_GB2312" w:eastAsia="仿宋_GB2312"/>
          <w:sz w:val="24"/>
          <w:b/>
        </w:rPr>
        <w:t>3.4.8违约责任与解决争议的方法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按招标文件、投标文件及合同约定执行。</w:t>
      </w:r>
    </w:p>
    <w:p>
      <w:pPr>
        <w:pStyle w:val="null3"/>
        <w:jc w:val="left"/>
        <w:outlineLvl w:val="2"/>
      </w:pPr>
      <w:r>
        <w:rPr>
          <w:rFonts w:ascii="仿宋_GB2312" w:hAnsi="仿宋_GB2312" w:cs="仿宋_GB2312" w:eastAsia="仿宋_GB2312"/>
          <w:sz w:val="28"/>
          <w:b/>
        </w:rPr>
        <w:t>3.5其他要求</w:t>
      </w:r>
    </w:p>
    <w:p>
      <w:pPr>
        <w:pStyle w:val="null3"/>
      </w:pPr>
      <w:r>
        <w:rPr>
          <w:rFonts w:ascii="仿宋_GB2312" w:hAnsi="仿宋_GB2312" w:cs="仿宋_GB2312" w:eastAsia="仿宋_GB2312"/>
        </w:rPr>
        <w:t>各采购包中标人领取中标通知书时，提交纸质投标文件正本壹份、副本贰份、电子版壹份（U盘壹份注明单位名称）编辑目录和页码，内容和通过电子化交易平台实施的政府采购项目提交的投标文件一致。纸质投标文件正副本分别胶装（投标文件采用双面打印）。联系人：郭工；联系电话：17791552327。</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资格审查由采购人或代理机构组建的资格审查小组依据法律法规和招标文件的规定，对投标文件中的资格证明等进行审查，以确定投标人是否具备投标资格，并出具资格审查报告。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2"/>
      </w:pPr>
      <w:r>
        <w:rPr>
          <w:rFonts w:ascii="仿宋_GB2312" w:hAnsi="仿宋_GB2312" w:cs="仿宋_GB2312" w:eastAsia="仿宋_GB2312"/>
          <w:sz w:val="28"/>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 中小企业声明函 残疾人福利性单位声明函 投标文件封面 监狱企业的证明文件</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供应商应提供健全的财务会计制度的证明材料；</w:t>
            </w:r>
          </w:p>
        </w:tc>
        <w:tc>
          <w:tcPr>
            <w:tcW w:type="dxa" w:w="3322"/>
          </w:tcPr>
          <w:p>
            <w:pPr>
              <w:pStyle w:val="null3"/>
            </w:pPr>
            <w:r>
              <w:rPr>
                <w:rFonts w:ascii="仿宋_GB2312" w:hAnsi="仿宋_GB2312" w:cs="仿宋_GB2312" w:eastAsia="仿宋_GB2312"/>
              </w:rPr>
              <w:t>供应商需在项目电子化交易系统中按要求上传相应证明文件并进行电子签章。</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w:t>
            </w:r>
          </w:p>
        </w:tc>
      </w:tr>
    </w:tbl>
    <w:p>
      <w:pPr>
        <w:pStyle w:val="null3"/>
        <w:outlineLvl w:val="2"/>
      </w:pPr>
      <w:r>
        <w:rPr>
          <w:rFonts w:ascii="仿宋_GB2312" w:hAnsi="仿宋_GB2312" w:cs="仿宋_GB2312" w:eastAsia="仿宋_GB2312"/>
          <w:sz w:val="28"/>
          <w:b/>
        </w:rPr>
        <w:t>4.2特殊资格审查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有效的主体资格证明</w:t>
            </w:r>
          </w:p>
        </w:tc>
        <w:tc>
          <w:tcPr>
            <w:tcW w:type="dxa" w:w="3322"/>
          </w:tcPr>
          <w:p>
            <w:pPr>
              <w:pStyle w:val="null3"/>
            </w:pPr>
            <w:r>
              <w:rPr>
                <w:rFonts w:ascii="仿宋_GB2312" w:hAnsi="仿宋_GB2312" w:cs="仿宋_GB2312" w:eastAsia="仿宋_GB2312"/>
              </w:rPr>
              <w:t>具有独立承担民事责任能力的法人、其他组织或自然人，并出具合法有效的营业执照或事业单位法人证书等国家规定的相关证明，自然人参与的提供其身份证明。</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财务状况报告</w:t>
            </w:r>
          </w:p>
        </w:tc>
        <w:tc>
          <w:tcPr>
            <w:tcW w:type="dxa" w:w="3322"/>
          </w:tcPr>
          <w:p>
            <w:pPr>
              <w:pStyle w:val="null3"/>
            </w:pPr>
            <w:r>
              <w:rPr>
                <w:rFonts w:ascii="仿宋_GB2312" w:hAnsi="仿宋_GB2312" w:cs="仿宋_GB2312" w:eastAsia="仿宋_GB2312"/>
              </w:rPr>
              <w:t>提供2023或2024年度经审计的财务报告（包括“四表一注”，即资产负债表、利润表、现金流量表、所有者权益变动表及其附注，成立时间至提交投标文件截止时间不足一年的可提供成立后任意时段的资产负债表），或其开标前六个月内银行出具的资信证明。（以上两种形式的资料提供任何一种即可）。</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开标截止日期近一年内已缴纳至少一个月的依法缴纳税款的相关凭据（时间以税款所属日期为准），凭据应有税务机关或代收机关的公章或业务专用章。依法免税或无须缴纳税款的投标人，应提供相关证明文件。</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提供开标截止日期近一年内已缴纳的至少一个月的社会保障资金缴存单据或社保机构开具的社会保险参保缴费情况证明，依法不需要缴纳社会保障资金的单位应提供相关证明材料。</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书面声明</w:t>
            </w:r>
          </w:p>
        </w:tc>
        <w:tc>
          <w:tcPr>
            <w:tcW w:type="dxa" w:w="3322"/>
          </w:tcPr>
          <w:p>
            <w:pPr>
              <w:pStyle w:val="null3"/>
            </w:pPr>
            <w:r>
              <w:rPr>
                <w:rFonts w:ascii="仿宋_GB2312" w:hAnsi="仿宋_GB2312" w:cs="仿宋_GB2312" w:eastAsia="仿宋_GB2312"/>
              </w:rPr>
              <w:t>参加本次政府采购活动前三年内在经营活动中没有重大违纪，以及未被列入失信被执行人、重大税收违法失信主体、政府采购严重违法失信行为记录名单的书面声明。本项目拒绝被列入失信被执行人、重大税收违法失信主体、政府采购严重违法失信行为的投标人参与。</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承诺函</w:t>
            </w:r>
          </w:p>
        </w:tc>
        <w:tc>
          <w:tcPr>
            <w:tcW w:type="dxa" w:w="3322"/>
          </w:tcPr>
          <w:p>
            <w:pPr>
              <w:pStyle w:val="null3"/>
            </w:pPr>
            <w:r>
              <w:rPr>
                <w:rFonts w:ascii="仿宋_GB2312" w:hAnsi="仿宋_GB2312" w:cs="仿宋_GB2312" w:eastAsia="仿宋_GB2312"/>
              </w:rPr>
              <w:t>提供具有履行合同所必需的设备和专业技术能力的承诺函。</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法定代表人授权书及被授权人身份证明。（法定代表人直接投标只须提供其身份证明）</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特定资质</w:t>
            </w:r>
          </w:p>
        </w:tc>
        <w:tc>
          <w:tcPr>
            <w:tcW w:type="dxa" w:w="3322"/>
          </w:tcPr>
          <w:p>
            <w:pPr>
              <w:pStyle w:val="null3"/>
            </w:pPr>
            <w:r>
              <w:rPr>
                <w:rFonts w:ascii="仿宋_GB2312" w:hAnsi="仿宋_GB2312" w:cs="仿宋_GB2312" w:eastAsia="仿宋_GB2312"/>
              </w:rPr>
              <w:t>1、投标人为经销商的应具有有效的医疗器械经营许可证或经营备案凭证；投标人为制造厂家应具有有效的医疗器械生产许可证，且具有有效的医疗器械经营许可证或经营备案凭证。2、投标产品为医疗设备的需提供产品的有效医疗器械注册证或备案证。</w:t>
            </w:r>
          </w:p>
        </w:tc>
        <w:tc>
          <w:tcPr>
            <w:tcW w:type="dxa" w:w="1661"/>
          </w:tcPr>
          <w:p>
            <w:pPr>
              <w:pStyle w:val="null3"/>
            </w:pPr>
            <w:r>
              <w:rPr>
                <w:rFonts w:ascii="仿宋_GB2312" w:hAnsi="仿宋_GB2312" w:cs="仿宋_GB2312" w:eastAsia="仿宋_GB2312"/>
              </w:rPr>
              <w:t>供应商资格证明文件.docx 投标人应提交的相关资格证明材料</w:t>
            </w:r>
          </w:p>
        </w:tc>
      </w:tr>
    </w:tbl>
    <w:p>
      <w:pPr>
        <w:pStyle w:val="null3"/>
        <w:outlineLvl w:val="2"/>
      </w:pPr>
      <w:r>
        <w:rPr>
          <w:rFonts w:ascii="仿宋_GB2312" w:hAnsi="仿宋_GB2312" w:cs="仿宋_GB2312" w:eastAsia="仿宋_GB2312"/>
          <w:sz w:val="28"/>
          <w:b/>
        </w:rPr>
        <w:t>4.3落实政府采购政策资格审查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评标办法</w:t>
      </w:r>
    </w:p>
    <w:p>
      <w:pPr>
        <w:pStyle w:val="null3"/>
        <w:outlineLvl w:val="2"/>
      </w:pPr>
      <w:r>
        <w:rPr>
          <w:rFonts w:ascii="仿宋_GB2312" w:hAnsi="仿宋_GB2312" w:cs="仿宋_GB2312" w:eastAsia="仿宋_GB2312"/>
          <w:sz w:val="28"/>
          <w:b/>
        </w:rPr>
        <w:t>5.1总则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货物和服务招标投标管理办法》《陕西省政府采购评审专家管理实施办法》等法律规章，结合采购项目特点制定本评标办法。</w:t>
      </w:r>
    </w:p>
    <w:p>
      <w:pPr>
        <w:pStyle w:val="null3"/>
        <w:ind w:firstLine="480"/>
      </w:pPr>
      <w:r>
        <w:rPr>
          <w:rFonts w:ascii="仿宋_GB2312" w:hAnsi="仿宋_GB2312" w:cs="仿宋_GB2312" w:eastAsia="仿宋_GB2312"/>
        </w:rPr>
        <w:t xml:space="preserve"> 二、评标工作由代理机构负责组织，具体评标事务由采购人或代理机构依法组建的评标委员会负责。评标委员会由采购人代表和评审专家组成。</w:t>
      </w:r>
    </w:p>
    <w:p>
      <w:pPr>
        <w:pStyle w:val="null3"/>
        <w:ind w:firstLine="480"/>
      </w:pPr>
      <w:r>
        <w:rPr>
          <w:rFonts w:ascii="仿宋_GB2312" w:hAnsi="仿宋_GB2312" w:cs="仿宋_GB2312" w:eastAsia="仿宋_GB2312"/>
        </w:rPr>
        <w:t>三、评标工作应遵循公平、公正、科学及择优的原则，并以相同的评标程序和标准对待所有的投标人。</w:t>
      </w:r>
    </w:p>
    <w:p>
      <w:pPr>
        <w:pStyle w:val="null3"/>
        <w:ind w:firstLine="480"/>
      </w:pPr>
      <w:r>
        <w:rPr>
          <w:rFonts w:ascii="仿宋_GB2312" w:hAnsi="仿宋_GB2312" w:cs="仿宋_GB2312" w:eastAsia="仿宋_GB2312"/>
        </w:rPr>
        <w:t xml:space="preserve"> 四、本项目采取电子评标，通过项目电子化交易系统完成评标工作。评标委员会成员、采购人、代理机构和投标人应当按照本招标文件规定和项目电子化交易系统操作要求开展或者参加评标活动。</w:t>
      </w:r>
    </w:p>
    <w:p>
      <w:pPr>
        <w:pStyle w:val="null3"/>
        <w:ind w:firstLine="480"/>
      </w:pPr>
      <w:r>
        <w:rPr>
          <w:rFonts w:ascii="仿宋_GB2312" w:hAnsi="仿宋_GB2312" w:cs="仿宋_GB2312" w:eastAsia="仿宋_GB2312"/>
        </w:rPr>
        <w:t xml:space="preserve"> 五、评标过程中的书面材料往来均通过项目电子化交易系统传递，投标人通过互认的证书及签章加盖其电子印章后生效。出现无法在线签章的特殊情况，评标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标过程应当独立、保密，任何单位和个人不得非法干预评标活动。投标人非法干预评标活动的，其投标文件将作无效处理；代理机构、采购人及其工作人员、采购人监督人员非法干预评标活动的，将依法追究其责任。</w:t>
      </w:r>
    </w:p>
    <w:p>
      <w:pPr>
        <w:pStyle w:val="null3"/>
        <w:outlineLvl w:val="2"/>
      </w:pPr>
      <w:r>
        <w:rPr>
          <w:rFonts w:ascii="仿宋_GB2312" w:hAnsi="仿宋_GB2312" w:cs="仿宋_GB2312" w:eastAsia="仿宋_GB2312"/>
          <w:sz w:val="28"/>
          <w:b/>
        </w:rPr>
        <w:t>5.2评标委员会</w:t>
      </w:r>
    </w:p>
    <w:p>
      <w:pPr>
        <w:pStyle w:val="null3"/>
        <w:ind w:firstLine="480"/>
      </w:pPr>
      <w:r>
        <w:rPr>
          <w:rFonts w:ascii="仿宋_GB2312" w:hAnsi="仿宋_GB2312" w:cs="仿宋_GB2312" w:eastAsia="仿宋_GB2312"/>
        </w:rPr>
        <w:t>一、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二、评标委员会成员应当满足并适应电子化采购评审的工作需要，使用已身份认证并具备签章功能的证书，登录项目电子化交易系统进入项目评审功能模块确认身份、签到、推荐评标委员会组长。采购人代表可以使用采购人代表专用签章确认评审意见。</w:t>
      </w:r>
    </w:p>
    <w:p>
      <w:pPr>
        <w:pStyle w:val="null3"/>
        <w:ind w:firstLine="480"/>
      </w:pPr>
      <w:r>
        <w:rPr>
          <w:rFonts w:ascii="仿宋_GB2312" w:hAnsi="仿宋_GB2312" w:cs="仿宋_GB2312" w:eastAsia="仿宋_GB2312"/>
        </w:rPr>
        <w:t xml:space="preserve"> 三、评标委员会成员获取解密后的投标文件，开展评标活动。出现应当回避的情形时，评标委员会成员应当主动回避；代理机构按规定申请补充抽取评审专家；无法及时补充抽取的，采购人或者代理机构应当封存供应商投标文件，按规定重新组建评标委员会，解封投标文件后，开展评标活动。</w:t>
      </w:r>
    </w:p>
    <w:p>
      <w:pPr>
        <w:pStyle w:val="null3"/>
        <w:ind w:firstLine="480"/>
      </w:pPr>
      <w:r>
        <w:rPr>
          <w:rFonts w:ascii="仿宋_GB2312" w:hAnsi="仿宋_GB2312" w:cs="仿宋_GB2312" w:eastAsia="仿宋_GB2312"/>
        </w:rPr>
        <w:t>四、评标委员会按照招标文件规定的评标程序、评标方法和标准进行评标，并独立履行下列职责：</w:t>
      </w:r>
    </w:p>
    <w:p>
      <w:pPr>
        <w:pStyle w:val="null3"/>
        <w:ind w:firstLine="480"/>
      </w:pPr>
      <w:r>
        <w:rPr>
          <w:rFonts w:ascii="仿宋_GB2312" w:hAnsi="仿宋_GB2312" w:cs="仿宋_GB2312" w:eastAsia="仿宋_GB2312"/>
        </w:rPr>
        <w:t>（一）熟悉和理解招标文件；</w:t>
      </w:r>
    </w:p>
    <w:p>
      <w:pPr>
        <w:pStyle w:val="null3"/>
        <w:ind w:firstLine="480"/>
      </w:pPr>
      <w:r>
        <w:rPr>
          <w:rFonts w:ascii="仿宋_GB2312" w:hAnsi="仿宋_GB2312" w:cs="仿宋_GB2312" w:eastAsia="仿宋_GB2312"/>
        </w:rPr>
        <w:t>（二）审查供应商投标文件等是否满足招标文件要求，并作出评价；</w:t>
      </w:r>
    </w:p>
    <w:p>
      <w:pPr>
        <w:pStyle w:val="null3"/>
        <w:ind w:firstLine="480"/>
      </w:pPr>
      <w:r>
        <w:rPr>
          <w:rFonts w:ascii="仿宋_GB2312" w:hAnsi="仿宋_GB2312" w:cs="仿宋_GB2312" w:eastAsia="仿宋_GB2312"/>
        </w:rPr>
        <w:t xml:space="preserve"> （三）根据需要要求采购组织单位对招标文件作出解释；根据需要要求供应商对投标文件有关事项作出澄清、说明或者更正；</w:t>
      </w:r>
    </w:p>
    <w:p>
      <w:pPr>
        <w:pStyle w:val="null3"/>
        <w:ind w:firstLine="480"/>
      </w:pPr>
      <w:r>
        <w:rPr>
          <w:rFonts w:ascii="仿宋_GB2312" w:hAnsi="仿宋_GB2312" w:cs="仿宋_GB2312" w:eastAsia="仿宋_GB2312"/>
        </w:rPr>
        <w:t>（四）推荐中标候选供应商，或者受采购人委托确定中标供应商；</w:t>
      </w:r>
    </w:p>
    <w:p>
      <w:pPr>
        <w:pStyle w:val="null3"/>
        <w:ind w:firstLine="480"/>
      </w:pPr>
      <w:r>
        <w:rPr>
          <w:rFonts w:ascii="仿宋_GB2312" w:hAnsi="仿宋_GB2312" w:cs="仿宋_GB2312" w:eastAsia="仿宋_GB2312"/>
        </w:rPr>
        <w:t>（五）起草评标报告并进行签署；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5.3 评标方法</w:t>
      </w:r>
    </w:p>
    <w:p>
      <w:pPr>
        <w:pStyle w:val="null3"/>
      </w:pPr>
      <w:r>
        <w:rPr>
          <w:rFonts w:ascii="仿宋_GB2312" w:hAnsi="仿宋_GB2312" w:cs="仿宋_GB2312" w:eastAsia="仿宋_GB2312"/>
        </w:rPr>
        <w:t>采购包1：综合评分法</w:t>
      </w:r>
    </w:p>
    <w:p>
      <w:pPr>
        <w:pStyle w:val="null3"/>
        <w:outlineLvl w:val="2"/>
      </w:pPr>
      <w:r>
        <w:rPr>
          <w:rFonts w:ascii="仿宋_GB2312" w:hAnsi="仿宋_GB2312" w:cs="仿宋_GB2312" w:eastAsia="仿宋_GB2312"/>
          <w:sz w:val="28"/>
          <w:b/>
        </w:rPr>
        <w:t>5.4评标程序</w:t>
      </w:r>
    </w:p>
    <w:p>
      <w:pPr>
        <w:pStyle w:val="null3"/>
        <w:outlineLvl w:val="3"/>
      </w:pPr>
      <w:r>
        <w:rPr>
          <w:rFonts w:ascii="仿宋_GB2312" w:hAnsi="仿宋_GB2312" w:cs="仿宋_GB2312" w:eastAsia="仿宋_GB2312"/>
          <w:sz w:val="24"/>
          <w:b/>
        </w:rPr>
        <w:t xml:space="preserve"> 5.4.1熟悉和理解招标文件和停止评标</w:t>
      </w:r>
    </w:p>
    <w:p>
      <w:pPr>
        <w:pStyle w:val="null3"/>
        <w:ind w:firstLine="480"/>
      </w:pPr>
      <w:r>
        <w:rPr>
          <w:rFonts w:ascii="仿宋_GB2312" w:hAnsi="仿宋_GB2312" w:cs="仿宋_GB2312" w:eastAsia="仿宋_GB2312"/>
        </w:rPr>
        <w:t xml:space="preserve"> 一、评标委员会正式评审前，应当对招标文件进行熟悉和理解，内容主要包括招标文件中供应商资格资质性要求、采购项目技术、服务和商务要求、评审方法和标准以及可能涉及签订政府采购合同的内容等。</w:t>
      </w:r>
    </w:p>
    <w:p>
      <w:pPr>
        <w:pStyle w:val="null3"/>
        <w:ind w:firstLine="480"/>
      </w:pPr>
      <w:r>
        <w:rPr>
          <w:rFonts w:ascii="仿宋_GB2312" w:hAnsi="仿宋_GB2312" w:cs="仿宋_GB2312" w:eastAsia="仿宋_GB2312"/>
        </w:rPr>
        <w:t>二、本招标文件有下列情形之一的，评标委员会应当停止评标：</w:t>
      </w:r>
    </w:p>
    <w:p>
      <w:pPr>
        <w:pStyle w:val="null3"/>
        <w:ind w:firstLine="480"/>
      </w:pPr>
      <w:r>
        <w:rPr>
          <w:rFonts w:ascii="仿宋_GB2312" w:hAnsi="仿宋_GB2312" w:cs="仿宋_GB2312" w:eastAsia="仿宋_GB2312"/>
        </w:rPr>
        <w:t>（一）招标文件的规定存在歧义、重大缺陷的；</w:t>
      </w:r>
    </w:p>
    <w:p>
      <w:pPr>
        <w:pStyle w:val="null3"/>
        <w:ind w:firstLine="480"/>
      </w:pPr>
      <w:r>
        <w:rPr>
          <w:rFonts w:ascii="仿宋_GB2312" w:hAnsi="仿宋_GB2312" w:cs="仿宋_GB2312" w:eastAsia="仿宋_GB2312"/>
        </w:rPr>
        <w:t>（二）招标文件明显以不合理条件对供应商实行差别待遇或者歧视待遇的；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（三）采购项目属于国家规定的优先、强制采购范围，但是招标文件未依法体现优先、强制采购相关规定的；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（四）采购项目属于政府采购促进中小企业发展的范围，但是招标文件未依法体现促进中小企业发展相关规定的；</w:t>
      </w:r>
    </w:p>
    <w:p>
      <w:pPr>
        <w:pStyle w:val="null3"/>
        <w:ind w:firstLine="480"/>
      </w:pPr>
      <w:r>
        <w:rPr>
          <w:rFonts w:ascii="仿宋_GB2312" w:hAnsi="仿宋_GB2312" w:cs="仿宋_GB2312" w:eastAsia="仿宋_GB2312"/>
        </w:rPr>
        <w:t xml:space="preserve"> （五）招标文件规定的评标方法是综合评分法、最低评标价法之外的评标方法，或者虽然名称为综合评分法、最低评标价法，但实际上不符合国家规定；</w:t>
      </w:r>
    </w:p>
    <w:p>
      <w:pPr>
        <w:pStyle w:val="null3"/>
        <w:ind w:firstLine="480"/>
      </w:pPr>
      <w:r>
        <w:rPr>
          <w:rFonts w:ascii="仿宋_GB2312" w:hAnsi="仿宋_GB2312" w:cs="仿宋_GB2312" w:eastAsia="仿宋_GB2312"/>
        </w:rPr>
        <w:t>（六）招标文件将投标人的资格条件列为评分因素的；</w:t>
      </w:r>
    </w:p>
    <w:p>
      <w:pPr>
        <w:pStyle w:val="null3"/>
        <w:ind w:firstLine="480"/>
      </w:pPr>
      <w:r>
        <w:rPr>
          <w:rFonts w:ascii="仿宋_GB2312" w:hAnsi="仿宋_GB2312" w:cs="仿宋_GB2312" w:eastAsia="仿宋_GB2312"/>
        </w:rPr>
        <w:t>（七）招标文件有违反国家其他有关强制性规定的情形。</w:t>
      </w:r>
    </w:p>
    <w:p>
      <w:pPr>
        <w:pStyle w:val="null3"/>
        <w:ind w:firstLine="480"/>
      </w:pPr>
      <w:r>
        <w:rPr>
          <w:rFonts w:ascii="仿宋_GB2312" w:hAnsi="仿宋_GB2312" w:cs="仿宋_GB2312" w:eastAsia="仿宋_GB2312"/>
        </w:rPr>
        <w:t xml:space="preserve"> 出现上述应当停止评标情形的，评标委员会应当通过项目电子化交易系统向采购组织单位提交相关说明材料，说明停止评审的情形和具体理由。除上述情形外，评标委员会不得以任何方式和理由停止评标。</w:t>
      </w:r>
    </w:p>
    <w:p>
      <w:pPr>
        <w:pStyle w:val="null3"/>
        <w:ind w:firstLine="480"/>
        <w:jc w:val="left"/>
      </w:pPr>
      <w:r>
        <w:rPr>
          <w:rFonts w:ascii="仿宋_GB2312" w:hAnsi="仿宋_GB2312" w:cs="仿宋_GB2312" w:eastAsia="仿宋_GB2312"/>
        </w:rPr>
        <w:br/>
        <w:t xml:space="preserve"> 出现上述应当停止评标情形的，采购组织单位应当通过项目电子化交易系统书面告知参加采购活动的供应商，并说明具体原因，同时在陕西省政府采购网公告。采购组织单位认为评标委员会不应当停止评标的，可以书面报告采购项目同级财政部门依法处理，并提供相关证明材料。</w:t>
      </w:r>
    </w:p>
    <w:p>
      <w:pPr>
        <w:pStyle w:val="null3"/>
        <w:outlineLvl w:val="3"/>
      </w:pPr>
      <w:r>
        <w:rPr>
          <w:rFonts w:ascii="仿宋_GB2312" w:hAnsi="仿宋_GB2312" w:cs="仿宋_GB2312" w:eastAsia="仿宋_GB2312"/>
          <w:sz w:val="24"/>
          <w:b/>
        </w:rPr>
        <w:t>5.4.2符合性审查</w:t>
      </w:r>
    </w:p>
    <w:p>
      <w:pPr>
        <w:pStyle w:val="null3"/>
        <w:ind w:firstLine="480"/>
      </w:pPr>
      <w:r>
        <w:rPr>
          <w:rFonts w:ascii="仿宋_GB2312" w:hAnsi="仿宋_GB2312" w:cs="仿宋_GB2312" w:eastAsia="仿宋_GB2312"/>
        </w:rPr>
        <w:t xml:space="preserve"> 评标委员会依据本招标文件的实质性要求，对符合资格的投标文件进行审查，以确定其是否满足本招标文件的实质性要求。本项目符合性审查事项，必须以本招标文件的明确规定的实质性要求作为依据。</w:t>
      </w:r>
    </w:p>
    <w:p>
      <w:pPr>
        <w:pStyle w:val="null3"/>
        <w:ind w:firstLine="480"/>
      </w:pPr>
      <w:r>
        <w:rPr>
          <w:rFonts w:ascii="仿宋_GB2312" w:hAnsi="仿宋_GB2312" w:cs="仿宋_GB2312" w:eastAsia="仿宋_GB2312"/>
        </w:rPr>
        <w:t xml:space="preserve"> 在符合性审查过程中，如果出现评标委员会成员意见不一致的情况，按照少数服从多数的原则确定，但不得违背政府采购基本原则和招标文件规定。</w:t>
      </w:r>
    </w:p>
    <w:p>
      <w:pPr>
        <w:pStyle w:val="null3"/>
        <w:ind w:firstLine="480"/>
      </w:pPr>
      <w:r>
        <w:rPr>
          <w:rFonts w:ascii="仿宋_GB2312" w:hAnsi="仿宋_GB2312" w:cs="仿宋_GB2312" w:eastAsia="仿宋_GB2312"/>
        </w:rPr>
        <w:t>符合性审查标准见下表（按以下顺序审查）：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w:t>
            </w:r>
          </w:p>
        </w:tc>
        <w:tc>
          <w:tcPr>
            <w:tcW w:type="dxa" w:w="1661"/>
          </w:tcPr>
          <w:p>
            <w:pPr>
              <w:pStyle w:val="null3"/>
            </w:pPr>
            <w:r>
              <w:rPr>
                <w:rFonts w:ascii="仿宋_GB2312" w:hAnsi="仿宋_GB2312" w:cs="仿宋_GB2312" w:eastAsia="仿宋_GB2312"/>
              </w:rPr>
              <w:t>开标一览表 中小企业声明函 商务应答表 投标人应提交的相关资格证明材料 产品技术参数表 投标函 供应商认为有必要补充说明的事项.docx 残疾人福利性单位声明函 标的清单 供应商资格证明文件.docx 投标文件封面 服务方案.docx 监狱企业的证明文件</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投标人名称</w:t>
            </w:r>
          </w:p>
        </w:tc>
        <w:tc>
          <w:tcPr>
            <w:tcW w:type="dxa" w:w="3322"/>
          </w:tcPr>
          <w:p>
            <w:pPr>
              <w:pStyle w:val="null3"/>
            </w:pPr>
            <w:r>
              <w:rPr>
                <w:rFonts w:ascii="仿宋_GB2312" w:hAnsi="仿宋_GB2312" w:cs="仿宋_GB2312" w:eastAsia="仿宋_GB2312"/>
              </w:rPr>
              <w:t>投标人名称与营业执照、资质证书一致</w:t>
            </w:r>
          </w:p>
        </w:tc>
        <w:tc>
          <w:tcPr>
            <w:tcW w:type="dxa" w:w="1661"/>
          </w:tcPr>
          <w:p>
            <w:pPr>
              <w:pStyle w:val="null3"/>
            </w:pPr>
            <w:r>
              <w:rPr>
                <w:rFonts w:ascii="仿宋_GB2312" w:hAnsi="仿宋_GB2312" w:cs="仿宋_GB2312" w:eastAsia="仿宋_GB2312"/>
              </w:rPr>
              <w:t>产品技术参数表 投标函 供应商认为有必要补充说明的事项.docx 中小企业声明函 残疾人福利性单位声明函 商务应答表 标的清单 供应商资格证明文件.docx 投标文件封面 服务方案.docx 监狱企业的证明文件 投标人应提交的相关资格证明材料</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投标文件的签署、盖章</w:t>
            </w:r>
          </w:p>
        </w:tc>
        <w:tc>
          <w:tcPr>
            <w:tcW w:type="dxa" w:w="3322"/>
          </w:tcPr>
          <w:p>
            <w:pPr>
              <w:pStyle w:val="null3"/>
            </w:pPr>
            <w:r>
              <w:rPr>
                <w:rFonts w:ascii="仿宋_GB2312" w:hAnsi="仿宋_GB2312" w:cs="仿宋_GB2312" w:eastAsia="仿宋_GB2312"/>
              </w:rPr>
              <w:t>投标文件按招标文件要求签署、盖章</w:t>
            </w:r>
          </w:p>
        </w:tc>
        <w:tc>
          <w:tcPr>
            <w:tcW w:type="dxa" w:w="1661"/>
          </w:tcPr>
          <w:p>
            <w:pPr>
              <w:pStyle w:val="null3"/>
            </w:pPr>
            <w:r>
              <w:rPr>
                <w:rFonts w:ascii="仿宋_GB2312" w:hAnsi="仿宋_GB2312" w:cs="仿宋_GB2312" w:eastAsia="仿宋_GB2312"/>
              </w:rPr>
              <w:t>产品技术参数表 投标函 供应商认为有必要补充说明的事项.docx 中小企业声明函 残疾人福利性单位声明函 商务应答表 标的清单 供应商资格证明文件.docx 投标文件封面 服务方案.docx 监狱企业的证明文件 投标人应提交的相关资格证明材料</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投标有效期达到招标文件要求</w:t>
            </w:r>
          </w:p>
        </w:tc>
        <w:tc>
          <w:tcPr>
            <w:tcW w:type="dxa" w:w="1661"/>
          </w:tcPr>
          <w:p>
            <w:pPr>
              <w:pStyle w:val="null3"/>
            </w:pPr>
            <w:r>
              <w:rPr>
                <w:rFonts w:ascii="仿宋_GB2312" w:hAnsi="仿宋_GB2312" w:cs="仿宋_GB2312" w:eastAsia="仿宋_GB2312"/>
              </w:rPr>
              <w:t>产品技术参数表 投标函 供应商认为有必要补充说明的事项.docx 中小企业声明函 残疾人福利性单位声明函 商务应答表 标的清单 供应商资格证明文件.docx 投标文件封面 服务方案.docx 监狱企业的证明文件 投标人应提交的相关资格证明材料</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保证金交纳</w:t>
            </w:r>
          </w:p>
        </w:tc>
        <w:tc>
          <w:tcPr>
            <w:tcW w:type="dxa" w:w="3322"/>
          </w:tcPr>
          <w:p>
            <w:pPr>
              <w:pStyle w:val="null3"/>
            </w:pPr>
            <w:r>
              <w:rPr>
                <w:rFonts w:ascii="仿宋_GB2312" w:hAnsi="仿宋_GB2312" w:cs="仿宋_GB2312" w:eastAsia="仿宋_GB2312"/>
              </w:rPr>
              <w:t>保证金交纳符合招标文件要求</w:t>
            </w:r>
          </w:p>
        </w:tc>
        <w:tc>
          <w:tcPr>
            <w:tcW w:type="dxa" w:w="1661"/>
          </w:tcPr>
          <w:p>
            <w:pPr>
              <w:pStyle w:val="null3"/>
            </w:pPr>
            <w:r>
              <w:rPr>
                <w:rFonts w:ascii="仿宋_GB2312" w:hAnsi="仿宋_GB2312" w:cs="仿宋_GB2312" w:eastAsia="仿宋_GB2312"/>
              </w:rPr>
              <w:t>产品技术参数表 投标函 供应商认为有必要补充说明的事项.docx 中小企业声明函 残疾人福利性单位声明函 商务应答表 标的清单 供应商资格证明文件.docx 投标文件封面 服务方案.docx 监狱企业的证明文件 投标人应提交的相关资格证明材料</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其他实质性要求</w:t>
            </w:r>
          </w:p>
        </w:tc>
        <w:tc>
          <w:tcPr>
            <w:tcW w:type="dxa" w:w="3322"/>
          </w:tcPr>
          <w:p>
            <w:pPr>
              <w:pStyle w:val="null3"/>
            </w:pPr>
            <w:r>
              <w:rPr>
                <w:rFonts w:ascii="仿宋_GB2312" w:hAnsi="仿宋_GB2312" w:cs="仿宋_GB2312" w:eastAsia="仿宋_GB2312"/>
              </w:rPr>
              <w:t>符合法律、法规和招标文件中规定的其他实质性要求</w:t>
            </w:r>
          </w:p>
        </w:tc>
        <w:tc>
          <w:tcPr>
            <w:tcW w:type="dxa" w:w="1661"/>
          </w:tcPr>
          <w:p>
            <w:pPr>
              <w:pStyle w:val="null3"/>
            </w:pPr>
            <w:r>
              <w:rPr>
                <w:rFonts w:ascii="仿宋_GB2312" w:hAnsi="仿宋_GB2312" w:cs="仿宋_GB2312" w:eastAsia="仿宋_GB2312"/>
              </w:rPr>
              <w:t>产品技术参数表 投标函 供应商认为有必要补充说明的事项.docx 中小企业声明函 残疾人福利性单位声明函 商务应答表 标的清单 供应商资格证明文件.docx 投标文件封面 服务方案.docx 监狱企业的证明文件 投标人应提交的相关资格证明材料</w:t>
            </w:r>
          </w:p>
        </w:tc>
      </w:tr>
    </w:tbl>
    <w:p>
      <w:pPr>
        <w:pStyle w:val="null3"/>
        <w:ind w:firstLine="480"/>
      </w:pPr>
      <w:r>
        <w:rPr>
          <w:rFonts w:ascii="仿宋_GB2312" w:hAnsi="仿宋_GB2312" w:cs="仿宋_GB2312" w:eastAsia="仿宋_GB2312"/>
        </w:rPr>
        <w:t xml:space="preserve"> 以上实质性要求全部响应并满足采购需求的，则通过符合性审查；如有任意一项未响应或不满足采购需求的，则按无效投标文件处理。如果评标委员会认为投标人有任意一项不通过的，应在符合性审查表中载明不通过的具体原因。</w:t>
      </w:r>
    </w:p>
    <w:p>
      <w:pPr>
        <w:pStyle w:val="null3"/>
        <w:outlineLvl w:val="3"/>
      </w:pPr>
      <w:r>
        <w:rPr>
          <w:rFonts w:ascii="仿宋_GB2312" w:hAnsi="仿宋_GB2312" w:cs="仿宋_GB2312" w:eastAsia="仿宋_GB2312"/>
          <w:sz w:val="24"/>
          <w:b/>
        </w:rPr>
        <w:t>5.4.3解释、澄清有关问题</w:t>
      </w:r>
    </w:p>
    <w:p>
      <w:pPr>
        <w:pStyle w:val="null3"/>
        <w:ind w:firstLine="480"/>
      </w:pPr>
      <w:r>
        <w:rPr>
          <w:rFonts w:ascii="仿宋_GB2312" w:hAnsi="仿宋_GB2312" w:cs="仿宋_GB2312" w:eastAsia="仿宋_GB2312"/>
        </w:rPr>
        <w:t xml:space="preserve"> 一、评标过程中，评标委员会认为招标文件有关事项表述不明确或需要说明的，可以提请代理机构书面解释。代理机构的解释不得改变招标文件的原义或者影响公平、公正，解释事项如果涉及投标人权益的以有利于投标人的原则进行解释。</w:t>
      </w:r>
    </w:p>
    <w:p>
      <w:pPr>
        <w:pStyle w:val="null3"/>
        <w:ind w:firstLine="480"/>
      </w:pPr>
      <w:r>
        <w:rPr>
          <w:rFonts w:ascii="仿宋_GB2312" w:hAnsi="仿宋_GB2312" w:cs="仿宋_GB2312" w:eastAsia="仿宋_GB2312"/>
        </w:rPr>
        <w:t xml:space="preserve"> 二、对投标文件中含义不明确、同类问题表述不一致或者有明显文字和计算错误的内容，评标委员会应当要求投标人作出必要的澄清、说明或更正，并给予投标人必要的反馈时间。投标人应当按评标委员会的要求进行澄清、说明或者更正。投标人的澄清、说明或者更正不得超出投标文件的范围或者改变投标文件的实质性内容。澄清、说明或者更正不影响投标文件的效力，有效的澄清、说明或者更正材料是投标文件的组成部分。</w:t>
      </w:r>
    </w:p>
    <w:p>
      <w:pPr>
        <w:pStyle w:val="null3"/>
        <w:ind w:firstLine="480"/>
      </w:pPr>
      <w:r>
        <w:rPr>
          <w:rFonts w:ascii="仿宋_GB2312" w:hAnsi="仿宋_GB2312" w:cs="仿宋_GB2312" w:eastAsia="仿宋_GB2312"/>
        </w:rPr>
        <w:t xml:space="preserve"> 三、投标人的澄清、说明或者更正需进行电子签章，应当不超出投标文件的范围、不实质性改变投标文件的内容、不影响投标人的公平竞争、不导致投标文件从不响应招标文件变为响应招标文件的条件。下列内容不得澄清：</w:t>
      </w:r>
    </w:p>
    <w:p>
      <w:pPr>
        <w:pStyle w:val="null3"/>
        <w:ind w:firstLine="480"/>
      </w:pPr>
      <w:r>
        <w:rPr>
          <w:rFonts w:ascii="仿宋_GB2312" w:hAnsi="仿宋_GB2312" w:cs="仿宋_GB2312" w:eastAsia="仿宋_GB2312"/>
        </w:rPr>
        <w:t>（一）投标人投标文件中不响应招标文件规定的技术参数指标和商务应答；</w:t>
      </w:r>
    </w:p>
    <w:p>
      <w:pPr>
        <w:pStyle w:val="null3"/>
        <w:ind w:firstLine="480"/>
      </w:pPr>
      <w:r>
        <w:rPr>
          <w:rFonts w:ascii="仿宋_GB2312" w:hAnsi="仿宋_GB2312" w:cs="仿宋_GB2312" w:eastAsia="仿宋_GB2312"/>
        </w:rPr>
        <w:t>（二）投标人投标文件中未提供的证明其是否符合招标文件资格、符合性规定要求的相关材料。</w:t>
      </w:r>
    </w:p>
    <w:p>
      <w:pPr>
        <w:pStyle w:val="null3"/>
        <w:ind w:firstLine="480"/>
      </w:pPr>
      <w:r>
        <w:rPr>
          <w:rFonts w:ascii="仿宋_GB2312" w:hAnsi="仿宋_GB2312" w:cs="仿宋_GB2312" w:eastAsia="仿宋_GB2312"/>
        </w:rPr>
        <w:t>（三）投标人投标文件中的材料因印刷、影印等不清晰而难以辨认的。</w:t>
      </w:r>
    </w:p>
    <w:p>
      <w:pPr>
        <w:pStyle w:val="null3"/>
        <w:ind w:firstLine="480"/>
      </w:pPr>
      <w:r>
        <w:rPr>
          <w:rFonts w:ascii="仿宋_GB2312" w:hAnsi="仿宋_GB2312" w:cs="仿宋_GB2312" w:eastAsia="仿宋_GB2312"/>
        </w:rPr>
        <w:t>四、投标文件报价出现下列情况的，按以下原则处理：</w:t>
      </w:r>
    </w:p>
    <w:p>
      <w:pPr>
        <w:pStyle w:val="null3"/>
        <w:ind w:firstLine="480"/>
      </w:pPr>
      <w:r>
        <w:rPr>
          <w:rFonts w:ascii="仿宋_GB2312" w:hAnsi="仿宋_GB2312" w:cs="仿宋_GB2312" w:eastAsia="仿宋_GB2312"/>
        </w:rPr>
        <w:t>（一）投标文件中开标一览表（报价表）内容与投标文件中相应内容不一致的，以开标一览表（报价表）为准；</w:t>
      </w:r>
    </w:p>
    <w:p>
      <w:pPr>
        <w:pStyle w:val="null3"/>
        <w:ind w:firstLine="480"/>
      </w:pPr>
      <w:r>
        <w:rPr>
          <w:rFonts w:ascii="仿宋_GB2312" w:hAnsi="仿宋_GB2312" w:cs="仿宋_GB2312" w:eastAsia="仿宋_GB2312"/>
        </w:rPr>
        <w:t>（二）大写金额和小写金额不一致的，以大写金额为准，但大写金额出现文字错误，导致金额无法判断的除外；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（三）单价金额小数点或者百分比有明显错位的，以开标一览表总价为准，并修改单价；</w:t>
      </w:r>
    </w:p>
    <w:p>
      <w:pPr>
        <w:pStyle w:val="null3"/>
        <w:ind w:firstLine="480"/>
      </w:pPr>
      <w:r>
        <w:rPr>
          <w:rFonts w:ascii="仿宋_GB2312" w:hAnsi="仿宋_GB2312" w:cs="仿宋_GB2312" w:eastAsia="仿宋_GB2312"/>
        </w:rPr>
        <w:t>（四）总价金额与按单价汇总金额不一致的，以单价金额计算结果为准。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同时出现两种以上不一致的，按照前款规定的顺序修正。修正后的报价经投标人确认后产生约束力，投标人不确认的，其投标无效。</w:t>
      </w:r>
    </w:p>
    <w:p>
      <w:pPr>
        <w:pStyle w:val="null3"/>
        <w:ind w:firstLine="480"/>
      </w:pPr>
      <w:r>
        <w:rPr>
          <w:rFonts w:ascii="仿宋_GB2312" w:hAnsi="仿宋_GB2312" w:cs="仿宋_GB2312" w:eastAsia="仿宋_GB2312"/>
        </w:rPr>
        <w:t>五、对不同语言文本投标文件的解释发生异议的，以中文文本为准。</w:t>
      </w:r>
    </w:p>
    <w:p>
      <w:pPr>
        <w:pStyle w:val="null3"/>
        <w:ind w:firstLine="480"/>
      </w:pPr>
      <w:r>
        <w:rPr>
          <w:rFonts w:ascii="仿宋_GB2312" w:hAnsi="仿宋_GB2312" w:cs="仿宋_GB2312" w:eastAsia="仿宋_GB2312"/>
        </w:rPr>
        <w:t xml:space="preserve"> 六、代理机构宣布评标结束前，投标人应通过项目电子化交易系统随时关注评标消息提示，及时响应评标委员会发出的澄清、说明或更正要求。投标人未能及时响应的，自行承担不利后果。</w:t>
      </w:r>
    </w:p>
    <w:p>
      <w:pPr>
        <w:pStyle w:val="null3"/>
        <w:ind w:firstLine="480"/>
      </w:pPr>
      <w:r>
        <w:rPr>
          <w:rFonts w:ascii="仿宋_GB2312" w:hAnsi="仿宋_GB2312" w:cs="仿宋_GB2312" w:eastAsia="仿宋_GB2312"/>
        </w:rPr>
        <w:t>评标委员会应当积极履行澄清、说明或者更正的职责，不得滥用权力。</w:t>
      </w:r>
    </w:p>
    <w:p>
      <w:pPr>
        <w:pStyle w:val="null3"/>
        <w:outlineLvl w:val="3"/>
      </w:pPr>
      <w:r>
        <w:rPr>
          <w:rFonts w:ascii="仿宋_GB2312" w:hAnsi="仿宋_GB2312" w:cs="仿宋_GB2312" w:eastAsia="仿宋_GB2312"/>
          <w:sz w:val="24"/>
          <w:b/>
        </w:rPr>
        <w:t>5.4.4比较与评价</w:t>
      </w:r>
    </w:p>
    <w:p>
      <w:pPr>
        <w:pStyle w:val="null3"/>
        <w:ind w:firstLine="480"/>
      </w:pPr>
      <w:r>
        <w:rPr>
          <w:rFonts w:ascii="仿宋_GB2312" w:hAnsi="仿宋_GB2312" w:cs="仿宋_GB2312" w:eastAsia="仿宋_GB2312"/>
        </w:rPr>
        <w:t xml:space="preserve"> 评标委员会应当按照招标文件规定的评标细则及标准，对符合性检查合格的投标文件进行商务和技术评估，综合比较和评价。</w:t>
      </w:r>
    </w:p>
    <w:p>
      <w:pPr>
        <w:pStyle w:val="null3"/>
        <w:outlineLvl w:val="3"/>
      </w:pPr>
      <w:r>
        <w:rPr>
          <w:rFonts w:ascii="仿宋_GB2312" w:hAnsi="仿宋_GB2312" w:cs="仿宋_GB2312" w:eastAsia="仿宋_GB2312"/>
          <w:sz w:val="24"/>
          <w:b/>
        </w:rPr>
        <w:t xml:space="preserve"> 5.4.5复核</w:t>
      </w:r>
    </w:p>
    <w:p>
      <w:pPr>
        <w:pStyle w:val="null3"/>
        <w:ind w:firstLine="480"/>
      </w:pPr>
      <w:r>
        <w:rPr>
          <w:rFonts w:ascii="仿宋_GB2312" w:hAnsi="仿宋_GB2312" w:cs="仿宋_GB2312" w:eastAsia="仿宋_GB2312"/>
        </w:rPr>
        <w:t xml:space="preserve"> 评分汇总结束后，评标委员会应当进行复核，对拟推荐为中标候选供应商、报价最低、投标文件被认定为无效等进行重点复核。</w:t>
      </w:r>
    </w:p>
    <w:p>
      <w:pPr>
        <w:pStyle w:val="null3"/>
        <w:ind w:firstLine="480"/>
      </w:pPr>
      <w:r>
        <w:rPr>
          <w:rFonts w:ascii="仿宋_GB2312" w:hAnsi="仿宋_GB2312" w:cs="仿宋_GB2312" w:eastAsia="仿宋_GB2312"/>
        </w:rPr>
        <w:t xml:space="preserve"> 评标结果汇总完成后，评标委员会拟出具评标报告前，代理机构应当组织不少于2名工作人员，在采购监督人员的监督之下，依据有关的法律制度和招标文件对评标结果进行复核，出具复核报告。</w:t>
      </w:r>
    </w:p>
    <w:p>
      <w:pPr>
        <w:pStyle w:val="null3"/>
        <w:ind w:firstLine="480"/>
      </w:pPr>
      <w:r>
        <w:rPr>
          <w:rFonts w:ascii="仿宋_GB2312" w:hAnsi="仿宋_GB2312" w:cs="仿宋_GB2312" w:eastAsia="仿宋_GB2312"/>
        </w:rPr>
        <w:t>评标结果汇总完成后，除下列情形外，任何人不得修改评标结果：</w:t>
      </w:r>
    </w:p>
    <w:p>
      <w:pPr>
        <w:pStyle w:val="null3"/>
        <w:ind w:firstLine="480"/>
      </w:pPr>
      <w:r>
        <w:rPr>
          <w:rFonts w:ascii="仿宋_GB2312" w:hAnsi="仿宋_GB2312" w:cs="仿宋_GB2312" w:eastAsia="仿宋_GB2312"/>
        </w:rPr>
        <w:t>（一）分值汇总计算错误的；</w:t>
      </w:r>
    </w:p>
    <w:p>
      <w:pPr>
        <w:pStyle w:val="null3"/>
        <w:ind w:firstLine="480"/>
      </w:pPr>
      <w:r>
        <w:rPr>
          <w:rFonts w:ascii="仿宋_GB2312" w:hAnsi="仿宋_GB2312" w:cs="仿宋_GB2312" w:eastAsia="仿宋_GB2312"/>
        </w:rPr>
        <w:t>（二）分项评分超出评分标准范围的；</w:t>
      </w:r>
    </w:p>
    <w:p>
      <w:pPr>
        <w:pStyle w:val="null3"/>
        <w:ind w:firstLine="480"/>
      </w:pPr>
      <w:r>
        <w:rPr>
          <w:rFonts w:ascii="仿宋_GB2312" w:hAnsi="仿宋_GB2312" w:cs="仿宋_GB2312" w:eastAsia="仿宋_GB2312"/>
        </w:rPr>
        <w:t>（三）评标委员会成员对客观评审因素评分不一致的；</w:t>
      </w:r>
    </w:p>
    <w:p>
      <w:pPr>
        <w:pStyle w:val="null3"/>
        <w:ind w:firstLine="480"/>
      </w:pPr>
      <w:r>
        <w:rPr>
          <w:rFonts w:ascii="仿宋_GB2312" w:hAnsi="仿宋_GB2312" w:cs="仿宋_GB2312" w:eastAsia="仿宋_GB2312"/>
        </w:rPr>
        <w:t>（四）经评标委员会认定评分畸高、畸低的。</w:t>
      </w:r>
    </w:p>
    <w:p>
      <w:pPr>
        <w:pStyle w:val="null3"/>
        <w:ind w:firstLine="480"/>
      </w:pPr>
      <w:r>
        <w:rPr>
          <w:rFonts w:ascii="仿宋_GB2312" w:hAnsi="仿宋_GB2312" w:cs="仿宋_GB2312" w:eastAsia="仿宋_GB2312"/>
        </w:rPr>
        <w:t xml:space="preserve"> 评标报告签署前，经复核发现存在以上情形之一的，评标委员会应当当场修改评标结果，并在评标报告中记载；评标报告签署后，采购人或者代理机构发现存在以上情形之一的，应当组织原评标委员会进行重新评标，重新评标改变评标结果的，书面报告本级财政部门。</w:t>
      </w:r>
    </w:p>
    <w:p>
      <w:pPr>
        <w:pStyle w:val="null3"/>
        <w:outlineLvl w:val="3"/>
      </w:pPr>
      <w:r>
        <w:rPr>
          <w:rFonts w:ascii="仿宋_GB2312" w:hAnsi="仿宋_GB2312" w:cs="仿宋_GB2312" w:eastAsia="仿宋_GB2312"/>
          <w:sz w:val="24"/>
          <w:b/>
        </w:rPr>
        <w:t>5.4.6确定中标候选人名单</w:t>
      </w:r>
    </w:p>
    <w:p>
      <w:pPr>
        <w:pStyle w:val="null3"/>
      </w:pPr>
      <w:r>
        <w:rPr>
          <w:rFonts w:ascii="仿宋_GB2312" w:hAnsi="仿宋_GB2312" w:cs="仿宋_GB2312" w:eastAsia="仿宋_GB2312"/>
        </w:rPr>
        <w:t>采购包1：</w:t>
      </w:r>
      <w:r>
        <w:rPr>
          <w:rFonts w:ascii="仿宋_GB2312" w:hAnsi="仿宋_GB2312" w:cs="仿宋_GB2312" w:eastAsia="仿宋_GB2312"/>
        </w:rPr>
        <w:t>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pPr>
        <w:pStyle w:val="null3"/>
        <w:outlineLvl w:val="3"/>
      </w:pPr>
      <w:r>
        <w:rPr>
          <w:rFonts w:ascii="仿宋_GB2312" w:hAnsi="仿宋_GB2312" w:cs="仿宋_GB2312" w:eastAsia="仿宋_GB2312"/>
          <w:sz w:val="24"/>
          <w:b/>
        </w:rPr>
        <w:t>5.4.7编写评标报告</w:t>
      </w:r>
    </w:p>
    <w:p>
      <w:pPr>
        <w:pStyle w:val="null3"/>
        <w:ind w:firstLine="480"/>
      </w:pPr>
      <w:r>
        <w:rPr>
          <w:rFonts w:ascii="仿宋_GB2312" w:hAnsi="仿宋_GB2312" w:cs="仿宋_GB2312" w:eastAsia="仿宋_GB2312"/>
        </w:rPr>
        <w:t>评标报告是评标委员会根据全体评标成员签字的评标记录和评标结果编写的报告，其主要内容包括：</w:t>
      </w:r>
    </w:p>
    <w:p>
      <w:pPr>
        <w:pStyle w:val="null3"/>
        <w:ind w:firstLine="480"/>
      </w:pPr>
      <w:r>
        <w:rPr>
          <w:rFonts w:ascii="仿宋_GB2312" w:hAnsi="仿宋_GB2312" w:cs="仿宋_GB2312" w:eastAsia="仿宋_GB2312"/>
        </w:rPr>
        <w:t>一、招标公告刊登的媒体名称、开标日期和地点；</w:t>
      </w:r>
    </w:p>
    <w:p>
      <w:pPr>
        <w:pStyle w:val="null3"/>
        <w:ind w:firstLine="480"/>
      </w:pPr>
      <w:r>
        <w:rPr>
          <w:rFonts w:ascii="仿宋_GB2312" w:hAnsi="仿宋_GB2312" w:cs="仿宋_GB2312" w:eastAsia="仿宋_GB2312"/>
        </w:rPr>
        <w:t>二、投标人名单和评标委员会成员名单；</w:t>
      </w:r>
    </w:p>
    <w:p>
      <w:pPr>
        <w:pStyle w:val="null3"/>
        <w:ind w:firstLine="480"/>
      </w:pPr>
      <w:r>
        <w:rPr>
          <w:rFonts w:ascii="仿宋_GB2312" w:hAnsi="仿宋_GB2312" w:cs="仿宋_GB2312" w:eastAsia="仿宋_GB2312"/>
        </w:rPr>
        <w:t>三、评审方法和标准；</w:t>
      </w:r>
    </w:p>
    <w:p>
      <w:pPr>
        <w:pStyle w:val="null3"/>
        <w:ind w:firstLine="480"/>
      </w:pPr>
      <w:r>
        <w:rPr>
          <w:rFonts w:ascii="仿宋_GB2312" w:hAnsi="仿宋_GB2312" w:cs="仿宋_GB2312" w:eastAsia="仿宋_GB2312"/>
        </w:rPr>
        <w:t>四、开标记录和评审情况及说明，包括投标无效供应商名单及原因；</w:t>
      </w:r>
    </w:p>
    <w:p>
      <w:pPr>
        <w:pStyle w:val="null3"/>
        <w:ind w:firstLine="480"/>
      </w:pPr>
      <w:r>
        <w:rPr>
          <w:rFonts w:ascii="仿宋_GB2312" w:hAnsi="仿宋_GB2312" w:cs="仿宋_GB2312" w:eastAsia="仿宋_GB2312"/>
        </w:rPr>
        <w:t>五、评标结果，确定的中标候选人名单或者经采购人委托直接确定的中标人</w:t>
      </w:r>
    </w:p>
    <w:p>
      <w:pPr>
        <w:pStyle w:val="null3"/>
        <w:ind w:firstLine="480"/>
      </w:pPr>
      <w:r>
        <w:rPr>
          <w:rFonts w:ascii="仿宋_GB2312" w:hAnsi="仿宋_GB2312" w:cs="仿宋_GB2312" w:eastAsia="仿宋_GB2312"/>
        </w:rPr>
        <w:t xml:space="preserve"> 六、其他需要说明的情况，包括评标过程中投标人根据评标委员会要求进行的澄清、说明或者补正，评标委员会成员的更换等；</w:t>
      </w:r>
    </w:p>
    <w:p>
      <w:pPr>
        <w:pStyle w:val="null3"/>
        <w:ind w:firstLine="480"/>
      </w:pPr>
      <w:r>
        <w:rPr>
          <w:rFonts w:ascii="仿宋_GB2312" w:hAnsi="仿宋_GB2312" w:cs="仿宋_GB2312" w:eastAsia="仿宋_GB2312"/>
        </w:rPr>
        <w:t>七、报价最高的投标人为中标候选人的，评标委员会应当对其报价的合理性予以特别说明。</w:t>
      </w:r>
    </w:p>
    <w:p>
      <w:pPr>
        <w:pStyle w:val="null3"/>
        <w:ind w:firstLine="480"/>
      </w:pPr>
      <w:r>
        <w:rPr>
          <w:rFonts w:ascii="仿宋_GB2312" w:hAnsi="仿宋_GB2312" w:cs="仿宋_GB2312" w:eastAsia="仿宋_GB2312"/>
        </w:rPr>
        <w:t xml:space="preserve"> 评标委员会成员应当在评标报告中签字或加盖电子签章确认，对评标过程和结果有不同意见的，应当在评标报告中写明并说明理由。签字但未写明不同意见或者未说明理由的，视同无意见。拒不签字或加盖电子签章又未另行说明其不同意见和理由的，视同同意评标结果。</w:t>
      </w:r>
    </w:p>
    <w:p>
      <w:pPr>
        <w:pStyle w:val="null3"/>
        <w:outlineLvl w:val="2"/>
      </w:pPr>
      <w:r>
        <w:rPr>
          <w:rFonts w:ascii="仿宋_GB2312" w:hAnsi="仿宋_GB2312" w:cs="仿宋_GB2312" w:eastAsia="仿宋_GB2312"/>
          <w:sz w:val="28"/>
          <w:b/>
        </w:rPr>
        <w:t>5.5评标争议处理规则</w:t>
      </w:r>
    </w:p>
    <w:p>
      <w:pPr>
        <w:pStyle w:val="null3"/>
        <w:ind w:firstLine="480"/>
      </w:pPr>
      <w:r>
        <w:rPr>
          <w:rFonts w:ascii="仿宋_GB2312" w:hAnsi="仿宋_GB2312" w:cs="仿宋_GB2312" w:eastAsia="仿宋_GB2312"/>
        </w:rPr>
        <w:t xml:space="preserve"> 评标委员会在评标过程中，对于符合性审查、对投标人文件作无效投标处理及其他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5.6评标细则及标准</w:t>
      </w:r>
    </w:p>
    <w:p>
      <w:pPr>
        <w:pStyle w:val="null3"/>
        <w:ind w:firstLine="480"/>
      </w:pPr>
      <w:r>
        <w:rPr>
          <w:rFonts w:ascii="仿宋_GB2312" w:hAnsi="仿宋_GB2312" w:cs="仿宋_GB2312" w:eastAsia="仿宋_GB2312"/>
        </w:rPr>
        <w:t xml:space="preserve"> 一、评标委员会只对通过资格审查的投标文件，根据招标文件的要求采用相同的评标程序、评分办法及标准进行评价和比较。</w:t>
      </w:r>
    </w:p>
    <w:p>
      <w:pPr>
        <w:pStyle w:val="null3"/>
        <w:ind w:firstLine="480"/>
      </w:pPr>
      <w:r>
        <w:rPr>
          <w:rFonts w:ascii="仿宋_GB2312" w:hAnsi="仿宋_GB2312" w:cs="仿宋_GB2312" w:eastAsia="仿宋_GB2312"/>
        </w:rPr>
        <w:t>二、评标委员会成员应依据招标文件规定的评分标准和方法独立评审。</w:t>
      </w:r>
    </w:p>
    <w:p>
      <w:pPr>
        <w:pStyle w:val="null3"/>
        <w:outlineLvl w:val="3"/>
      </w:pPr>
      <w:r>
        <w:rPr>
          <w:rFonts w:ascii="仿宋_GB2312" w:hAnsi="仿宋_GB2312" w:cs="仿宋_GB2312" w:eastAsia="仿宋_GB2312"/>
          <w:sz w:val="24"/>
          <w:b/>
        </w:rPr>
        <w:t>5.6.1评分办法</w:t>
      </w:r>
    </w:p>
    <w:p>
      <w:pPr>
        <w:pStyle w:val="null3"/>
        <w:ind w:firstLine="480"/>
      </w:pPr>
      <w:r>
        <w:rPr>
          <w:rFonts w:ascii="仿宋_GB2312" w:hAnsi="仿宋_GB2312" w:cs="仿宋_GB2312" w:eastAsia="仿宋_GB2312"/>
        </w:rPr>
        <w:t>若采用综合评分法的，由评标委员会各成员对通过资格检查和符合性审查的投标人的投标文件进行独立评审。 投标报价得分=（评标基准价／投标报价）×100</w:t>
      </w:r>
    </w:p>
    <w:p>
      <w:pPr>
        <w:pStyle w:val="null3"/>
        <w:ind w:firstLine="480"/>
      </w:pPr>
      <w:r>
        <w:rPr>
          <w:rFonts w:ascii="仿宋_GB2312" w:hAnsi="仿宋_GB2312" w:cs="仿宋_GB2312" w:eastAsia="仿宋_GB2312"/>
        </w:rPr>
        <w:t>评标总得分＝F1×A1＋F2×A2＋……＋Fn×An</w:t>
      </w:r>
    </w:p>
    <w:p>
      <w:pPr>
        <w:pStyle w:val="null3"/>
        <w:ind w:firstLine="480"/>
      </w:pPr>
      <w:r>
        <w:rPr>
          <w:rFonts w:ascii="仿宋_GB2312" w:hAnsi="仿宋_GB2312" w:cs="仿宋_GB2312" w:eastAsia="仿宋_GB2312"/>
        </w:rPr>
        <w:t>F1、F2……Fn分别为各项评审因素的得分；</w:t>
      </w:r>
    </w:p>
    <w:p>
      <w:pPr>
        <w:pStyle w:val="null3"/>
        <w:ind w:firstLine="480"/>
      </w:pPr>
      <w:r>
        <w:rPr>
          <w:rFonts w:ascii="仿宋_GB2312" w:hAnsi="仿宋_GB2312" w:cs="仿宋_GB2312" w:eastAsia="仿宋_GB2312"/>
        </w:rPr>
        <w:t>A1、A2、……An 分别为各项评审因素所占的权重（A1＋A2＋……＋An＝1）。</w:t>
      </w:r>
    </w:p>
    <w:p>
      <w:pPr>
        <w:pStyle w:val="null3"/>
        <w:ind w:firstLine="480"/>
      </w:pPr>
      <w:r>
        <w:rPr>
          <w:rFonts w:ascii="仿宋_GB2312" w:hAnsi="仿宋_GB2312" w:cs="仿宋_GB2312" w:eastAsia="仿宋_GB2312"/>
        </w:rPr>
        <w:t>评标过程中，不得去掉报价中的最高报价和最低报价。</w:t>
      </w:r>
    </w:p>
    <w:p>
      <w:pPr>
        <w:pStyle w:val="null3"/>
        <w:ind w:firstLine="480"/>
      </w:pPr>
      <w:r>
        <w:rPr>
          <w:rFonts w:ascii="仿宋_GB2312" w:hAnsi="仿宋_GB2312" w:cs="仿宋_GB2312" w:eastAsia="仿宋_GB2312"/>
        </w:rPr>
        <w:t>因落实政府采购政策进行价格调整的，以调整后的价格计算评标基准价和投标报价。</w:t>
      </w:r>
    </w:p>
    <w:p>
      <w:pPr>
        <w:pStyle w:val="null3"/>
        <w:outlineLvl w:val="3"/>
      </w:pPr>
      <w:r>
        <w:rPr>
          <w:rFonts w:ascii="仿宋_GB2312" w:hAnsi="仿宋_GB2312" w:cs="仿宋_GB2312" w:eastAsia="仿宋_GB2312"/>
          <w:sz w:val="24"/>
          <w:b/>
        </w:rPr>
        <w:t>5.6.2评分标准</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详细评审70.00分</w:t>
            </w:r>
          </w:p>
          <w:p>
            <w:pPr>
              <w:pStyle w:val="null3"/>
            </w:pPr>
            <w:r>
              <w:rPr>
                <w:rFonts w:ascii="仿宋_GB2312" w:hAnsi="仿宋_GB2312" w:cs="仿宋_GB2312" w:eastAsia="仿宋_GB2312"/>
              </w:rPr>
              <w:t>报价得分30.00分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节能环保</w:t>
            </w:r>
          </w:p>
        </w:tc>
        <w:tc>
          <w:tcPr>
            <w:tcW w:type="dxa" w:w="2492"/>
          </w:tcPr>
          <w:p>
            <w:pPr>
              <w:pStyle w:val="null3"/>
            </w:pPr>
            <w:r>
              <w:rPr>
                <w:rFonts w:ascii="仿宋_GB2312" w:hAnsi="仿宋_GB2312" w:cs="仿宋_GB2312" w:eastAsia="仿宋_GB2312"/>
              </w:rPr>
              <w:t>投标产品中每有一项为节能产品经国家认证的计0.5分，每有一项为环境标志产品经国家认证的计0.5分，投标人投标产品中每有一项产品同时为节能产品和环境标志产品计1分，最多计2分。（以经国家确定的认证机构出具的、处于有效期内的节能产品、环境标志产品认证证书为准。）</w:t>
            </w:r>
          </w:p>
        </w:tc>
        <w:tc>
          <w:tcPr>
            <w:tcW w:type="dxa" w:w="831"/>
          </w:tcPr>
          <w:p>
            <w:pPr>
              <w:pStyle w:val="null3"/>
              <w:jc w:val="right"/>
            </w:pPr>
            <w:r>
              <w:rPr>
                <w:rFonts w:ascii="仿宋_GB2312" w:hAnsi="仿宋_GB2312" w:cs="仿宋_GB2312" w:eastAsia="仿宋_GB2312"/>
              </w:rPr>
              <w:t>2.0000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供应商认为有必要补充说明的事项.docx</w:t>
            </w:r>
          </w:p>
          <w:p>
            <w:pPr>
              <w:pStyle w:val="null3"/>
            </w:pPr>
            <w:r>
              <w:rPr>
                <w:rFonts w:ascii="仿宋_GB2312" w:hAnsi="仿宋_GB2312" w:cs="仿宋_GB2312" w:eastAsia="仿宋_GB2312"/>
              </w:rPr>
              <w:t>服务方案.docx</w:t>
            </w:r>
          </w:p>
        </w:tc>
      </w:tr>
      <w:tr>
        <w:tc>
          <w:tcPr>
            <w:tcW w:type="dxa" w:w="831"/>
            <w:vMerge/>
          </w:tcPr>
          <w:p/>
        </w:tc>
        <w:tc>
          <w:tcPr>
            <w:tcW w:type="dxa" w:w="1661"/>
          </w:tcPr>
          <w:p>
            <w:pPr>
              <w:pStyle w:val="null3"/>
            </w:pPr>
            <w:r>
              <w:rPr>
                <w:rFonts w:ascii="仿宋_GB2312" w:hAnsi="仿宋_GB2312" w:cs="仿宋_GB2312" w:eastAsia="仿宋_GB2312"/>
              </w:rPr>
              <w:t>技术参数</w:t>
            </w:r>
          </w:p>
        </w:tc>
        <w:tc>
          <w:tcPr>
            <w:tcW w:type="dxa" w:w="2492"/>
          </w:tcPr>
          <w:p>
            <w:pPr>
              <w:pStyle w:val="null3"/>
            </w:pPr>
            <w:r>
              <w:rPr>
                <w:rFonts w:ascii="仿宋_GB2312" w:hAnsi="仿宋_GB2312" w:cs="仿宋_GB2312" w:eastAsia="仿宋_GB2312"/>
              </w:rPr>
              <w:t>投标人所投标的产品完全满足招标文件技术参数要求的25分。每有一项▲项技术参数不满足招标文件要求的扣3分，每有一项非▲项技术参数不满足招标文件要求的扣1分，扣完为止。注：所有技术参数均需提供相应证明材料，包括但不限于：产品技术白皮书、使用说明书、生产厂商公开发布的产品彩页、检测报告等，否则视为负偏离。</w:t>
            </w:r>
          </w:p>
        </w:tc>
        <w:tc>
          <w:tcPr>
            <w:tcW w:type="dxa" w:w="831"/>
          </w:tcPr>
          <w:p>
            <w:pPr>
              <w:pStyle w:val="null3"/>
              <w:jc w:val="right"/>
            </w:pPr>
            <w:r>
              <w:rPr>
                <w:rFonts w:ascii="仿宋_GB2312" w:hAnsi="仿宋_GB2312" w:cs="仿宋_GB2312" w:eastAsia="仿宋_GB2312"/>
              </w:rPr>
              <w:t>25.0000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产品技术参数表</w:t>
            </w:r>
          </w:p>
          <w:p>
            <w:pPr>
              <w:pStyle w:val="null3"/>
            </w:pPr>
            <w:r>
              <w:rPr>
                <w:rFonts w:ascii="仿宋_GB2312" w:hAnsi="仿宋_GB2312" w:cs="仿宋_GB2312" w:eastAsia="仿宋_GB2312"/>
              </w:rPr>
              <w:t>商务应答表</w:t>
            </w:r>
          </w:p>
          <w:p>
            <w:pPr>
              <w:pStyle w:val="null3"/>
            </w:pPr>
            <w:r>
              <w:rPr>
                <w:rFonts w:ascii="仿宋_GB2312" w:hAnsi="仿宋_GB2312" w:cs="仿宋_GB2312" w:eastAsia="仿宋_GB2312"/>
              </w:rPr>
              <w:t>供应商认为有必要补充说明的事项.docx</w:t>
            </w:r>
          </w:p>
          <w:p>
            <w:pPr>
              <w:pStyle w:val="null3"/>
            </w:pPr>
            <w:r>
              <w:rPr>
                <w:rFonts w:ascii="仿宋_GB2312" w:hAnsi="仿宋_GB2312" w:cs="仿宋_GB2312" w:eastAsia="仿宋_GB2312"/>
              </w:rPr>
              <w:t>服务方案.docx</w:t>
            </w:r>
          </w:p>
        </w:tc>
      </w:tr>
      <w:tr>
        <w:tc>
          <w:tcPr>
            <w:tcW w:type="dxa" w:w="831"/>
            <w:vMerge/>
          </w:tcPr>
          <w:p/>
        </w:tc>
        <w:tc>
          <w:tcPr>
            <w:tcW w:type="dxa" w:w="1661"/>
          </w:tcPr>
          <w:p>
            <w:pPr>
              <w:pStyle w:val="null3"/>
            </w:pPr>
            <w:r>
              <w:rPr>
                <w:rFonts w:ascii="仿宋_GB2312" w:hAnsi="仿宋_GB2312" w:cs="仿宋_GB2312" w:eastAsia="仿宋_GB2312"/>
              </w:rPr>
              <w:t>产品选型</w:t>
            </w:r>
          </w:p>
        </w:tc>
        <w:tc>
          <w:tcPr>
            <w:tcW w:type="dxa" w:w="2492"/>
          </w:tcPr>
          <w:p>
            <w:pPr>
              <w:pStyle w:val="null3"/>
            </w:pPr>
            <w:r>
              <w:rPr>
                <w:rFonts w:ascii="仿宋_GB2312" w:hAnsi="仿宋_GB2312" w:cs="仿宋_GB2312" w:eastAsia="仿宋_GB2312"/>
              </w:rPr>
              <w:t>投标产品为行业主流产品，方便操作，安全可靠，符合使用需求，整体配置具有合理性、一致性、兼容性，产品品牌、型号、产地明确，备品配件供应有保障。1、内容全面、可行，表述清晰计4分；2、内容较全面、可行，表述较清晰计2分；3、内容不全，表述不够清晰计1分；4、未提供不计分。</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vMerge/>
          </w:tcPr>
          <w:p/>
        </w:tc>
        <w:tc>
          <w:tcPr>
            <w:tcW w:type="dxa" w:w="1661"/>
          </w:tcPr>
          <w:p>
            <w:pPr>
              <w:pStyle w:val="null3"/>
            </w:pPr>
            <w:r>
              <w:rPr>
                <w:rFonts w:ascii="仿宋_GB2312" w:hAnsi="仿宋_GB2312" w:cs="仿宋_GB2312" w:eastAsia="仿宋_GB2312"/>
              </w:rPr>
              <w:t>管理体系</w:t>
            </w:r>
          </w:p>
        </w:tc>
        <w:tc>
          <w:tcPr>
            <w:tcW w:type="dxa" w:w="2492"/>
          </w:tcPr>
          <w:p>
            <w:pPr>
              <w:pStyle w:val="null3"/>
            </w:pPr>
            <w:r>
              <w:rPr>
                <w:rFonts w:ascii="仿宋_GB2312" w:hAnsi="仿宋_GB2312" w:cs="仿宋_GB2312" w:eastAsia="仿宋_GB2312"/>
              </w:rPr>
              <w:t>投标人有完善的管理体系，针对本项目的实施组织机构、人员安排有具体方案，分工合理、责任明确，能确保项目顺利实施。 1、方案内容全面、可行，表述清晰计7分； 2、方案内容较全面、可行，表述较清晰计5分；3、内容不全，表述不够清晰计2分；未提供不计分。</w:t>
            </w:r>
          </w:p>
        </w:tc>
        <w:tc>
          <w:tcPr>
            <w:tcW w:type="dxa" w:w="831"/>
          </w:tcPr>
          <w:p>
            <w:pPr>
              <w:pStyle w:val="null3"/>
              <w:jc w:val="right"/>
            </w:pPr>
            <w:r>
              <w:rPr>
                <w:rFonts w:ascii="仿宋_GB2312" w:hAnsi="仿宋_GB2312" w:cs="仿宋_GB2312" w:eastAsia="仿宋_GB2312"/>
              </w:rPr>
              <w:t>7.0000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vMerge/>
          </w:tcPr>
          <w:p/>
        </w:tc>
        <w:tc>
          <w:tcPr>
            <w:tcW w:type="dxa" w:w="1661"/>
          </w:tcPr>
          <w:p>
            <w:pPr>
              <w:pStyle w:val="null3"/>
            </w:pPr>
            <w:r>
              <w:rPr>
                <w:rFonts w:ascii="仿宋_GB2312" w:hAnsi="仿宋_GB2312" w:cs="仿宋_GB2312" w:eastAsia="仿宋_GB2312"/>
              </w:rPr>
              <w:t>供货安排</w:t>
            </w:r>
          </w:p>
        </w:tc>
        <w:tc>
          <w:tcPr>
            <w:tcW w:type="dxa" w:w="2492"/>
          </w:tcPr>
          <w:p>
            <w:pPr>
              <w:pStyle w:val="null3"/>
            </w:pPr>
            <w:r>
              <w:rPr>
                <w:rFonts w:ascii="仿宋_GB2312" w:hAnsi="仿宋_GB2312" w:cs="仿宋_GB2312" w:eastAsia="仿宋_GB2312"/>
              </w:rPr>
              <w:t>投标人提供针对本项目的实施方案，包括但不限于：①供货组织安排，包括仓储、运输、交付、安装调试等内容；②实施步骤、进度计划和保证措施；③安全控制方案及质量措施；④组织机构人员配置、协调能力等。 方案各项内容全面详细、阐述条理清晰、技术先进、功能配置合理，能有效保障本项目实施得8分，每有一项缺项扣2分，每有一项内容存在缺陷，扣1分。 备注：缺陷是指内容不合理、虽有内容但不完善、内容表述前后不一致、套用其他项目方案或与项目需求不匹配及其他不利于项目实施的等任意一种情形。</w:t>
            </w:r>
          </w:p>
        </w:tc>
        <w:tc>
          <w:tcPr>
            <w:tcW w:type="dxa" w:w="831"/>
          </w:tcPr>
          <w:p>
            <w:pPr>
              <w:pStyle w:val="null3"/>
              <w:jc w:val="right"/>
            </w:pPr>
            <w:r>
              <w:rPr>
                <w:rFonts w:ascii="仿宋_GB2312" w:hAnsi="仿宋_GB2312" w:cs="仿宋_GB2312" w:eastAsia="仿宋_GB2312"/>
              </w:rPr>
              <w:t>8.0000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vMerge/>
          </w:tcPr>
          <w:p/>
        </w:tc>
        <w:tc>
          <w:tcPr>
            <w:tcW w:type="dxa" w:w="1661"/>
          </w:tcPr>
          <w:p>
            <w:pPr>
              <w:pStyle w:val="null3"/>
            </w:pPr>
            <w:r>
              <w:rPr>
                <w:rFonts w:ascii="仿宋_GB2312" w:hAnsi="仿宋_GB2312" w:cs="仿宋_GB2312" w:eastAsia="仿宋_GB2312"/>
              </w:rPr>
              <w:t>货源渠道</w:t>
            </w:r>
          </w:p>
        </w:tc>
        <w:tc>
          <w:tcPr>
            <w:tcW w:type="dxa" w:w="2492"/>
          </w:tcPr>
          <w:p>
            <w:pPr>
              <w:pStyle w:val="null3"/>
            </w:pPr>
            <w:r>
              <w:rPr>
                <w:rFonts w:ascii="仿宋_GB2312" w:hAnsi="仿宋_GB2312" w:cs="仿宋_GB2312" w:eastAsia="仿宋_GB2312"/>
              </w:rPr>
              <w:t>产品进货渠道正规，确保生产供应的产品无假货、水货、翻新货且无产权纠纷，提供所投产品的合法来源渠道证明文件，计2分，未提供或提供不全不计分。</w:t>
            </w:r>
          </w:p>
        </w:tc>
        <w:tc>
          <w:tcPr>
            <w:tcW w:type="dxa" w:w="831"/>
          </w:tcPr>
          <w:p>
            <w:pPr>
              <w:pStyle w:val="null3"/>
              <w:jc w:val="right"/>
            </w:pPr>
            <w:r>
              <w:rPr>
                <w:rFonts w:ascii="仿宋_GB2312" w:hAnsi="仿宋_GB2312" w:cs="仿宋_GB2312" w:eastAsia="仿宋_GB2312"/>
              </w:rPr>
              <w:t>2.0000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vMerge/>
          </w:tcPr>
          <w:p/>
        </w:tc>
        <w:tc>
          <w:tcPr>
            <w:tcW w:type="dxa" w:w="1661"/>
          </w:tcPr>
          <w:p>
            <w:pPr>
              <w:pStyle w:val="null3"/>
            </w:pPr>
            <w:r>
              <w:rPr>
                <w:rFonts w:ascii="仿宋_GB2312" w:hAnsi="仿宋_GB2312" w:cs="仿宋_GB2312" w:eastAsia="仿宋_GB2312"/>
              </w:rPr>
              <w:t>质量保证</w:t>
            </w:r>
          </w:p>
        </w:tc>
        <w:tc>
          <w:tcPr>
            <w:tcW w:type="dxa" w:w="2492"/>
          </w:tcPr>
          <w:p>
            <w:pPr>
              <w:pStyle w:val="null3"/>
            </w:pPr>
            <w:r>
              <w:rPr>
                <w:rFonts w:ascii="仿宋_GB2312" w:hAnsi="仿宋_GB2312" w:cs="仿宋_GB2312" w:eastAsia="仿宋_GB2312"/>
              </w:rPr>
              <w:t>所投产品技术工艺先进，性能稳定，具有较好的使用效果，质量保证完善，符合国际、国内相关标准或行业标准，能够提供质量保证承诺。 1、质量保证内容全面、可行，表述清晰计5分； 2、质量保证内容较全面、可行，表述较清晰计3分； 3、质量保证内容不全，表述不够清晰计1分； 4、未提供不计分。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提供所投产品2022年6月1日至投标文件递交截止时间前（以合同签订时间为准）的业绩，每提供1份得1分，最高得5分； 业绩证明（以完整的合同为准，须在投标文件中附合同的复印件加盖单位公章）弄虚作假者，取消其中标资格。</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vMerge/>
          </w:tcPr>
          <w:p/>
        </w:tc>
        <w:tc>
          <w:tcPr>
            <w:tcW w:type="dxa" w:w="1661"/>
          </w:tcPr>
          <w:p>
            <w:pPr>
              <w:pStyle w:val="null3"/>
            </w:pPr>
            <w:r>
              <w:rPr>
                <w:rFonts w:ascii="仿宋_GB2312" w:hAnsi="仿宋_GB2312" w:cs="仿宋_GB2312" w:eastAsia="仿宋_GB2312"/>
              </w:rPr>
              <w:t>售后服务</w:t>
            </w:r>
          </w:p>
        </w:tc>
        <w:tc>
          <w:tcPr>
            <w:tcW w:type="dxa" w:w="2492"/>
          </w:tcPr>
          <w:p>
            <w:pPr>
              <w:pStyle w:val="null3"/>
            </w:pPr>
            <w:r>
              <w:rPr>
                <w:rFonts w:ascii="仿宋_GB2312" w:hAnsi="仿宋_GB2312" w:cs="仿宋_GB2312" w:eastAsia="仿宋_GB2312"/>
              </w:rPr>
              <w:t>投标人在项目实施地有售后服务能力，对备品配件、设备发生故障后的补救措施，维修服务响应时限等售后服务，有明确的承诺且具体、切实可行。1、内容全面、可行，表述清晰计7分；2、内容较全面、可行，表述较清晰计5分；3、内容不全，表述不够清晰计2分；4、未提供不计分。</w:t>
            </w:r>
          </w:p>
        </w:tc>
        <w:tc>
          <w:tcPr>
            <w:tcW w:type="dxa" w:w="831"/>
          </w:tcPr>
          <w:p>
            <w:pPr>
              <w:pStyle w:val="null3"/>
              <w:jc w:val="right"/>
            </w:pPr>
            <w:r>
              <w:rPr>
                <w:rFonts w:ascii="仿宋_GB2312" w:hAnsi="仿宋_GB2312" w:cs="仿宋_GB2312" w:eastAsia="仿宋_GB2312"/>
              </w:rPr>
              <w:t>7.0000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vMerge/>
          </w:tcPr>
          <w:p/>
        </w:tc>
        <w:tc>
          <w:tcPr>
            <w:tcW w:type="dxa" w:w="1661"/>
          </w:tcPr>
          <w:p>
            <w:pPr>
              <w:pStyle w:val="null3"/>
            </w:pPr>
            <w:r>
              <w:rPr>
                <w:rFonts w:ascii="仿宋_GB2312" w:hAnsi="仿宋_GB2312" w:cs="仿宋_GB2312" w:eastAsia="仿宋_GB2312"/>
              </w:rPr>
              <w:t>培训方案</w:t>
            </w:r>
          </w:p>
        </w:tc>
        <w:tc>
          <w:tcPr>
            <w:tcW w:type="dxa" w:w="2492"/>
          </w:tcPr>
          <w:p>
            <w:pPr>
              <w:pStyle w:val="null3"/>
            </w:pPr>
            <w:r>
              <w:rPr>
                <w:rFonts w:ascii="仿宋_GB2312" w:hAnsi="仿宋_GB2312" w:cs="仿宋_GB2312" w:eastAsia="仿宋_GB2312"/>
              </w:rPr>
              <w:t>提供详尽的培训方案及培训计划，并列出培训的具体内容及方式，确保使用人员能够独立熟练操作、维护和正常使用。 1、内容全面、可行，表述清晰计5分； 2、内容较全面、可行，表述较清晰计3分； 3、内容不全，表述不够清晰计1分；4、未提供不计分。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服务方案.docx</w:t>
            </w:r>
          </w:p>
          <w:p>
            <w:pPr>
              <w:pStyle w:val="null3"/>
            </w:pPr>
            <w:r>
              <w:rPr>
                <w:rFonts w:ascii="仿宋_GB2312" w:hAnsi="仿宋_GB2312" w:cs="仿宋_GB2312" w:eastAsia="仿宋_GB2312"/>
              </w:rPr>
              <w:t>供应商认为有必要补充说明的事项.docx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价格分统一采用低价优先法计算，即满足招标文件要求且投标价格最低的投标报价为评标基准价，其价格分为满分。其他投标人的价格分统一按照下列公式计算： 投标报价得分=(评标基准价／投标报价)×价格权值×100 计算分数时四舍五入取小数点后两位。</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开标一览表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（1）根据《关于进一步加大政府采购支持中小企业力度的通知》财库〔2022〕19号的相关规定，对小型和微型企业的价格给予10%的扣除，用扣除后的价格参与评审。 （2）根据《财政部民政部中国残疾人联合会关于促进残疾人就业政府采购政策的通知》（财库〔2017〕141号）的规定，对符合条件的残疾人福利性单位设备的价格给予10%的扣除，用扣除后的价格参与评审。 小型、微型企业和监狱企业级符合财政部、民政部、中国残疾人联合会关于促进残疾人就业政府采购政策的通知，以上政策同时具备的仅对其进行一次10%的价格扣除，不重复扣除。</w:t>
            </w:r>
          </w:p>
        </w:tc>
        <w:tc>
          <w:tcPr>
            <w:tcW w:type="dxa" w:w="1661"/>
          </w:tcPr>
          <w:p>
            <w:pPr>
              <w:pStyle w:val="null3"/>
            </w:pPr>
            <w:r>
              <w:rPr>
                <w:rFonts w:ascii="仿宋_GB2312" w:hAnsi="仿宋_GB2312" w:cs="仿宋_GB2312" w:eastAsia="仿宋_GB2312"/>
              </w:rPr>
              <w:t>中小企业声明函</w:t>
            </w:r>
          </w:p>
          <w:p>
            <w:pPr>
              <w:pStyle w:val="null3"/>
            </w:pPr>
            <w:r>
              <w:rPr>
                <w:rFonts w:ascii="仿宋_GB2312" w:hAnsi="仿宋_GB2312" w:cs="仿宋_GB2312" w:eastAsia="仿宋_GB2312"/>
              </w:rPr>
              <w:t>残疾人福利性单位声明函</w:t>
            </w:r>
          </w:p>
          <w:p>
            <w:pPr>
              <w:pStyle w:val="null3"/>
            </w:pPr>
            <w:r>
              <w:rPr>
                <w:rFonts w:ascii="仿宋_GB2312" w:hAnsi="仿宋_GB2312" w:cs="仿宋_GB2312" w:eastAsia="仿宋_GB2312"/>
              </w:rPr>
              <w:t>监狱企业的证明文件</w:t>
            </w:r>
          </w:p>
          <w:p>
            <w:pPr>
              <w:pStyle w:val="null3"/>
            </w:pPr>
            <w:r>
              <w:rPr>
                <w:rFonts w:ascii="仿宋_GB2312" w:hAnsi="仿宋_GB2312" w:cs="仿宋_GB2312" w:eastAsia="仿宋_GB2312"/>
              </w:rPr>
              <w:t>开标一览表</w:t>
            </w:r>
          </w:p>
          <w:p>
            <w:pPr>
              <w:pStyle w:val="null3"/>
            </w:pPr>
            <w:r>
              <w:rPr>
                <w:rFonts w:ascii="仿宋_GB2312" w:hAnsi="仿宋_GB2312" w:cs="仿宋_GB2312" w:eastAsia="仿宋_GB2312"/>
              </w:rPr>
              <w:t>标的清单</w:t>
            </w:r>
          </w:p>
        </w:tc>
      </w:tr>
    </w:tbl>
    <w:p>
      <w:pPr>
        <w:pStyle w:val="null3"/>
        <w:ind w:firstLine="480"/>
      </w:pPr>
      <w:r>
        <w:rPr>
          <w:rFonts w:ascii="仿宋_GB2312" w:hAnsi="仿宋_GB2312" w:cs="仿宋_GB2312" w:eastAsia="仿宋_GB2312"/>
        </w:rPr>
        <w:t>说明：</w:t>
      </w:r>
    </w:p>
    <w:p>
      <w:pPr>
        <w:pStyle w:val="null3"/>
        <w:ind w:firstLine="480"/>
      </w:pPr>
      <w:r>
        <w:rPr>
          <w:rFonts w:ascii="仿宋_GB2312" w:hAnsi="仿宋_GB2312" w:cs="仿宋_GB2312" w:eastAsia="仿宋_GB2312"/>
        </w:rPr>
        <w:t>1、评分的取值按四舍五入法，保留小数点后两位；</w:t>
      </w:r>
    </w:p>
    <w:p>
      <w:pPr>
        <w:pStyle w:val="null3"/>
        <w:ind w:firstLine="480"/>
      </w:pPr>
      <w:r>
        <w:rPr>
          <w:rFonts w:ascii="仿宋_GB2312" w:hAnsi="仿宋_GB2312" w:cs="仿宋_GB2312" w:eastAsia="仿宋_GB2312"/>
        </w:rPr>
        <w:t>2、评分标准中要求提供复印件的证明材料须清晰可辨。</w:t>
      </w:r>
    </w:p>
    <w:p>
      <w:pPr>
        <w:pStyle w:val="null3"/>
        <w:ind w:firstLine="480"/>
      </w:pPr>
      <w:r>
        <w:rPr>
          <w:rFonts w:ascii="仿宋_GB2312" w:hAnsi="仿宋_GB2312" w:cs="仿宋_GB2312" w:eastAsia="仿宋_GB2312"/>
        </w:rPr>
        <w:t xml:space="preserve"> 若采用最低评标价法的，投标文件满足招标文件全部实质性要求，且投标报价最低的投标人为中标候选人。采用最低评标价法评标时，除了算术修正和落实政府采购政策需进行的价格扣除外，不能对投标人的投标价格进行任何调整。</w:t>
      </w:r>
    </w:p>
    <w:p>
      <w:pPr>
        <w:pStyle w:val="null3"/>
        <w:outlineLvl w:val="2"/>
      </w:pPr>
      <w:r>
        <w:rPr>
          <w:rFonts w:ascii="仿宋_GB2312" w:hAnsi="仿宋_GB2312" w:cs="仿宋_GB2312" w:eastAsia="仿宋_GB2312"/>
          <w:sz w:val="28"/>
          <w:b/>
        </w:rPr>
        <w:t>5.7废标</w:t>
      </w:r>
    </w:p>
    <w:p>
      <w:pPr>
        <w:pStyle w:val="null3"/>
        <w:ind w:firstLine="480"/>
      </w:pPr>
      <w:r>
        <w:rPr>
          <w:rFonts w:ascii="仿宋_GB2312" w:hAnsi="仿宋_GB2312" w:cs="仿宋_GB2312" w:eastAsia="仿宋_GB2312"/>
        </w:rPr>
        <w:t>本次政府采购活动中，出现下列情形之一的，予以废标：</w:t>
      </w:r>
    </w:p>
    <w:p>
      <w:pPr>
        <w:pStyle w:val="null3"/>
        <w:ind w:firstLine="480"/>
      </w:pPr>
      <w:r>
        <w:rPr>
          <w:rFonts w:ascii="仿宋_GB2312" w:hAnsi="仿宋_GB2312" w:cs="仿宋_GB2312" w:eastAsia="仿宋_GB2312"/>
        </w:rPr>
        <w:t>一、符合专业条件的投标人或者对招标文件作实质响应的投标人不足三家的；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三、投标人的报价均超过了采购预算，采购人不能支付的；</w:t>
      </w:r>
    </w:p>
    <w:p>
      <w:pPr>
        <w:pStyle w:val="null3"/>
        <w:ind w:firstLine="480"/>
      </w:pPr>
      <w:r>
        <w:rPr>
          <w:rFonts w:ascii="仿宋_GB2312" w:hAnsi="仿宋_GB2312" w:cs="仿宋_GB2312" w:eastAsia="仿宋_GB2312"/>
        </w:rPr>
        <w:t>四、因重大变故，采购任务取消的；</w:t>
      </w:r>
    </w:p>
    <w:p>
      <w:pPr>
        <w:pStyle w:val="null3"/>
        <w:ind w:firstLine="480"/>
      </w:pPr>
      <w:r>
        <w:rPr>
          <w:rFonts w:ascii="仿宋_GB2312" w:hAnsi="仿宋_GB2312" w:cs="仿宋_GB2312" w:eastAsia="仿宋_GB2312"/>
        </w:rPr>
        <w:t xml:space="preserve"> 废标后，代理机构将在“陕西省政府采购网”上公告。对于评标过程中废标的采购项目，评标委员会应当对招标文件是否存在不合理条款进行论证，并出具书面论证意见。</w:t>
      </w:r>
    </w:p>
    <w:p>
      <w:pPr>
        <w:pStyle w:val="null3"/>
        <w:outlineLvl w:val="2"/>
      </w:pPr>
      <w:r>
        <w:rPr>
          <w:rFonts w:ascii="仿宋_GB2312" w:hAnsi="仿宋_GB2312" w:cs="仿宋_GB2312" w:eastAsia="仿宋_GB2312"/>
          <w:sz w:val="28"/>
          <w:b/>
        </w:rPr>
        <w:t>5.8定标</w:t>
      </w:r>
    </w:p>
    <w:p>
      <w:pPr>
        <w:pStyle w:val="null3"/>
        <w:outlineLvl w:val="3"/>
      </w:pPr>
      <w:r>
        <w:rPr>
          <w:rFonts w:ascii="仿宋_GB2312" w:hAnsi="仿宋_GB2312" w:cs="仿宋_GB2312" w:eastAsia="仿宋_GB2312"/>
          <w:sz w:val="24"/>
          <w:b/>
        </w:rPr>
        <w:t>5.8.1 定标原则</w:t>
      </w:r>
    </w:p>
    <w:p>
      <w:pPr>
        <w:pStyle w:val="null3"/>
      </w:pPr>
      <w:r>
        <w:rPr>
          <w:rFonts w:ascii="仿宋_GB2312" w:hAnsi="仿宋_GB2312" w:cs="仿宋_GB2312" w:eastAsia="仿宋_GB2312"/>
        </w:rPr>
        <w:t>采购人在评标报告确定的中标候选人名单中按顺序确定1名中标人。中标候选人并列的，由采购人采取随机抽取的方式确定中标人。</w:t>
      </w:r>
    </w:p>
    <w:p>
      <w:pPr>
        <w:pStyle w:val="null3"/>
        <w:outlineLvl w:val="3"/>
      </w:pPr>
      <w:r>
        <w:rPr>
          <w:rFonts w:ascii="仿宋_GB2312" w:hAnsi="仿宋_GB2312" w:cs="仿宋_GB2312" w:eastAsia="仿宋_GB2312"/>
          <w:sz w:val="24"/>
          <w:b/>
        </w:rPr>
        <w:t>5.8.2定标程序</w:t>
      </w:r>
    </w:p>
    <w:p>
      <w:pPr>
        <w:pStyle w:val="null3"/>
      </w:pPr>
      <w:r>
        <w:rPr>
          <w:rFonts w:ascii="仿宋_GB2312" w:hAnsi="仿宋_GB2312" w:cs="仿宋_GB2312" w:eastAsia="仿宋_GB2312"/>
        </w:rPr>
        <w:t>一、评标委员会在项目电子化交易系统中编制评标情况，生成评标报告。</w:t>
      </w:r>
    </w:p>
    <w:p>
      <w:pPr>
        <w:pStyle w:val="null3"/>
      </w:pPr>
      <w:r>
        <w:rPr>
          <w:rFonts w:ascii="仿宋_GB2312" w:hAnsi="仿宋_GB2312" w:cs="仿宋_GB2312" w:eastAsia="仿宋_GB2312"/>
        </w:rPr>
        <w:t>二、代理机构在评标结束之日起2个工作日内将评标报告送采购人。</w:t>
      </w:r>
    </w:p>
    <w:p>
      <w:pPr>
        <w:pStyle w:val="null3"/>
      </w:pPr>
      <w:r>
        <w:rPr>
          <w:rFonts w:ascii="仿宋_GB2312" w:hAnsi="仿宋_GB2312" w:cs="仿宋_GB2312" w:eastAsia="仿宋_GB2312"/>
        </w:rPr>
        <w:t>三、采购人在收到评标报告后5个工作日内，按照评标报告中推荐的中标候选人顺序确定中标供应商。逾期未确认的，又不能说明合法理由的，视同按评标报告推荐的顺序确定排名第一的中标候选人为中标供应商。</w:t>
      </w:r>
    </w:p>
    <w:p>
      <w:pPr>
        <w:pStyle w:val="null3"/>
      </w:pPr>
      <w:r>
        <w:rPr>
          <w:rFonts w:ascii="仿宋_GB2312" w:hAnsi="仿宋_GB2312" w:cs="仿宋_GB2312" w:eastAsia="仿宋_GB2312"/>
        </w:rPr>
        <w:t>四、根据确定的中标供应商，代理机构在陕西省政府采购网上发布中标结果公告，通过项目电子化交易系统向中标供应商发出中标通知书。</w:t>
      </w:r>
    </w:p>
    <w:p>
      <w:pPr>
        <w:pStyle w:val="null3"/>
        <w:outlineLvl w:val="2"/>
      </w:pPr>
      <w:r>
        <w:rPr>
          <w:rFonts w:ascii="仿宋_GB2312" w:hAnsi="仿宋_GB2312" w:cs="仿宋_GB2312" w:eastAsia="仿宋_GB2312"/>
          <w:sz w:val="28"/>
          <w:b/>
        </w:rPr>
        <w:t>5.9评审专家在政府采购活动中承担以下义务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5.10评审专家在政府采购活动中应当遵守以下工作纪律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 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（五）在评审过程中和评审结束后，不得记录、复制或带走任何评审资料，除因配合答复处理供应商的询问、质疑和投诉等事项外，不得向外界透露评审内容。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（七）遵守有关廉洁自律规定，不得私下接触供应商， 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投标文件格式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详见附件：投标文件封面</w:t>
      </w:r>
    </w:p>
    <w:p>
      <w:pPr>
        <w:pStyle w:val="null3"/>
        <w:ind w:firstLine="960"/>
      </w:pPr>
      <w:r>
        <w:rPr>
          <w:rFonts w:ascii="仿宋_GB2312" w:hAnsi="仿宋_GB2312" w:cs="仿宋_GB2312" w:eastAsia="仿宋_GB2312"/>
        </w:rPr>
        <w:t>详见附件：投标函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详见附件：投标人应提交的相关资格证明材料</w:t>
      </w:r>
    </w:p>
    <w:p>
      <w:pPr>
        <w:pStyle w:val="null3"/>
        <w:ind w:firstLine="960"/>
      </w:pPr>
      <w:r>
        <w:rPr>
          <w:rFonts w:ascii="仿宋_GB2312" w:hAnsi="仿宋_GB2312" w:cs="仿宋_GB2312" w:eastAsia="仿宋_GB2312"/>
        </w:rPr>
        <w:t>详见附件：产品技术参数表</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详见附件：开标一览表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详见附件：供应商认为有必要补充说明的事项.docx</w:t>
      </w:r>
    </w:p>
    <w:p>
      <w:pPr>
        <w:pStyle w:val="null3"/>
        <w:ind w:firstLine="960"/>
      </w:pPr>
      <w:r>
        <w:rPr>
          <w:rFonts w:ascii="仿宋_GB2312" w:hAnsi="仿宋_GB2312" w:cs="仿宋_GB2312" w:eastAsia="仿宋_GB2312"/>
        </w:rPr>
        <w:t>详见附件：供应商资格证明文件.docx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拟签订合同文本</w:t>
      </w:r>
    </w:p>
    <w:p>
      <w:pPr>
        <w:pStyle w:val="null3"/>
      </w:pPr>
      <w:r>
        <w:rPr>
          <w:rFonts w:ascii="仿宋_GB2312" w:hAnsi="仿宋_GB2312" w:cs="仿宋_GB2312" w:eastAsia="仿宋_GB2312"/>
        </w:rPr>
        <w:t>详见附件：合同范本.docx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