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版本号：KY2025-1-111520251110001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市场监管AI人工智能服务项目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KY2025-1-1115</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市场监管AI人工智能服务项目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KY2025-1-1115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市场监管AI人工智能服务项目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陕西省市场监督管理局市场监管AI人工智能服务项目，1项，具体内容详见采购文件第三章。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采购包1：491,040.00元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执行，不足伍仟按伍仟元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陕西省市场监督管理局市场监管AI人工智能服务项目，1项，具体内容详见采购需求。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491,040.00</w:t>
      </w:r>
    </w:p>
    <w:p>
      <w:pPr>
        <w:pStyle w:val="null3"/>
      </w:pPr>
      <w:r>
        <w:rPr>
          <w:rFonts w:ascii="仿宋_GB2312" w:hAnsi="仿宋_GB2312" w:cs="仿宋_GB2312" w:eastAsia="仿宋_GB2312"/>
        </w:rPr>
        <w:t>采购包最高限价（元）: 491,040.00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陕西省市场监督管理局市场监管AI人工智能服务项目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491,040.00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标的名称：陕西省市场监督管理局市场监管AI人工智能服务项目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pPr>
            <w:r>
              <w:rPr>
                <w:rFonts w:ascii="仿宋_GB2312" w:hAnsi="仿宋_GB2312" w:cs="仿宋_GB2312" w:eastAsia="仿宋_GB2312"/>
                <w:sz w:val="24"/>
                <w:b/>
              </w:rPr>
              <w:t>1.1建设目标</w:t>
            </w:r>
          </w:p>
          <w:p>
            <w:pPr>
              <w:pStyle w:val="null3"/>
              <w:ind w:firstLine="480"/>
              <w:jc w:val="both"/>
            </w:pPr>
            <w:r>
              <w:rPr>
                <w:rFonts w:ascii="仿宋_GB2312" w:hAnsi="仿宋_GB2312" w:cs="仿宋_GB2312" w:eastAsia="仿宋_GB2312"/>
                <w:sz w:val="24"/>
              </w:rPr>
              <w:t>陕西省市场监管领域已基本完成业务数据梳理整合，而</w:t>
            </w:r>
            <w:r>
              <w:rPr>
                <w:rFonts w:ascii="仿宋_GB2312" w:hAnsi="仿宋_GB2312" w:cs="仿宋_GB2312" w:eastAsia="仿宋_GB2312"/>
                <w:sz w:val="24"/>
              </w:rPr>
              <w:t>AI 智能服务场景化是推动数据从 “静态存储” 转向 “动态赋能”、充分释放数据价值的核心路径，通过风险预警服务、智能报告服务、风险地图分析服务、智能填报及统计服务等四大业务场景的实际需求与传统模式痛点深度体现。</w:t>
            </w:r>
          </w:p>
          <w:p>
            <w:pPr>
              <w:pStyle w:val="null3"/>
              <w:ind w:firstLine="480"/>
              <w:jc w:val="both"/>
            </w:pPr>
            <w:r>
              <w:rPr>
                <w:rFonts w:ascii="仿宋_GB2312" w:hAnsi="仿宋_GB2312" w:cs="仿宋_GB2312" w:eastAsia="仿宋_GB2312"/>
                <w:sz w:val="24"/>
              </w:rPr>
              <w:t>以</w:t>
            </w:r>
            <w:r>
              <w:rPr>
                <w:rFonts w:ascii="仿宋_GB2312" w:hAnsi="仿宋_GB2312" w:cs="仿宋_GB2312" w:eastAsia="仿宋_GB2312"/>
                <w:sz w:val="24"/>
              </w:rPr>
              <w:t>“激活数据价值、赋能监管转型” 为核心，构建 “数据融通、场景覆盖、智能高效、全域协同” 的市场监管 AI 智能服务体系，依托已完成梳理整合的市场监管业务数据，通过 AI 技术深度挖掘数据复用价值，实现四大核心业务升级。</w:t>
            </w:r>
          </w:p>
          <w:p>
            <w:pPr>
              <w:pStyle w:val="null3"/>
              <w:jc w:val="left"/>
              <w:outlineLvl w:val="0"/>
            </w:pPr>
            <w:r>
              <w:rPr>
                <w:rFonts w:ascii="仿宋_GB2312" w:hAnsi="仿宋_GB2312" w:cs="仿宋_GB2312" w:eastAsia="仿宋_GB2312"/>
                <w:sz w:val="24"/>
                <w:b/>
              </w:rPr>
              <w:t>1.2建设内容及服务周期</w:t>
            </w:r>
          </w:p>
          <w:p>
            <w:pPr>
              <w:pStyle w:val="null3"/>
              <w:jc w:val="left"/>
              <w:outlineLvl w:val="2"/>
            </w:pPr>
            <w:r>
              <w:rPr>
                <w:rFonts w:ascii="仿宋_GB2312" w:hAnsi="仿宋_GB2312" w:cs="仿宋_GB2312" w:eastAsia="仿宋_GB2312"/>
                <w:sz w:val="24"/>
                <w:b/>
              </w:rPr>
              <w:t>1.2.1建设内容</w:t>
            </w:r>
          </w:p>
          <w:p>
            <w:pPr>
              <w:pStyle w:val="null3"/>
              <w:jc w:val="both"/>
              <w:outlineLvl w:val="3"/>
            </w:pPr>
            <w:r>
              <w:rPr>
                <w:rFonts w:ascii="仿宋_GB2312" w:hAnsi="仿宋_GB2312" w:cs="仿宋_GB2312" w:eastAsia="仿宋_GB2312"/>
                <w:sz w:val="24"/>
                <w:b/>
              </w:rPr>
              <w:t>1.2.1.1风险预警服务</w:t>
            </w:r>
          </w:p>
          <w:p>
            <w:pPr>
              <w:pStyle w:val="null3"/>
              <w:ind w:firstLine="480"/>
              <w:jc w:val="both"/>
            </w:pPr>
            <w:r>
              <w:rPr>
                <w:rFonts w:ascii="仿宋_GB2312" w:hAnsi="仿宋_GB2312" w:cs="仿宋_GB2312" w:eastAsia="仿宋_GB2312"/>
                <w:sz w:val="24"/>
              </w:rPr>
              <w:t>提供覆盖食品、特种设备、市场经营等全领域的</w:t>
            </w:r>
            <w:r>
              <w:rPr>
                <w:rFonts w:ascii="仿宋_GB2312" w:hAnsi="仿宋_GB2312" w:cs="仿宋_GB2312" w:eastAsia="仿宋_GB2312"/>
                <w:sz w:val="24"/>
              </w:rPr>
              <w:t>AI预警模型服务，动态关联多源数据（抽检、舆论社情、设备运行等），实现风险识别准确率大大提升，预警响应时效大大缩短，推动监管从“事后处置”向“事前预防”转变。</w:t>
            </w:r>
          </w:p>
          <w:p>
            <w:pPr>
              <w:pStyle w:val="null3"/>
              <w:jc w:val="both"/>
              <w:outlineLvl w:val="3"/>
            </w:pPr>
            <w:r>
              <w:rPr>
                <w:rFonts w:ascii="仿宋_GB2312" w:hAnsi="仿宋_GB2312" w:cs="仿宋_GB2312" w:eastAsia="仿宋_GB2312"/>
                <w:sz w:val="24"/>
                <w:b/>
              </w:rPr>
              <w:t>1.2.1.2智能报告服务</w:t>
            </w:r>
          </w:p>
          <w:p>
            <w:pPr>
              <w:pStyle w:val="null3"/>
              <w:ind w:firstLine="480"/>
              <w:jc w:val="both"/>
            </w:pPr>
            <w:r>
              <w:rPr>
                <w:rFonts w:ascii="仿宋_GB2312" w:hAnsi="仿宋_GB2312" w:cs="仿宋_GB2312" w:eastAsia="仿宋_GB2312"/>
                <w:sz w:val="24"/>
              </w:rPr>
              <w:t>提供自动化、多维度的</w:t>
            </w:r>
            <w:r>
              <w:rPr>
                <w:rFonts w:ascii="仿宋_GB2312" w:hAnsi="仿宋_GB2312" w:cs="仿宋_GB2312" w:eastAsia="仿宋_GB2312"/>
                <w:sz w:val="24"/>
              </w:rPr>
              <w:t>AI报告服务，支持定期（月报/季报/年报）、专项（如食品安全整治）、定制（省/市/县分级需求）三类报告一键生成，数据归集与报告编制效率急剧提升，为各级监管决策提供精准数据支撑。</w:t>
            </w:r>
          </w:p>
          <w:p>
            <w:pPr>
              <w:pStyle w:val="null3"/>
              <w:jc w:val="both"/>
              <w:outlineLvl w:val="3"/>
            </w:pPr>
            <w:r>
              <w:rPr>
                <w:rFonts w:ascii="仿宋_GB2312" w:hAnsi="仿宋_GB2312" w:cs="仿宋_GB2312" w:eastAsia="仿宋_GB2312"/>
                <w:sz w:val="24"/>
                <w:b/>
              </w:rPr>
              <w:t>1.2.1.3风险地图分析服务</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AI驱动的地理空间可视化分析服务，实现全链条数据实时整合与动态更新，通过热力图、符号标注等形式精准定位高风险区域与品类，助力监管资源靶向调配，区域安全问题处置效率提升。</w:t>
            </w:r>
          </w:p>
          <w:p>
            <w:pPr>
              <w:pStyle w:val="null3"/>
              <w:jc w:val="both"/>
              <w:outlineLvl w:val="3"/>
            </w:pPr>
            <w:r>
              <w:rPr>
                <w:rFonts w:ascii="仿宋_GB2312" w:hAnsi="仿宋_GB2312" w:cs="仿宋_GB2312" w:eastAsia="仿宋_GB2312"/>
                <w:sz w:val="24"/>
                <w:b/>
              </w:rPr>
              <w:t>1.2.1.4智能填报及统计服务</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AI辅助填报与智能统计服务，通过字段批注、模板导入、自动校验降低填报错误率，实现填报数据与智慧云中心实时联动，统计报表生成时效从“天级”压缩至“小时级”，打通数据复用的末端环节。</w:t>
            </w:r>
          </w:p>
          <w:p>
            <w:pPr>
              <w:pStyle w:val="null3"/>
              <w:ind w:firstLine="480"/>
              <w:jc w:val="both"/>
            </w:pPr>
            <w:r>
              <w:rPr>
                <w:rFonts w:ascii="仿宋_GB2312" w:hAnsi="仿宋_GB2312" w:cs="仿宋_GB2312" w:eastAsia="仿宋_GB2312"/>
                <w:sz w:val="24"/>
                <w:b/>
              </w:rPr>
              <w:t>二、详细技术需求</w:t>
            </w:r>
          </w:p>
          <w:p>
            <w:pPr>
              <w:pStyle w:val="null3"/>
              <w:jc w:val="both"/>
              <w:outlineLvl w:val="3"/>
            </w:pPr>
            <w:r>
              <w:rPr>
                <w:rFonts w:ascii="仿宋_GB2312" w:hAnsi="仿宋_GB2312" w:cs="仿宋_GB2312" w:eastAsia="仿宋_GB2312"/>
                <w:sz w:val="24"/>
                <w:b/>
              </w:rPr>
              <w:t>2.1风险预警服务</w:t>
            </w:r>
          </w:p>
          <w:p>
            <w:pPr>
              <w:pStyle w:val="null3"/>
              <w:ind w:firstLine="480"/>
              <w:jc w:val="both"/>
            </w:pPr>
            <w:r>
              <w:rPr>
                <w:rFonts w:ascii="仿宋_GB2312" w:hAnsi="仿宋_GB2312" w:cs="仿宋_GB2312" w:eastAsia="仿宋_GB2312"/>
                <w:sz w:val="24"/>
              </w:rPr>
              <w:t>以</w:t>
            </w:r>
            <w:r>
              <w:rPr>
                <w:rFonts w:ascii="仿宋_GB2312" w:hAnsi="仿宋_GB2312" w:cs="仿宋_GB2312" w:eastAsia="仿宋_GB2312"/>
                <w:sz w:val="24"/>
              </w:rPr>
              <w:t>“提前识别、精准定位、及时预警” 为核心，整合 AI 技术与多源数据，推动监管从 “事后处置” 向 “事前预防” 转变，覆盖四大重点领域并提供配套支撑。</w:t>
            </w:r>
          </w:p>
          <w:p>
            <w:pPr>
              <w:pStyle w:val="null3"/>
              <w:jc w:val="left"/>
              <w:outlineLvl w:val="2"/>
            </w:pPr>
            <w:r>
              <w:rPr>
                <w:rFonts w:ascii="仿宋_GB2312" w:hAnsi="仿宋_GB2312" w:cs="仿宋_GB2312" w:eastAsia="仿宋_GB2312"/>
                <w:sz w:val="24"/>
                <w:b/>
              </w:rPr>
              <w:t>2.1.1食品安全领域预警服务</w:t>
            </w:r>
          </w:p>
          <w:p>
            <w:pPr>
              <w:pStyle w:val="null3"/>
              <w:ind w:firstLine="480"/>
              <w:jc w:val="both"/>
            </w:pPr>
            <w:r>
              <w:rPr>
                <w:rFonts w:ascii="仿宋_GB2312" w:hAnsi="仿宋_GB2312" w:cs="仿宋_GB2312" w:eastAsia="仿宋_GB2312"/>
                <w:sz w:val="24"/>
              </w:rPr>
              <w:t>监测生产、流通、消费全链条风险，结合夏季高温、节假日等特征生成专项预警，通过</w:t>
            </w:r>
            <w:r>
              <w:rPr>
                <w:rFonts w:ascii="仿宋_GB2312" w:hAnsi="仿宋_GB2312" w:cs="仿宋_GB2312" w:eastAsia="仿宋_GB2312"/>
                <w:sz w:val="24"/>
              </w:rPr>
              <w:t>“预警短信 + 秦市监平台 + PDF 报告” 推送风险企业、问题类型及处置建议。</w:t>
            </w:r>
          </w:p>
          <w:p>
            <w:pPr>
              <w:pStyle w:val="null3"/>
              <w:jc w:val="left"/>
              <w:outlineLvl w:val="2"/>
            </w:pPr>
            <w:r>
              <w:rPr>
                <w:rFonts w:ascii="仿宋_GB2312" w:hAnsi="仿宋_GB2312" w:cs="仿宋_GB2312" w:eastAsia="仿宋_GB2312"/>
                <w:sz w:val="24"/>
                <w:b/>
              </w:rPr>
              <w:t>2.1.2特种设备领域预警服务</w:t>
            </w:r>
          </w:p>
          <w:p>
            <w:pPr>
              <w:pStyle w:val="null3"/>
              <w:ind w:firstLine="480"/>
              <w:jc w:val="both"/>
            </w:pPr>
            <w:r>
              <w:rPr>
                <w:rFonts w:ascii="仿宋_GB2312" w:hAnsi="仿宋_GB2312" w:cs="仿宋_GB2312" w:eastAsia="仿宋_GB2312"/>
                <w:sz w:val="24"/>
              </w:rPr>
              <w:t>基于电梯、锅炉等设备的运行数据和检验记录，用时序预测模型预测故障风险；对隐患排查超期、维保记录不全等情况实时预警，关联企业与监管人信息，并生成风险热力图辅助资源调配。</w:t>
            </w:r>
          </w:p>
          <w:p>
            <w:pPr>
              <w:pStyle w:val="null3"/>
              <w:jc w:val="left"/>
              <w:outlineLvl w:val="2"/>
            </w:pPr>
            <w:r>
              <w:rPr>
                <w:rFonts w:ascii="仿宋_GB2312" w:hAnsi="仿宋_GB2312" w:cs="仿宋_GB2312" w:eastAsia="仿宋_GB2312"/>
                <w:sz w:val="24"/>
                <w:b/>
              </w:rPr>
              <w:t>2.1.3市场经营领域预警服务</w:t>
            </w:r>
          </w:p>
          <w:p>
            <w:pPr>
              <w:pStyle w:val="null3"/>
              <w:ind w:firstLine="480"/>
              <w:jc w:val="both"/>
            </w:pPr>
            <w:r>
              <w:rPr>
                <w:rFonts w:ascii="仿宋_GB2312" w:hAnsi="仿宋_GB2312" w:cs="仿宋_GB2312" w:eastAsia="仿宋_GB2312"/>
                <w:sz w:val="24"/>
              </w:rPr>
              <w:t>监测经营主体注册</w:t>
            </w:r>
            <w:r>
              <w:rPr>
                <w:rFonts w:ascii="仿宋_GB2312" w:hAnsi="仿宋_GB2312" w:cs="仿宋_GB2312" w:eastAsia="仿宋_GB2312"/>
                <w:sz w:val="24"/>
              </w:rPr>
              <w:t>/ 注销异常、投诉举报单日激增 50% 以上、区域性违法聚集等情况，挖掘行业性 / 区域性风险，跟踪处置进度形成 “预警 - 处置 - 反馈” 闭环。</w:t>
            </w:r>
          </w:p>
          <w:p>
            <w:pPr>
              <w:pStyle w:val="null3"/>
              <w:jc w:val="left"/>
              <w:outlineLvl w:val="2"/>
            </w:pPr>
            <w:r>
              <w:rPr>
                <w:rFonts w:ascii="仿宋_GB2312" w:hAnsi="仿宋_GB2312" w:cs="仿宋_GB2312" w:eastAsia="仿宋_GB2312"/>
                <w:sz w:val="24"/>
                <w:b/>
              </w:rPr>
              <w:t>2.1.4其他重点领域预警服务</w:t>
            </w:r>
          </w:p>
          <w:p>
            <w:pPr>
              <w:pStyle w:val="null3"/>
              <w:ind w:firstLine="480"/>
              <w:jc w:val="both"/>
            </w:pPr>
            <w:r>
              <w:rPr>
                <w:rFonts w:ascii="仿宋_GB2312" w:hAnsi="仿宋_GB2312" w:cs="仿宋_GB2312" w:eastAsia="仿宋_GB2312"/>
                <w:sz w:val="24"/>
              </w:rPr>
              <w:t>覆盖产品质量、网络交易与广告合规，实时推送预警信息。</w:t>
            </w:r>
          </w:p>
          <w:p>
            <w:pPr>
              <w:pStyle w:val="null3"/>
              <w:jc w:val="both"/>
              <w:outlineLvl w:val="3"/>
            </w:pPr>
            <w:r>
              <w:rPr>
                <w:rFonts w:ascii="仿宋_GB2312" w:hAnsi="仿宋_GB2312" w:cs="仿宋_GB2312" w:eastAsia="仿宋_GB2312"/>
                <w:sz w:val="24"/>
                <w:b/>
              </w:rPr>
              <w:t>2.2智能报告服务</w:t>
            </w:r>
          </w:p>
          <w:p>
            <w:pPr>
              <w:pStyle w:val="null3"/>
              <w:ind w:firstLine="480"/>
              <w:jc w:val="both"/>
            </w:pPr>
            <w:r>
              <w:rPr>
                <w:rFonts w:ascii="仿宋_GB2312" w:hAnsi="仿宋_GB2312" w:cs="仿宋_GB2312" w:eastAsia="仿宋_GB2312"/>
                <w:sz w:val="24"/>
              </w:rPr>
              <w:t>围绕</w:t>
            </w:r>
            <w:r>
              <w:rPr>
                <w:rFonts w:ascii="仿宋_GB2312" w:hAnsi="仿宋_GB2312" w:cs="仿宋_GB2312" w:eastAsia="仿宋_GB2312"/>
                <w:sz w:val="24"/>
              </w:rPr>
              <w:t>“一数一源、一源多用”，减轻基层重复填报负担，为省、市、县三级提供差异化决策支撑，含五大核心模块：</w:t>
            </w:r>
          </w:p>
          <w:p>
            <w:pPr>
              <w:pStyle w:val="null3"/>
              <w:jc w:val="left"/>
              <w:outlineLvl w:val="2"/>
            </w:pPr>
            <w:r>
              <w:rPr>
                <w:rFonts w:ascii="仿宋_GB2312" w:hAnsi="仿宋_GB2312" w:cs="仿宋_GB2312" w:eastAsia="仿宋_GB2312"/>
                <w:sz w:val="24"/>
                <w:b/>
              </w:rPr>
              <w:t>2.2.1总体态势分析服务</w:t>
            </w:r>
          </w:p>
          <w:p>
            <w:pPr>
              <w:pStyle w:val="null3"/>
              <w:ind w:firstLine="480"/>
              <w:jc w:val="both"/>
            </w:pPr>
            <w:r>
              <w:rPr>
                <w:rFonts w:ascii="仿宋_GB2312" w:hAnsi="仿宋_GB2312" w:cs="仿宋_GB2312" w:eastAsia="仿宋_GB2312"/>
                <w:sz w:val="24"/>
              </w:rPr>
              <w:t>覆盖四大领域，整合多源数据实现全维度研判</w:t>
            </w:r>
            <w:r>
              <w:rPr>
                <w:rFonts w:ascii="仿宋_GB2312" w:hAnsi="仿宋_GB2312" w:cs="仿宋_GB2312" w:eastAsia="仿宋_GB2312"/>
                <w:sz w:val="24"/>
              </w:rPr>
              <w:t>—— 经营主体、市场监管、执法办案、产品质量，并输出趋势预测报告。</w:t>
            </w:r>
          </w:p>
          <w:p>
            <w:pPr>
              <w:pStyle w:val="null3"/>
              <w:jc w:val="left"/>
              <w:outlineLvl w:val="2"/>
            </w:pPr>
            <w:r>
              <w:rPr>
                <w:rFonts w:ascii="仿宋_GB2312" w:hAnsi="仿宋_GB2312" w:cs="仿宋_GB2312" w:eastAsia="仿宋_GB2312"/>
                <w:sz w:val="24"/>
                <w:b/>
              </w:rPr>
              <w:t>2.2.2重点领域深度分析服务</w:t>
            </w:r>
          </w:p>
          <w:p>
            <w:pPr>
              <w:pStyle w:val="null3"/>
              <w:ind w:firstLine="480"/>
              <w:jc w:val="both"/>
            </w:pPr>
            <w:r>
              <w:rPr>
                <w:rFonts w:ascii="仿宋_GB2312" w:hAnsi="仿宋_GB2312" w:cs="仿宋_GB2312" w:eastAsia="仿宋_GB2312"/>
                <w:sz w:val="24"/>
              </w:rPr>
              <w:t>聚焦七大领域开展专项研判</w:t>
            </w:r>
            <w:r>
              <w:rPr>
                <w:rFonts w:ascii="仿宋_GB2312" w:hAnsi="仿宋_GB2312" w:cs="仿宋_GB2312" w:eastAsia="仿宋_GB2312"/>
                <w:sz w:val="24"/>
              </w:rPr>
              <w:t>—— 经营主体、食品安全、产品质量、特种设备、信用监管、网络交易、违法行为。</w:t>
            </w:r>
          </w:p>
          <w:p>
            <w:pPr>
              <w:pStyle w:val="null3"/>
              <w:jc w:val="left"/>
              <w:outlineLvl w:val="2"/>
            </w:pPr>
            <w:r>
              <w:rPr>
                <w:rFonts w:ascii="仿宋_GB2312" w:hAnsi="仿宋_GB2312" w:cs="仿宋_GB2312" w:eastAsia="仿宋_GB2312"/>
                <w:sz w:val="24"/>
                <w:b/>
              </w:rPr>
              <w:t>2.2.3区域分析服务</w:t>
            </w:r>
          </w:p>
          <w:p>
            <w:pPr>
              <w:pStyle w:val="null3"/>
              <w:ind w:firstLine="480"/>
              <w:jc w:val="both"/>
            </w:pPr>
            <w:r>
              <w:rPr>
                <w:rFonts w:ascii="仿宋_GB2312" w:hAnsi="仿宋_GB2312" w:cs="仿宋_GB2312" w:eastAsia="仿宋_GB2312"/>
                <w:sz w:val="24"/>
              </w:rPr>
              <w:t>按省、市、重点县区三级提供分层服务</w:t>
            </w:r>
            <w:r>
              <w:rPr>
                <w:rFonts w:ascii="仿宋_GB2312" w:hAnsi="仿宋_GB2312" w:cs="仿宋_GB2312" w:eastAsia="仿宋_GB2312"/>
                <w:sz w:val="24"/>
              </w:rPr>
              <w:t>—— 省级、市级、重点县区。</w:t>
            </w:r>
          </w:p>
          <w:p>
            <w:pPr>
              <w:pStyle w:val="null3"/>
              <w:jc w:val="left"/>
              <w:outlineLvl w:val="2"/>
            </w:pPr>
            <w:r>
              <w:rPr>
                <w:rFonts w:ascii="仿宋_GB2312" w:hAnsi="仿宋_GB2312" w:cs="仿宋_GB2312" w:eastAsia="仿宋_GB2312"/>
                <w:sz w:val="24"/>
                <w:b/>
              </w:rPr>
              <w:t>2.2.4问题及对策建议分析服务</w:t>
            </w:r>
          </w:p>
          <w:p>
            <w:pPr>
              <w:pStyle w:val="null3"/>
              <w:ind w:firstLine="480"/>
              <w:jc w:val="both"/>
            </w:pPr>
            <w:r>
              <w:rPr>
                <w:rFonts w:ascii="仿宋_GB2312" w:hAnsi="仿宋_GB2312" w:cs="仿宋_GB2312" w:eastAsia="仿宋_GB2312"/>
                <w:sz w:val="24"/>
              </w:rPr>
              <w:t>AI 驱动问题挖掘；提供定制化对策。</w:t>
            </w:r>
          </w:p>
          <w:p>
            <w:pPr>
              <w:pStyle w:val="null3"/>
              <w:jc w:val="left"/>
              <w:outlineLvl w:val="2"/>
            </w:pPr>
            <w:r>
              <w:rPr>
                <w:rFonts w:ascii="仿宋_GB2312" w:hAnsi="仿宋_GB2312" w:cs="仿宋_GB2312" w:eastAsia="仿宋_GB2312"/>
                <w:sz w:val="24"/>
                <w:b/>
              </w:rPr>
              <w:t>2.2.5 AI监管分析报告服务</w:t>
            </w:r>
          </w:p>
          <w:p>
            <w:pPr>
              <w:pStyle w:val="null3"/>
              <w:ind w:firstLine="480"/>
              <w:jc w:val="both"/>
            </w:pPr>
            <w:r>
              <w:rPr>
                <w:rFonts w:ascii="仿宋_GB2312" w:hAnsi="仿宋_GB2312" w:cs="仿宋_GB2312" w:eastAsia="仿宋_GB2312"/>
                <w:sz w:val="24"/>
              </w:rPr>
              <w:t>实现多维度数据自动归集与核心指标提取，用数据挖掘算法开展分析并生成折线图、热力图等可视化图表；支持自定义报告模板，通过邮箱</w:t>
            </w:r>
            <w:r>
              <w:rPr>
                <w:rFonts w:ascii="仿宋_GB2312" w:hAnsi="仿宋_GB2312" w:cs="仿宋_GB2312" w:eastAsia="仿宋_GB2312"/>
                <w:sz w:val="24"/>
              </w:rPr>
              <w:t>/ 秦市监平台自动推送报告，搭建时序归档数据库便于历史检索对比。</w:t>
            </w:r>
          </w:p>
          <w:p>
            <w:pPr>
              <w:pStyle w:val="null3"/>
              <w:jc w:val="both"/>
              <w:outlineLvl w:val="3"/>
            </w:pPr>
            <w:r>
              <w:rPr>
                <w:rFonts w:ascii="仿宋_GB2312" w:hAnsi="仿宋_GB2312" w:cs="仿宋_GB2312" w:eastAsia="仿宋_GB2312"/>
                <w:sz w:val="24"/>
                <w:b/>
              </w:rPr>
              <w:t>2.3风险地图分析服务</w:t>
            </w:r>
          </w:p>
          <w:p>
            <w:pPr>
              <w:pStyle w:val="null3"/>
              <w:ind w:firstLine="480"/>
              <w:jc w:val="both"/>
            </w:pPr>
            <w:r>
              <w:rPr>
                <w:rFonts w:ascii="仿宋_GB2312" w:hAnsi="仿宋_GB2312" w:cs="仿宋_GB2312" w:eastAsia="仿宋_GB2312"/>
                <w:sz w:val="21"/>
              </w:rPr>
              <w:t>以地理空间可视化为核心，激活数据的空间价值，助力监管靶向化，含四大核心能力：</w:t>
            </w:r>
          </w:p>
          <w:p>
            <w:pPr>
              <w:pStyle w:val="null3"/>
              <w:jc w:val="left"/>
              <w:outlineLvl w:val="2"/>
            </w:pPr>
            <w:r>
              <w:rPr>
                <w:rFonts w:ascii="仿宋_GB2312" w:hAnsi="仿宋_GB2312" w:cs="仿宋_GB2312" w:eastAsia="仿宋_GB2312"/>
                <w:sz w:val="24"/>
                <w:b/>
              </w:rPr>
              <w:t>2.3.1</w:t>
            </w:r>
            <w:r>
              <w:rPr>
                <w:rFonts w:ascii="仿宋_GB2312" w:hAnsi="仿宋_GB2312" w:cs="仿宋_GB2312" w:eastAsia="仿宋_GB2312"/>
                <w:sz w:val="24"/>
                <w:b/>
              </w:rPr>
              <w:t>全链条精细化数据整合服务</w:t>
            </w:r>
          </w:p>
          <w:p>
            <w:pPr>
              <w:pStyle w:val="null3"/>
              <w:ind w:firstLine="480"/>
              <w:jc w:val="both"/>
            </w:pPr>
            <w:r>
              <w:rPr>
                <w:rFonts w:ascii="仿宋_GB2312" w:hAnsi="仿宋_GB2312" w:cs="仿宋_GB2312" w:eastAsia="仿宋_GB2312"/>
                <w:sz w:val="21"/>
              </w:rPr>
              <w:t>归集全链条信息，形成覆盖全面、分类清晰的统一数据池。</w:t>
            </w:r>
          </w:p>
          <w:p>
            <w:pPr>
              <w:pStyle w:val="null3"/>
              <w:jc w:val="left"/>
              <w:outlineLvl w:val="2"/>
            </w:pPr>
            <w:r>
              <w:rPr>
                <w:rFonts w:ascii="仿宋_GB2312" w:hAnsi="仿宋_GB2312" w:cs="仿宋_GB2312" w:eastAsia="仿宋_GB2312"/>
                <w:sz w:val="24"/>
                <w:b/>
              </w:rPr>
              <w:t>2.3.2</w:t>
            </w:r>
            <w:r>
              <w:rPr>
                <w:rFonts w:ascii="仿宋_GB2312" w:hAnsi="仿宋_GB2312" w:cs="仿宋_GB2312" w:eastAsia="仿宋_GB2312"/>
                <w:sz w:val="24"/>
                <w:b/>
              </w:rPr>
              <w:t>多形式可视化呈现服务</w:t>
            </w:r>
          </w:p>
          <w:p>
            <w:pPr>
              <w:pStyle w:val="null3"/>
              <w:ind w:firstLine="480"/>
              <w:jc w:val="both"/>
            </w:pPr>
            <w:r>
              <w:rPr>
                <w:rFonts w:ascii="仿宋_GB2312" w:hAnsi="仿宋_GB2312" w:cs="仿宋_GB2312" w:eastAsia="仿宋_GB2312"/>
                <w:sz w:val="21"/>
              </w:rPr>
              <w:t>以高精度电子地图为载体，用热力图、分级色彩地图、符号地图、标识点弹窗等多形式，叠加人口密度、消费总量等数据，直观展示风险空间分布。</w:t>
            </w:r>
          </w:p>
          <w:p>
            <w:pPr>
              <w:pStyle w:val="null3"/>
              <w:jc w:val="left"/>
              <w:outlineLvl w:val="2"/>
            </w:pPr>
            <w:r>
              <w:rPr>
                <w:rFonts w:ascii="仿宋_GB2312" w:hAnsi="仿宋_GB2312" w:cs="仿宋_GB2312" w:eastAsia="仿宋_GB2312"/>
                <w:sz w:val="24"/>
                <w:b/>
              </w:rPr>
              <w:t>2.3.3</w:t>
            </w:r>
            <w:r>
              <w:rPr>
                <w:rFonts w:ascii="仿宋_GB2312" w:hAnsi="仿宋_GB2312" w:cs="仿宋_GB2312" w:eastAsia="仿宋_GB2312"/>
                <w:sz w:val="24"/>
                <w:b/>
              </w:rPr>
              <w:t>多维度深层次分析挖掘服务</w:t>
            </w:r>
          </w:p>
          <w:p>
            <w:pPr>
              <w:pStyle w:val="null3"/>
              <w:ind w:firstLine="480"/>
              <w:jc w:val="both"/>
            </w:pPr>
            <w:r>
              <w:rPr>
                <w:rFonts w:ascii="仿宋_GB2312" w:hAnsi="仿宋_GB2312" w:cs="仿宋_GB2312" w:eastAsia="仿宋_GB2312"/>
                <w:sz w:val="21"/>
              </w:rPr>
              <w:t>支持按各类指标筛选数据，对比不同区域</w:t>
            </w:r>
            <w:r>
              <w:rPr>
                <w:rFonts w:ascii="仿宋_GB2312" w:hAnsi="仿宋_GB2312" w:cs="仿宋_GB2312" w:eastAsia="仿宋_GB2312"/>
                <w:sz w:val="21"/>
              </w:rPr>
              <w:t xml:space="preserve">/ </w:t>
            </w:r>
            <w:r>
              <w:rPr>
                <w:rFonts w:ascii="仿宋_GB2312" w:hAnsi="仿宋_GB2312" w:cs="仿宋_GB2312" w:eastAsia="仿宋_GB2312"/>
                <w:sz w:val="21"/>
              </w:rPr>
              <w:t>品类的质量差异，挖掘风险产生的地域诱因。</w:t>
            </w:r>
          </w:p>
          <w:p>
            <w:pPr>
              <w:pStyle w:val="null3"/>
              <w:jc w:val="left"/>
              <w:outlineLvl w:val="2"/>
            </w:pPr>
            <w:r>
              <w:rPr>
                <w:rFonts w:ascii="仿宋_GB2312" w:hAnsi="仿宋_GB2312" w:cs="仿宋_GB2312" w:eastAsia="仿宋_GB2312"/>
                <w:sz w:val="24"/>
                <w:b/>
              </w:rPr>
              <w:t>2.3.4</w:t>
            </w:r>
            <w:r>
              <w:rPr>
                <w:rFonts w:ascii="仿宋_GB2312" w:hAnsi="仿宋_GB2312" w:cs="仿宋_GB2312" w:eastAsia="仿宋_GB2312"/>
                <w:sz w:val="24"/>
                <w:b/>
              </w:rPr>
              <w:t>实时常态化动态跟踪</w:t>
            </w:r>
          </w:p>
          <w:p>
            <w:pPr>
              <w:pStyle w:val="null3"/>
              <w:ind w:firstLine="480"/>
              <w:jc w:val="both"/>
            </w:pPr>
            <w:r>
              <w:rPr>
                <w:rFonts w:ascii="仿宋_GB2312" w:hAnsi="仿宋_GB2312" w:cs="仿宋_GB2312" w:eastAsia="仿宋_GB2312"/>
                <w:sz w:val="21"/>
              </w:rPr>
              <w:t>建立数据直连通道实现数据实时更新，用趋势分析模型跟踪区域风险变化，定期生成动态报告，为专项整治、监管重点调整提供实时依据。</w:t>
            </w:r>
          </w:p>
          <w:p>
            <w:pPr>
              <w:pStyle w:val="null3"/>
              <w:jc w:val="both"/>
              <w:outlineLvl w:val="3"/>
            </w:pPr>
            <w:r>
              <w:rPr>
                <w:rFonts w:ascii="仿宋_GB2312" w:hAnsi="仿宋_GB2312" w:cs="仿宋_GB2312" w:eastAsia="仿宋_GB2312"/>
                <w:sz w:val="24"/>
                <w:b/>
              </w:rPr>
              <w:t>2.4智能填报及统计服务</w:t>
            </w:r>
          </w:p>
          <w:p>
            <w:pPr>
              <w:pStyle w:val="null3"/>
              <w:ind w:firstLine="480"/>
              <w:jc w:val="both"/>
            </w:pPr>
            <w:r>
              <w:rPr>
                <w:rFonts w:ascii="仿宋_GB2312" w:hAnsi="仿宋_GB2312" w:cs="仿宋_GB2312" w:eastAsia="仿宋_GB2312"/>
                <w:sz w:val="21"/>
              </w:rPr>
              <w:t>聚焦</w:t>
            </w:r>
            <w:r>
              <w:rPr>
                <w:rFonts w:ascii="仿宋_GB2312" w:hAnsi="仿宋_GB2312" w:cs="仿宋_GB2312" w:eastAsia="仿宋_GB2312"/>
                <w:sz w:val="21"/>
              </w:rPr>
              <w:t>“提升填报效率与数据质量”，打通数据与监管分析链路。</w:t>
            </w:r>
          </w:p>
          <w:p>
            <w:pPr>
              <w:pStyle w:val="null3"/>
              <w:jc w:val="left"/>
              <w:outlineLvl w:val="2"/>
            </w:pPr>
            <w:r>
              <w:rPr>
                <w:rFonts w:ascii="仿宋_GB2312" w:hAnsi="仿宋_GB2312" w:cs="仿宋_GB2312" w:eastAsia="仿宋_GB2312"/>
                <w:sz w:val="27"/>
                <w:b/>
              </w:rPr>
              <w:t>2.4.1填报信息服务</w:t>
            </w:r>
          </w:p>
          <w:p>
            <w:pPr>
              <w:pStyle w:val="null3"/>
              <w:ind w:firstLine="480"/>
              <w:jc w:val="both"/>
            </w:pPr>
            <w:r>
              <w:rPr>
                <w:rFonts w:ascii="仿宋_GB2312" w:hAnsi="仿宋_GB2312" w:cs="仿宋_GB2312" w:eastAsia="仿宋_GB2312"/>
                <w:sz w:val="21"/>
              </w:rPr>
              <w:t>明确填报人信息、填报详情、报告交付要求等字段填写规范，通过字段批注解读标准；针对不同样品类型，提供示例模板降低填报难度。</w:t>
            </w:r>
          </w:p>
          <w:p>
            <w:pPr>
              <w:pStyle w:val="null3"/>
              <w:jc w:val="left"/>
              <w:outlineLvl w:val="2"/>
            </w:pPr>
            <w:r>
              <w:rPr>
                <w:rFonts w:ascii="仿宋_GB2312" w:hAnsi="仿宋_GB2312" w:cs="仿宋_GB2312" w:eastAsia="仿宋_GB2312"/>
                <w:sz w:val="27"/>
                <w:b/>
              </w:rPr>
              <w:t>2.4.2可视化数据统计分析服务</w:t>
            </w:r>
          </w:p>
          <w:p>
            <w:pPr>
              <w:pStyle w:val="null3"/>
              <w:ind w:firstLine="480"/>
              <w:jc w:val="both"/>
            </w:pPr>
            <w:r>
              <w:rPr>
                <w:rFonts w:ascii="仿宋_GB2312" w:hAnsi="仿宋_GB2312" w:cs="仿宋_GB2312" w:eastAsia="仿宋_GB2312"/>
                <w:sz w:val="21"/>
              </w:rPr>
              <w:t>生成多维度统计看板</w:t>
            </w:r>
            <w:r>
              <w:rPr>
                <w:rFonts w:ascii="仿宋_GB2312" w:hAnsi="仿宋_GB2312" w:cs="仿宋_GB2312" w:eastAsia="仿宋_GB2312"/>
                <w:sz w:val="21"/>
              </w:rPr>
              <w:t xml:space="preserve">—— 按大类 </w:t>
            </w:r>
            <w:r>
              <w:rPr>
                <w:rFonts w:ascii="仿宋_GB2312" w:hAnsi="仿宋_GB2312" w:cs="仿宋_GB2312" w:eastAsia="仿宋_GB2312"/>
                <w:sz w:val="21"/>
              </w:rPr>
              <w:t xml:space="preserve">/ </w:t>
            </w:r>
            <w:r>
              <w:rPr>
                <w:rFonts w:ascii="仿宋_GB2312" w:hAnsi="仿宋_GB2312" w:cs="仿宋_GB2312" w:eastAsia="仿宋_GB2312"/>
                <w:sz w:val="21"/>
              </w:rPr>
              <w:t>亚类用柱状图展示不合格率、按地区用热力图呈现密度与不合格聚集、按时间用折线图展示趋势、按检测项目用雷达图呈现频次与不合格率，快速定位高风险品类与区域。</w:t>
            </w:r>
          </w:p>
          <w:p>
            <w:pPr>
              <w:pStyle w:val="null3"/>
              <w:jc w:val="both"/>
              <w:outlineLvl w:val="1"/>
            </w:pPr>
            <w:r>
              <w:rPr>
                <w:rFonts w:ascii="仿宋_GB2312" w:hAnsi="仿宋_GB2312" w:cs="仿宋_GB2312" w:eastAsia="仿宋_GB2312"/>
                <w:sz w:val="24"/>
                <w:b/>
              </w:rPr>
              <w:t>三、技术要求</w:t>
            </w:r>
          </w:p>
          <w:p>
            <w:pPr>
              <w:pStyle w:val="null3"/>
              <w:jc w:val="both"/>
              <w:outlineLvl w:val="1"/>
            </w:pPr>
            <w:r>
              <w:rPr>
                <w:rFonts w:ascii="仿宋_GB2312" w:hAnsi="仿宋_GB2312" w:cs="仿宋_GB2312" w:eastAsia="仿宋_GB2312"/>
                <w:sz w:val="24"/>
                <w:b/>
              </w:rPr>
              <w:t>3.1服务要求</w:t>
            </w:r>
          </w:p>
          <w:p>
            <w:pPr>
              <w:pStyle w:val="null3"/>
              <w:ind w:firstLine="480"/>
              <w:jc w:val="both"/>
            </w:pPr>
            <w:r>
              <w:rPr>
                <w:rFonts w:ascii="仿宋_GB2312" w:hAnsi="仿宋_GB2312" w:cs="仿宋_GB2312" w:eastAsia="仿宋_GB2312"/>
                <w:sz w:val="21"/>
              </w:rPr>
              <w:t>在服务期间，需围绕项目</w:t>
            </w:r>
            <w:r>
              <w:rPr>
                <w:rFonts w:ascii="仿宋_GB2312" w:hAnsi="仿宋_GB2312" w:cs="仿宋_GB2312" w:eastAsia="仿宋_GB2312"/>
                <w:sz w:val="21"/>
              </w:rPr>
              <w:t>“激活数据价值、赋能监管转型” 核心目标，结合四大业务场景落地需求与技术架构规范，提供全周期、全流程的高质量服务，具体要求如下：</w:t>
            </w:r>
          </w:p>
          <w:p>
            <w:pPr>
              <w:pStyle w:val="null3"/>
              <w:numPr>
                <w:ilvl w:val="0"/>
                <w:numId w:val="1"/>
              </w:numPr>
              <w:jc w:val="both"/>
            </w:pPr>
            <w:r>
              <w:rPr>
                <w:rFonts w:ascii="仿宋_GB2312" w:hAnsi="仿宋_GB2312" w:cs="仿宋_GB2312" w:eastAsia="仿宋_GB2312"/>
                <w:sz w:val="21"/>
              </w:rPr>
              <w:t>人员管理制度</w:t>
            </w:r>
          </w:p>
          <w:p>
            <w:pPr>
              <w:pStyle w:val="null3"/>
              <w:ind w:firstLine="480"/>
              <w:jc w:val="both"/>
            </w:pPr>
            <w:r>
              <w:rPr>
                <w:rFonts w:ascii="仿宋_GB2312" w:hAnsi="仿宋_GB2312" w:cs="仿宋_GB2312" w:eastAsia="仿宋_GB2312"/>
                <w:sz w:val="21"/>
              </w:rPr>
              <w:t>服务人员的确定和变更，须事先经采购人同意。运营服务人员必须奉公守法，并具有高度的责任心。</w:t>
            </w:r>
          </w:p>
          <w:p>
            <w:pPr>
              <w:pStyle w:val="null3"/>
              <w:ind w:firstLine="480"/>
              <w:jc w:val="both"/>
            </w:pPr>
            <w:r>
              <w:rPr>
                <w:rFonts w:ascii="仿宋_GB2312" w:hAnsi="仿宋_GB2312" w:cs="仿宋_GB2312" w:eastAsia="仿宋_GB2312"/>
                <w:sz w:val="21"/>
              </w:rPr>
              <w:t>所有进出陕西省市场监督管理局的驻场人员严格遵守相关管理制度的规定。不得通过任何手段访问其他非授权服务器文件或获取任何操作权限。</w:t>
            </w:r>
          </w:p>
          <w:p>
            <w:pPr>
              <w:pStyle w:val="null3"/>
              <w:numPr>
                <w:ilvl w:val="0"/>
                <w:numId w:val="1"/>
              </w:numPr>
              <w:jc w:val="both"/>
            </w:pPr>
            <w:r>
              <w:rPr>
                <w:rFonts w:ascii="仿宋_GB2312" w:hAnsi="仿宋_GB2312" w:cs="仿宋_GB2312" w:eastAsia="仿宋_GB2312"/>
                <w:sz w:val="21"/>
              </w:rPr>
              <w:t>数据管理制度</w:t>
            </w:r>
          </w:p>
          <w:p>
            <w:pPr>
              <w:pStyle w:val="null3"/>
              <w:ind w:firstLine="480"/>
              <w:jc w:val="both"/>
            </w:pPr>
            <w:r>
              <w:rPr>
                <w:rFonts w:ascii="仿宋_GB2312" w:hAnsi="仿宋_GB2312" w:cs="仿宋_GB2312" w:eastAsia="仿宋_GB2312"/>
                <w:sz w:val="21"/>
              </w:rPr>
              <w:t>驻场人员需要对项目涉及的数据运营过程</w:t>
            </w:r>
            <w:r>
              <w:rPr>
                <w:rFonts w:ascii="仿宋_GB2312" w:hAnsi="仿宋_GB2312" w:cs="仿宋_GB2312" w:eastAsia="仿宋_GB2312"/>
                <w:sz w:val="21"/>
              </w:rPr>
              <w:t>管理</w:t>
            </w:r>
            <w:r>
              <w:rPr>
                <w:rFonts w:ascii="仿宋_GB2312" w:hAnsi="仿宋_GB2312" w:cs="仿宋_GB2312" w:eastAsia="仿宋_GB2312"/>
                <w:sz w:val="21"/>
              </w:rPr>
              <w:t>，应做到内容完整、及时更新、分类归档，并妥善保管。</w:t>
            </w:r>
          </w:p>
          <w:p>
            <w:pPr>
              <w:pStyle w:val="null3"/>
              <w:numPr>
                <w:ilvl w:val="0"/>
                <w:numId w:val="1"/>
              </w:numPr>
              <w:jc w:val="both"/>
            </w:pPr>
            <w:r>
              <w:rPr>
                <w:rFonts w:ascii="仿宋_GB2312" w:hAnsi="仿宋_GB2312" w:cs="仿宋_GB2312" w:eastAsia="仿宋_GB2312"/>
                <w:sz w:val="21"/>
              </w:rPr>
              <w:t>文档管理要求</w:t>
            </w:r>
          </w:p>
          <w:p>
            <w:pPr>
              <w:pStyle w:val="null3"/>
              <w:ind w:firstLine="480"/>
              <w:jc w:val="both"/>
            </w:pPr>
            <w:r>
              <w:rPr>
                <w:rFonts w:ascii="仿宋_GB2312" w:hAnsi="仿宋_GB2312" w:cs="仿宋_GB2312" w:eastAsia="仿宋_GB2312"/>
                <w:sz w:val="21"/>
              </w:rPr>
              <w:t>供应商应在项目完成时，将本项目所有文档、资料汇集成册交付给采购人，所有文件要求用中文书写或有完整的中文注释。验收后，供应商按国家、省以及采购人档案管理要求，向采购人提供装订成册的纸质文档</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系统稳定性要求</w:t>
            </w:r>
          </w:p>
          <w:p>
            <w:pPr>
              <w:pStyle w:val="null3"/>
              <w:ind w:firstLine="480"/>
              <w:jc w:val="both"/>
            </w:pPr>
            <w:r>
              <w:rPr>
                <w:rFonts w:ascii="仿宋_GB2312" w:hAnsi="仿宋_GB2312" w:cs="仿宋_GB2312" w:eastAsia="仿宋_GB2312"/>
                <w:sz w:val="21"/>
              </w:rPr>
              <w:t>在重要时刻前，对系统进行全面的健康检查，包括硬件、软件、网络等方面的检查，确保系统处于最佳状态。</w:t>
            </w:r>
          </w:p>
          <w:p>
            <w:pPr>
              <w:pStyle w:val="null3"/>
              <w:numPr>
                <w:ilvl w:val="0"/>
                <w:numId w:val="1"/>
              </w:numPr>
              <w:jc w:val="both"/>
            </w:pPr>
            <w:r>
              <w:rPr>
                <w:rFonts w:ascii="仿宋_GB2312" w:hAnsi="仿宋_GB2312" w:cs="仿宋_GB2312" w:eastAsia="仿宋_GB2312"/>
                <w:sz w:val="21"/>
              </w:rPr>
              <w:t>业务连续性要求</w:t>
            </w:r>
          </w:p>
          <w:p>
            <w:pPr>
              <w:pStyle w:val="null3"/>
              <w:ind w:firstLine="480"/>
              <w:jc w:val="both"/>
            </w:pPr>
            <w:r>
              <w:rPr>
                <w:rFonts w:ascii="仿宋_GB2312" w:hAnsi="仿宋_GB2312" w:cs="仿宋_GB2312" w:eastAsia="仿宋_GB2312"/>
                <w:sz w:val="21"/>
              </w:rPr>
              <w:t>对关键业务应用进行性能优化，确保在业务高峰时段能够顺畅运行。</w:t>
            </w:r>
          </w:p>
          <w:p>
            <w:pPr>
              <w:pStyle w:val="null3"/>
              <w:jc w:val="both"/>
              <w:outlineLvl w:val="1"/>
            </w:pPr>
            <w:r>
              <w:rPr>
                <w:rFonts w:ascii="仿宋_GB2312" w:hAnsi="仿宋_GB2312" w:cs="仿宋_GB2312" w:eastAsia="仿宋_GB2312"/>
                <w:sz w:val="24"/>
                <w:b/>
              </w:rPr>
              <w:t>3.2架构要求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、本项目建设要求采用</w:t>
            </w:r>
            <w:r>
              <w:rPr>
                <w:rFonts w:ascii="仿宋_GB2312" w:hAnsi="仿宋_GB2312" w:cs="仿宋_GB2312" w:eastAsia="仿宋_GB2312"/>
                <w:sz w:val="21"/>
              </w:rPr>
              <w:t>J2EE</w:t>
            </w:r>
            <w:r>
              <w:rPr>
                <w:rFonts w:ascii="仿宋_GB2312" w:hAnsi="仿宋_GB2312" w:cs="仿宋_GB2312" w:eastAsia="仿宋_GB2312"/>
                <w:sz w:val="21"/>
              </w:rPr>
              <w:t>技术，系统架构采用微服务架构体系进行设计。系统架构方案应合理，可扩展。每个服务都围绕着具体模块进行构建，并且能够被独立地部署到生产环境、类生产环境等。</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、每个服务应用独立存在，快速部署及横向扩展，通过软负载技术快速承载大并发要求。同时每个服务应用将统一使用封装好的</w:t>
            </w:r>
            <w:r>
              <w:rPr>
                <w:rFonts w:ascii="仿宋_GB2312" w:hAnsi="仿宋_GB2312" w:cs="仿宋_GB2312" w:eastAsia="仿宋_GB2312"/>
                <w:sz w:val="21"/>
              </w:rPr>
              <w:t>ORM</w:t>
            </w:r>
            <w:r>
              <w:rPr>
                <w:rFonts w:ascii="仿宋_GB2312" w:hAnsi="仿宋_GB2312" w:cs="仿宋_GB2312" w:eastAsia="仿宋_GB2312"/>
                <w:sz w:val="21"/>
              </w:rPr>
              <w:t>组件，可支持多种国产数据库。</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系统架构应采用前后端分离技术，达到前后端解耦，以便在前端可视化内容调整时能够快速响应，前端技术应采用模块化处理、路由、状态管理等新特性。前后端分离技术为适应微服务架构以及分布式部署、弹性计算架构、多端化服务打下基础。</w:t>
            </w:r>
          </w:p>
          <w:p>
            <w:pPr>
              <w:pStyle w:val="null3"/>
              <w:ind w:firstLine="480"/>
              <w:jc w:val="both"/>
            </w:pPr>
            <w:r>
              <w:rPr>
                <w:rFonts w:ascii="仿宋_GB2312" w:hAnsi="仿宋_GB2312" w:cs="仿宋_GB2312" w:eastAsia="仿宋_GB2312"/>
                <w:sz w:val="21"/>
              </w:rPr>
              <w:t>响应文件应按照以上技术路线，明确系统架构设计以及组件选型。</w:t>
            </w:r>
          </w:p>
          <w:p>
            <w:pPr>
              <w:pStyle w:val="null3"/>
              <w:jc w:val="both"/>
              <w:outlineLvl w:val="1"/>
            </w:pPr>
            <w:r>
              <w:rPr>
                <w:rFonts w:ascii="仿宋_GB2312" w:hAnsi="仿宋_GB2312" w:cs="仿宋_GB2312" w:eastAsia="仿宋_GB2312"/>
                <w:sz w:val="24"/>
                <w:b/>
              </w:rPr>
              <w:t>3.3兼容性要求</w:t>
            </w:r>
          </w:p>
          <w:p>
            <w:pPr>
              <w:pStyle w:val="null3"/>
              <w:ind w:firstLine="480"/>
              <w:jc w:val="both"/>
            </w:pPr>
            <w:r>
              <w:rPr>
                <w:rFonts w:ascii="仿宋_GB2312" w:hAnsi="仿宋_GB2312" w:cs="仿宋_GB2312" w:eastAsia="仿宋_GB2312"/>
                <w:sz w:val="21"/>
              </w:rPr>
              <w:t>本项目要求支持采用</w:t>
            </w:r>
            <w:r>
              <w:rPr>
                <w:rFonts w:ascii="仿宋_GB2312" w:hAnsi="仿宋_GB2312" w:cs="仿宋_GB2312" w:eastAsia="仿宋_GB2312"/>
                <w:sz w:val="21"/>
              </w:rPr>
              <w:t>Webkit</w:t>
            </w:r>
            <w:r>
              <w:rPr>
                <w:rFonts w:ascii="仿宋_GB2312" w:hAnsi="仿宋_GB2312" w:cs="仿宋_GB2312" w:eastAsia="仿宋_GB2312"/>
                <w:sz w:val="21"/>
              </w:rPr>
              <w:t>及</w:t>
            </w:r>
            <w:r>
              <w:rPr>
                <w:rFonts w:ascii="仿宋_GB2312" w:hAnsi="仿宋_GB2312" w:cs="仿宋_GB2312" w:eastAsia="仿宋_GB2312"/>
                <w:sz w:val="21"/>
              </w:rPr>
              <w:t>gecko</w:t>
            </w:r>
            <w:r>
              <w:rPr>
                <w:rFonts w:ascii="仿宋_GB2312" w:hAnsi="仿宋_GB2312" w:cs="仿宋_GB2312" w:eastAsia="仿宋_GB2312"/>
                <w:sz w:val="21"/>
              </w:rPr>
              <w:t>内核浏览器，例如</w:t>
            </w:r>
            <w:r>
              <w:rPr>
                <w:rFonts w:ascii="仿宋_GB2312" w:hAnsi="仿宋_GB2312" w:cs="仿宋_GB2312" w:eastAsia="仿宋_GB2312"/>
                <w:sz w:val="21"/>
              </w:rPr>
              <w:t>360</w:t>
            </w:r>
            <w:r>
              <w:rPr>
                <w:rFonts w:ascii="仿宋_GB2312" w:hAnsi="仿宋_GB2312" w:cs="仿宋_GB2312" w:eastAsia="仿宋_GB2312"/>
                <w:sz w:val="21"/>
              </w:rPr>
              <w:t>极速版、火狐等浏览器。</w:t>
            </w:r>
          </w:p>
          <w:p>
            <w:pPr>
              <w:pStyle w:val="null3"/>
              <w:jc w:val="both"/>
              <w:outlineLvl w:val="1"/>
            </w:pPr>
            <w:r>
              <w:rPr>
                <w:rFonts w:ascii="仿宋_GB2312" w:hAnsi="仿宋_GB2312" w:cs="仿宋_GB2312" w:eastAsia="仿宋_GB2312"/>
                <w:sz w:val="24"/>
                <w:b/>
              </w:rPr>
              <w:t>3.4交互设计及易用性服务要求</w:t>
            </w:r>
          </w:p>
          <w:p>
            <w:pPr>
              <w:pStyle w:val="null3"/>
              <w:ind w:firstLine="480"/>
              <w:jc w:val="both"/>
            </w:pPr>
            <w:r>
              <w:rPr>
                <w:rFonts w:ascii="仿宋_GB2312" w:hAnsi="仿宋_GB2312" w:cs="仿宋_GB2312" w:eastAsia="仿宋_GB2312"/>
                <w:sz w:val="21"/>
              </w:rPr>
              <w:t>界面是软件与用户交互最直接的层，界面的好坏决定用户对软件的第一印象。设计合理的界面能够引导用户自己完成相应操作，起到向导的作用。用户界面设计，是对软件的人机交互、操作逻辑、界面美观的整体设计，</w:t>
            </w:r>
            <w:r>
              <w:rPr>
                <w:rFonts w:ascii="仿宋_GB2312" w:hAnsi="仿宋_GB2312" w:cs="仿宋_GB2312" w:eastAsia="仿宋_GB2312"/>
                <w:sz w:val="21"/>
              </w:rPr>
              <w:t>UI</w:t>
            </w:r>
            <w:r>
              <w:rPr>
                <w:rFonts w:ascii="仿宋_GB2312" w:hAnsi="仿宋_GB2312" w:cs="仿宋_GB2312" w:eastAsia="仿宋_GB2312"/>
                <w:sz w:val="21"/>
              </w:rPr>
              <w:t>设计不是单纯的美术绘画，需要定位使用者、使用环境、使用方式并为最终用户而设计。</w:t>
            </w:r>
          </w:p>
          <w:p>
            <w:pPr>
              <w:pStyle w:val="null3"/>
              <w:jc w:val="both"/>
              <w:outlineLvl w:val="1"/>
            </w:pPr>
            <w:r>
              <w:rPr>
                <w:rFonts w:ascii="仿宋_GB2312" w:hAnsi="仿宋_GB2312" w:cs="仿宋_GB2312" w:eastAsia="仿宋_GB2312"/>
                <w:sz w:val="24"/>
                <w:b/>
              </w:rPr>
              <w:t>3.5安全管理要求</w:t>
            </w:r>
          </w:p>
          <w:p>
            <w:pPr>
              <w:pStyle w:val="null3"/>
              <w:jc w:val="left"/>
              <w:outlineLvl w:val="2"/>
            </w:pPr>
            <w:r>
              <w:rPr>
                <w:rFonts w:ascii="仿宋_GB2312" w:hAnsi="仿宋_GB2312" w:cs="仿宋_GB2312" w:eastAsia="仿宋_GB2312"/>
                <w:sz w:val="24"/>
                <w:b/>
              </w:rPr>
              <w:t>3.5.1</w:t>
            </w:r>
            <w:r>
              <w:rPr>
                <w:rFonts w:ascii="仿宋_GB2312" w:hAnsi="仿宋_GB2312" w:cs="仿宋_GB2312" w:eastAsia="仿宋_GB2312"/>
                <w:sz w:val="24"/>
                <w:b/>
              </w:rPr>
              <w:t>信创适配要求</w:t>
            </w:r>
          </w:p>
          <w:p>
            <w:pPr>
              <w:pStyle w:val="null3"/>
              <w:ind w:firstLine="480"/>
              <w:jc w:val="both"/>
            </w:pPr>
            <w:r>
              <w:rPr>
                <w:rFonts w:ascii="仿宋_GB2312" w:hAnsi="仿宋_GB2312" w:cs="仿宋_GB2312" w:eastAsia="仿宋_GB2312"/>
                <w:sz w:val="21"/>
              </w:rPr>
              <w:t>应支持当前</w:t>
            </w:r>
            <w:r>
              <w:rPr>
                <w:rFonts w:ascii="仿宋_GB2312" w:hAnsi="仿宋_GB2312" w:cs="仿宋_GB2312" w:eastAsia="仿宋_GB2312"/>
                <w:sz w:val="21"/>
              </w:rPr>
              <w:t>陕西省政务云</w:t>
            </w:r>
            <w:r>
              <w:rPr>
                <w:rFonts w:ascii="仿宋_GB2312" w:hAnsi="仿宋_GB2312" w:cs="仿宋_GB2312" w:eastAsia="仿宋_GB2312"/>
                <w:sz w:val="21"/>
              </w:rPr>
              <w:t>国产化信创</w:t>
            </w:r>
            <w:r>
              <w:rPr>
                <w:rFonts w:ascii="仿宋_GB2312" w:hAnsi="仿宋_GB2312" w:cs="仿宋_GB2312" w:eastAsia="仿宋_GB2312"/>
                <w:sz w:val="21"/>
              </w:rPr>
              <w:t>平台</w:t>
            </w:r>
            <w:r>
              <w:rPr>
                <w:rFonts w:ascii="仿宋_GB2312" w:hAnsi="仿宋_GB2312" w:cs="仿宋_GB2312" w:eastAsia="仿宋_GB2312"/>
                <w:sz w:val="21"/>
              </w:rPr>
              <w:t>，支持在国产操作系统（如统信、中标麒麟、银河麒麟、深度等）上进行部署的适配性改造；支持国产或开源数据库（如达梦、人大金仓、南大通用、</w:t>
            </w:r>
            <w:r>
              <w:rPr>
                <w:rFonts w:ascii="仿宋_GB2312" w:hAnsi="仿宋_GB2312" w:cs="仿宋_GB2312" w:eastAsia="仿宋_GB2312"/>
                <w:sz w:val="21"/>
              </w:rPr>
              <w:t>mysql</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部署运行的适配性改造；支持东方通、金蝶等中间件的运行，应采用符合信创要求的操作系统。</w:t>
            </w:r>
          </w:p>
          <w:p>
            <w:pPr>
              <w:pStyle w:val="null3"/>
              <w:jc w:val="left"/>
              <w:outlineLvl w:val="2"/>
            </w:pPr>
            <w:r>
              <w:rPr>
                <w:rFonts w:ascii="仿宋_GB2312" w:hAnsi="仿宋_GB2312" w:cs="仿宋_GB2312" w:eastAsia="仿宋_GB2312"/>
                <w:sz w:val="24"/>
                <w:b/>
              </w:rPr>
              <w:t>3.5.2</w:t>
            </w:r>
            <w:r>
              <w:rPr>
                <w:rFonts w:ascii="仿宋_GB2312" w:hAnsi="仿宋_GB2312" w:cs="仿宋_GB2312" w:eastAsia="仿宋_GB2312"/>
                <w:sz w:val="24"/>
                <w:b/>
              </w:rPr>
              <w:t>商用密码应用安全性要求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应配合采购人完成应用系统商用密码应用安全性评估和适应性改造；</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如涉及密码产品、技术的应用，应采用符合国密要求的密码产品和技术。</w:t>
            </w:r>
          </w:p>
          <w:p>
            <w:pPr>
              <w:pStyle w:val="null3"/>
              <w:jc w:val="left"/>
              <w:outlineLvl w:val="2"/>
            </w:pPr>
            <w:r>
              <w:rPr>
                <w:rFonts w:ascii="仿宋_GB2312" w:hAnsi="仿宋_GB2312" w:cs="仿宋_GB2312" w:eastAsia="仿宋_GB2312"/>
                <w:sz w:val="24"/>
                <w:b/>
              </w:rPr>
              <w:t>3.5.3</w:t>
            </w:r>
            <w:r>
              <w:rPr>
                <w:rFonts w:ascii="仿宋_GB2312" w:hAnsi="仿宋_GB2312" w:cs="仿宋_GB2312" w:eastAsia="仿宋_GB2312"/>
                <w:sz w:val="24"/>
                <w:b/>
              </w:rPr>
              <w:t>等保测评要求</w:t>
            </w:r>
          </w:p>
          <w:p>
            <w:pPr>
              <w:pStyle w:val="null3"/>
              <w:ind w:firstLine="480"/>
              <w:jc w:val="both"/>
            </w:pPr>
            <w:r>
              <w:rPr>
                <w:rFonts w:ascii="仿宋_GB2312" w:hAnsi="仿宋_GB2312" w:cs="仿宋_GB2312" w:eastAsia="仿宋_GB2312"/>
                <w:sz w:val="21"/>
              </w:rPr>
              <w:t>应</w:t>
            </w:r>
            <w:r>
              <w:rPr>
                <w:rFonts w:ascii="仿宋_GB2312" w:hAnsi="仿宋_GB2312" w:cs="仿宋_GB2312" w:eastAsia="仿宋_GB2312"/>
                <w:sz w:val="21"/>
              </w:rPr>
              <w:t>配合采购人完成系统等保测评和适应性改造</w:t>
            </w:r>
            <w:r>
              <w:rPr>
                <w:rFonts w:ascii="仿宋_GB2312" w:hAnsi="仿宋_GB2312" w:cs="仿宋_GB2312" w:eastAsia="仿宋_GB2312"/>
                <w:sz w:val="21"/>
              </w:rPr>
              <w:t>。</w:t>
            </w:r>
          </w:p>
          <w:p>
            <w:pPr>
              <w:pStyle w:val="null3"/>
              <w:jc w:val="both"/>
              <w:outlineLvl w:val="1"/>
            </w:pPr>
            <w:r>
              <w:rPr>
                <w:rFonts w:ascii="仿宋_GB2312" w:hAnsi="仿宋_GB2312" w:cs="仿宋_GB2312" w:eastAsia="仿宋_GB2312"/>
                <w:sz w:val="24"/>
                <w:b/>
              </w:rPr>
              <w:t>3.</w:t>
            </w:r>
            <w:r>
              <w:rPr>
                <w:rFonts w:ascii="仿宋_GB2312" w:hAnsi="仿宋_GB2312" w:cs="仿宋_GB2312" w:eastAsia="仿宋_GB2312"/>
                <w:sz w:val="24"/>
                <w:b/>
              </w:rPr>
              <w:t>6</w:t>
            </w:r>
            <w:r>
              <w:rPr>
                <w:rFonts w:ascii="仿宋_GB2312" w:hAnsi="仿宋_GB2312" w:cs="仿宋_GB2312" w:eastAsia="仿宋_GB2312"/>
                <w:sz w:val="24"/>
                <w:b/>
              </w:rPr>
              <w:t>系统安全要求</w:t>
            </w:r>
          </w:p>
          <w:p>
            <w:pPr>
              <w:pStyle w:val="null3"/>
              <w:ind w:firstLine="480"/>
              <w:jc w:val="both"/>
            </w:pPr>
            <w:r>
              <w:rPr>
                <w:rFonts w:ascii="仿宋_GB2312" w:hAnsi="仿宋_GB2312" w:cs="仿宋_GB2312" w:eastAsia="仿宋_GB2312"/>
                <w:sz w:val="21"/>
              </w:rPr>
              <w:t>根据国家及政府信息安全规范，保证系统及系统数据可用性、完整性、保密性，需提供相应认证证书（如有）。</w:t>
            </w:r>
          </w:p>
          <w:p>
            <w:pPr>
              <w:pStyle w:val="null3"/>
              <w:jc w:val="both"/>
              <w:outlineLvl w:val="1"/>
            </w:pPr>
            <w:r>
              <w:rPr>
                <w:rFonts w:ascii="仿宋_GB2312" w:hAnsi="仿宋_GB2312" w:cs="仿宋_GB2312" w:eastAsia="仿宋_GB2312"/>
                <w:sz w:val="24"/>
                <w:b/>
              </w:rPr>
              <w:t>3.7售后服务要求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、采购人为了保证项目后续的可持续性发展，要进行不断的维护，提供长期固定驻场人员不少于</w:t>
            </w:r>
            <w:r>
              <w:rPr>
                <w:rFonts w:ascii="仿宋_GB2312" w:hAnsi="仿宋_GB2312" w:cs="仿宋_GB2312" w:eastAsia="仿宋_GB2312"/>
                <w:sz w:val="21"/>
              </w:rPr>
              <w:t>1</w:t>
            </w:r>
            <w:r>
              <w:rPr>
                <w:rFonts w:ascii="仿宋_GB2312" w:hAnsi="仿宋_GB2312" w:cs="仿宋_GB2312" w:eastAsia="仿宋_GB2312"/>
                <w:sz w:val="21"/>
              </w:rPr>
              <w:t>人。</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、质保服务包括：提供</w:t>
            </w:r>
            <w:r>
              <w:rPr>
                <w:rFonts w:ascii="仿宋_GB2312" w:hAnsi="仿宋_GB2312" w:cs="仿宋_GB2312" w:eastAsia="仿宋_GB2312"/>
                <w:sz w:val="21"/>
              </w:rPr>
              <w:t>7*24</w:t>
            </w:r>
            <w:r>
              <w:rPr>
                <w:rFonts w:ascii="仿宋_GB2312" w:hAnsi="仿宋_GB2312" w:cs="仿宋_GB2312" w:eastAsia="仿宋_GB2312"/>
                <w:sz w:val="21"/>
              </w:rPr>
              <w:t>小时的服务响应，并</w:t>
            </w:r>
            <w:r>
              <w:rPr>
                <w:rFonts w:ascii="仿宋_GB2312" w:hAnsi="仿宋_GB2312" w:cs="仿宋_GB2312" w:eastAsia="仿宋_GB2312"/>
                <w:sz w:val="21"/>
              </w:rPr>
              <w:t>2</w:t>
            </w:r>
            <w:r>
              <w:rPr>
                <w:rFonts w:ascii="仿宋_GB2312" w:hAnsi="仿宋_GB2312" w:cs="仿宋_GB2312" w:eastAsia="仿宋_GB2312"/>
                <w:sz w:val="21"/>
              </w:rPr>
              <w:t>小时内做出明确响应和安排。具有解决故障能力的工程师应在</w:t>
            </w:r>
            <w:r>
              <w:rPr>
                <w:rFonts w:ascii="仿宋_GB2312" w:hAnsi="仿宋_GB2312" w:cs="仿宋_GB2312" w:eastAsia="仿宋_GB2312"/>
                <w:sz w:val="21"/>
              </w:rPr>
              <w:t>4</w:t>
            </w:r>
            <w:r>
              <w:rPr>
                <w:rFonts w:ascii="仿宋_GB2312" w:hAnsi="仿宋_GB2312" w:cs="仿宋_GB2312" w:eastAsia="仿宋_GB2312"/>
                <w:sz w:val="21"/>
              </w:rPr>
              <w:t>小时内到达现场。</w:t>
            </w:r>
          </w:p>
          <w:p>
            <w:pPr>
              <w:pStyle w:val="null3"/>
              <w:jc w:val="both"/>
              <w:outlineLvl w:val="1"/>
            </w:pPr>
            <w:r>
              <w:rPr>
                <w:rFonts w:ascii="仿宋_GB2312" w:hAnsi="仿宋_GB2312" w:cs="仿宋_GB2312" w:eastAsia="仿宋_GB2312"/>
                <w:sz w:val="24"/>
                <w:b/>
              </w:rPr>
              <w:t>3.8其他服务要求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、资产权属</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）服务提供商在执行合同中向采购人提供数据服务所产生的所有技术资料、文档和软件系统（包括源代码和可运行系统）的所有权和软件著作权归采购人所有。</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）服务提供商为执行本合同而提供的与本合同无关的单位或个人的技术资料、软件、工具及服务提供商已有知识产权产品的使用权归采购人所有。</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）采购人有权利用服务提供商按照本需求约定提供的研究成果，进行后续改进，由此产生的具有实质性或创造性技术进步特征的新的技术成果及其权利归属，由采购人享有。</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、保密要求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）成交人应签订保密协议，对其因身份、职务、职业或技术关系而知悉的采购人商业秘密和党政机关保密信息应严格保守，保证不被披露或使用，包括意外或过失。</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成交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）严禁泄露在工作中接触到的政府机关科技研究、发明、装备器材及其技术资料和政府工作信息。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项目整体内容完成组织验收，通过验收后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4供应商资格证明文件.docx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 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1分项报价表.docx 中小企业声明函 3商务条款响应说明.docx 4供应商资格证明文件.docx 报价表 6供应商承诺书.docx 2服务内容及服务要求应答表.docx 5响应方案说明.docx 响应文件封面 残疾人福利性单位声明函 标的清单 7保证金交纳凭证或保函.docx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7保证金交纳凭证或保函.docx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1分项报价表.docx 中小企业声明函 3商务条款响应说明.docx 4供应商资格证明文件.docx 报价表 6供应商承诺书.docx 2服务内容及服务要求应答表.docx 5响应方案说明.docx 响应文件封面 残疾人福利性单位声明函 标的清单 7保证金交纳凭证或保函.docx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针对本项目进行项目分析，内容包括：①建设目标、②建设条件、③建设内容、④重难点分析。 方案各项内容全面详细、阐述条理清晰、对评审内容中的各项要求有详细描述及说明得10分，每有一项缺项扣2.5分，每有一项内容存在一处缺陷扣0.5分，扣完为止。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提出针对本项目的技术服务方案，内容包括：①技术需求、②技术方案、③服务内容、④服务流程、⑤服务成果。 方案各项内容全面详细、阐述条理清晰、对评审内容中的各项要求有详细描述及说明得25分，每有一项缺项扣5分，每有一项内容存在一处缺陷扣1分，扣完为止。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提出针对本项目的项目实施方案，内容包括：①项目进度安排、②组织协调措施、③服务响应方案、④保密措施、⑤安全管理。 方案各项内容全面详细、阐述条理清晰、对评审内容中的各项要求有详细描述及说明得20分，每有一项缺项扣4分，每有一项内容存在一处缺陷扣1分，扣完为止。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提出针对本项目的应急保障措施，内容包括：①服务响应时间、②备份恢复、③定期巡查、④故障诊断、⑤特殊时段运行保障、⑥应急预案。 各项内容全面详细、阐述条理清晰、对评审内容中的各项要求有详细描述及说明得6分，每有一项缺项扣1分，每有一项内容存在一处缺陷扣0.5分，扣完为止。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提出针对本项目的服务承诺，内容包括：①服务运营人员经验水平、②服务跟踪计划、③系统维护、④系统故障补救措施及技术支持。 各项内容全面详细、阐述条理清晰、对评审内容中的各项要求有详细描述及说明得4分，每有一项缺项扣1分，每有一项内容存在一处缺陷扣0.5分，扣完为止。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提出针对本项目的人员配备，内容包括：①拟投入的服务团队人员结构、②人员分工及职责、③管理人员工作经验、④人员管理制度。 各项内容全面详细、阐述条理清晰、对评审内容中的各项要求有详细描述及说明得6分，每有一项缺项扣1.5分，每有一项内容存在一处缺陷扣0.5分，扣完为止。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提出针对本项目的人员配备，内容包括：①培训计划、②培训内容、③培训方式、④培训目标、⑤培训人数及时间。 各项内容全面详细、阐述条理清晰、对评审内容中的各项要求有详细描述及说明得5分，每有一项缺项扣1分，每有一项内容存在一处缺陷扣0.5分，扣完为止。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1、供应商具有有效的信息技术服务管理体系认证证书，计1分； 2、供应商具有有效的信息系统建设和服务能力等级证书，计1分； 3、供应商具有有效的信息系统集成和服务能力等级证书，计1分； 4、供应商具有有效的ITSS信息技术服务运行维护标准证书，计1分。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供应商提供2022年1月1日至今（以合同签订日期为准）类似项目的业绩合同，每份计2分，满分10分。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详见附件：2服务内容及服务要求应答表.docx</w:t>
      </w:r>
    </w:p>
    <w:p>
      <w:pPr>
        <w:pStyle w:val="null3"/>
        <w:ind w:firstLine="960"/>
      </w:pPr>
      <w:r>
        <w:rPr>
          <w:rFonts w:ascii="仿宋_GB2312" w:hAnsi="仿宋_GB2312" w:cs="仿宋_GB2312" w:eastAsia="仿宋_GB2312"/>
        </w:rPr>
        <w:t>详见附件：3商务条款响应说明.docx</w:t>
      </w:r>
    </w:p>
    <w:p>
      <w:pPr>
        <w:pStyle w:val="null3"/>
        <w:ind w:firstLine="960"/>
      </w:pPr>
      <w:r>
        <w:rPr>
          <w:rFonts w:ascii="仿宋_GB2312" w:hAnsi="仿宋_GB2312" w:cs="仿宋_GB2312" w:eastAsia="仿宋_GB2312"/>
        </w:rPr>
        <w:t>详见附件：4供应商资格证明文件.docx</w:t>
      </w:r>
    </w:p>
    <w:p>
      <w:pPr>
        <w:pStyle w:val="null3"/>
        <w:ind w:firstLine="960"/>
      </w:pPr>
      <w:r>
        <w:rPr>
          <w:rFonts w:ascii="仿宋_GB2312" w:hAnsi="仿宋_GB2312" w:cs="仿宋_GB2312" w:eastAsia="仿宋_GB2312"/>
        </w:rPr>
        <w:t>详见附件：5响应方案说明.docx</w:t>
      </w:r>
    </w:p>
    <w:p>
      <w:pPr>
        <w:pStyle w:val="null3"/>
        <w:ind w:firstLine="960"/>
      </w:pPr>
      <w:r>
        <w:rPr>
          <w:rFonts w:ascii="仿宋_GB2312" w:hAnsi="仿宋_GB2312" w:cs="仿宋_GB2312" w:eastAsia="仿宋_GB2312"/>
        </w:rPr>
        <w:t>详见附件：6供应商承诺书.docx</w:t>
      </w:r>
    </w:p>
    <w:p>
      <w:pPr>
        <w:pStyle w:val="null3"/>
        <w:ind w:firstLine="960"/>
      </w:pPr>
      <w:r>
        <w:rPr>
          <w:rFonts w:ascii="仿宋_GB2312" w:hAnsi="仿宋_GB2312" w:cs="仿宋_GB2312" w:eastAsia="仿宋_GB2312"/>
        </w:rPr>
        <w:t>详见附件：7保证金交纳凭证或保函.docx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