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DA1C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highlight w:val="none"/>
        </w:rPr>
        <w:t xml:space="preserve"> 投标方案</w:t>
      </w:r>
    </w:p>
    <w:p w14:paraId="226E2840">
      <w:pPr>
        <w:spacing w:line="560" w:lineRule="exact"/>
        <w:ind w:firstLine="960" w:firstLineChars="400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根据本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“第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五章”中的〖评审要素及分值一览表〗提供。</w:t>
      </w:r>
    </w:p>
    <w:p w14:paraId="26618FA2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              </w:t>
      </w:r>
    </w:p>
    <w:p w14:paraId="60A90AE7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14754AE1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A5461E6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19C553BC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4FDADF9B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462229A6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C7F5A73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DFDEE92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9B11A79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452B260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3A7512A2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5C9AD6F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FDD089D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4D88584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04D38192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B0E0FC4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02E854BE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370054AE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C5571CC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4158468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112C09A">
      <w:pPr>
        <w:spacing w:line="560" w:lineRule="exact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45E44911"/>
    <w:sectPr>
      <w:pgSz w:w="11906" w:h="16838"/>
      <w:pgMar w:top="1440" w:right="1083" w:bottom="1440" w:left="1083" w:header="851" w:footer="992" w:gutter="0"/>
      <w:pgNumType w:fmt="decimal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946B8"/>
    <w:rsid w:val="00A21A33"/>
    <w:rsid w:val="226946B8"/>
    <w:rsid w:val="291A4AF5"/>
    <w:rsid w:val="2D21376E"/>
    <w:rsid w:val="3C8E60D2"/>
    <w:rsid w:val="4BED1A6A"/>
    <w:rsid w:val="661B5FBC"/>
    <w:rsid w:val="6AC34221"/>
    <w:rsid w:val="7AB61937"/>
    <w:rsid w:val="7B9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15" w:beforeAutospacing="1" w:after="0" w:afterAutospacing="1" w:line="300" w:lineRule="exact"/>
      <w:jc w:val="center"/>
      <w:outlineLvl w:val="0"/>
    </w:pPr>
    <w:rPr>
      <w:rFonts w:hint="eastAsia" w:ascii="宋体" w:hAnsi="宋体" w:eastAsia="宋体" w:cs="宋体"/>
      <w:b/>
      <w:bCs/>
      <w:kern w:val="44"/>
      <w:sz w:val="36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4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2025-11-04T11:42:00Z</dcterms:created>
  <dc:creator>琢</dc:creator>
  <cp:lastModifiedBy>琢</cp:lastModifiedBy>
  <dcterms:modified xsi:type="dcterms:W3CDTF">2025-11-11T06:16:30Z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A8F50F2D380F4D3BBA8FA4439DD8EC87_13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