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版本号：ZX2025-04-54(二次)20251111001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核磁共振波谱仪主机升级改造项目(二次)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ZX2025-04-54(二次)</w:t>
      </w:r>
      <w:r>
        <w:br/>
      </w:r>
      <w:r>
        <w:br/>
      </w:r>
      <w:r>
        <w:br/>
      </w:r>
    </w:p>
    <w:p>
      <w:pPr>
        <w:pStyle w:val="null3"/>
        <w:jc w:val="center"/>
        <w:outlineLvl w:val="2"/>
      </w:pPr>
      <w:r>
        <w:rPr>
          <w:rFonts w:ascii="仿宋_GB2312" w:hAnsi="仿宋_GB2312" w:cs="仿宋_GB2312" w:eastAsia="仿宋_GB2312"/>
          <w:sz w:val="28"/>
          <w:b/>
        </w:rPr>
        <w:t>宝鸡文理学院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宝鸡文理学院</w:t>
      </w:r>
      <w:r>
        <w:rPr>
          <w:rFonts w:ascii="仿宋_GB2312" w:hAnsi="仿宋_GB2312" w:cs="仿宋_GB2312" w:eastAsia="仿宋_GB2312"/>
        </w:rPr>
        <w:t>委托，拟对</w:t>
      </w:r>
      <w:r>
        <w:rPr>
          <w:rFonts w:ascii="仿宋_GB2312" w:hAnsi="仿宋_GB2312" w:cs="仿宋_GB2312" w:eastAsia="仿宋_GB2312"/>
        </w:rPr>
        <w:t>核磁共振波谱仪主机升级改造项目(二次)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ZX2025-04-54(二次)</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核磁共振波谱仪主机升级改造项目(二次)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本项目为核磁共振波谱仪主机升级改造项目，具体内容详见采购文件第三章。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2、不接受联合体投标，不允许分包：本项目不接受联合体投标，不允许分包。投标人提供《非联合体不分包投标声明》并进行电子签章。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宝鸡文理学院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宝鸡市高新大道1号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721013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0917-3566017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胡怡洁 崔文 马演 曹婷 王宇轩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采购包1：1,590,000.00元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采购包1保证金金额：30,454.00元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说明：1、交纳履约保证金时须注明项目编号及用途(履约保证金)。 2、项目验收合格后无息退还。 3、逾期退还履约保证金的违约责任：按采购人内控制度执行。</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代理服务费收费标准：参照国家计委计价格[2002]1980号及发改办价格[2003]857号通知规定，下浮20%计取，由中标人支付代理服务费。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宝鸡文理学院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宝鸡文理学院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宝鸡文理学院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联系人：崔文 胡怡洁</w:t>
      </w:r>
    </w:p>
    <w:p>
      <w:pPr>
        <w:pStyle w:val="null3"/>
      </w:pPr>
      <w:r>
        <w:rPr>
          <w:rFonts w:ascii="仿宋_GB2312" w:hAnsi="仿宋_GB2312" w:cs="仿宋_GB2312" w:eastAsia="仿宋_GB2312"/>
        </w:rPr>
        <w:t>联系电话：029-88110800转8030（453963218@qq.com）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本项目为核磁共振波谱仪主机升级改造项目，1套。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1,590,000.00</w:t>
      </w:r>
    </w:p>
    <w:p>
      <w:pPr>
        <w:pStyle w:val="null3"/>
      </w:pPr>
      <w:r>
        <w:rPr>
          <w:rFonts w:ascii="仿宋_GB2312" w:hAnsi="仿宋_GB2312" w:cs="仿宋_GB2312" w:eastAsia="仿宋_GB2312"/>
        </w:rPr>
        <w:t>采购包最高限价（元）: 1,590,000.00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共振谱仪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1,590,000.00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标的名称：共振谱仪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一、采购清单</w:t>
            </w:r>
          </w:p>
          <w:tbl>
            <w:tblPr>
              <w:tblInd w:type="dxa" w:w="105"/>
              <w:tblBorders>
                <w:top w:val="none" w:color="000000" w:sz="4"/>
                <w:left w:val="none" w:color="000000" w:sz="4"/>
                <w:bottom w:val="none" w:color="000000" w:sz="4"/>
                <w:right w:val="none" w:color="000000" w:sz="4"/>
                <w:insideH w:val="none"/>
                <w:insideV w:val="none"/>
              </w:tblBorders>
            </w:tblPr>
            <w:tblGrid>
              <w:gridCol w:w="322"/>
              <w:gridCol w:w="897"/>
              <w:gridCol w:w="623"/>
              <w:gridCol w:w="680"/>
            </w:tblGrid>
            <w:tr>
              <w:tc>
                <w:tcPr>
                  <w:tcW w:type="dxa" w:w="3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8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产品名称</w:t>
                  </w:r>
                </w:p>
              </w:tc>
              <w:tc>
                <w:tcPr>
                  <w:tcW w:type="dxa" w:w="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数量（单位）</w:t>
                  </w:r>
                </w:p>
              </w:tc>
              <w:tc>
                <w:tcPr>
                  <w:tcW w:type="dxa" w:w="6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备注</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核磁共振波谱仪主机升级改造</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r>
                    <w:rPr>
                      <w:rFonts w:ascii="仿宋_GB2312" w:hAnsi="仿宋_GB2312" w:cs="仿宋_GB2312" w:eastAsia="仿宋_GB2312"/>
                      <w:sz w:val="19"/>
                    </w:rPr>
                    <w:t>套</w:t>
                  </w:r>
                </w:p>
              </w:tc>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核心产品</w:t>
                  </w:r>
                </w:p>
              </w:tc>
            </w:tr>
          </w:tbl>
          <w:p>
            <w:pPr>
              <w:pStyle w:val="null3"/>
            </w:pPr>
            <w:r>
              <w:rPr>
                <w:rFonts w:ascii="仿宋_GB2312" w:hAnsi="仿宋_GB2312" w:cs="仿宋_GB2312" w:eastAsia="仿宋_GB2312"/>
                <w:sz w:val="21"/>
                <w:b/>
              </w:rPr>
              <w:t>二、技术参数</w:t>
            </w:r>
          </w:p>
          <w:p>
            <w:pPr>
              <w:pStyle w:val="null3"/>
              <w:jc w:val="left"/>
            </w:pPr>
            <w:r>
              <w:rPr>
                <w:rFonts w:ascii="仿宋_GB2312" w:hAnsi="仿宋_GB2312" w:cs="仿宋_GB2312" w:eastAsia="仿宋_GB2312"/>
                <w:sz w:val="21"/>
                <w:b/>
              </w:rPr>
              <w:t>1</w:t>
            </w:r>
            <w:r>
              <w:rPr>
                <w:rFonts w:ascii="仿宋_GB2312" w:hAnsi="仿宋_GB2312" w:cs="仿宋_GB2312" w:eastAsia="仿宋_GB2312"/>
                <w:sz w:val="21"/>
                <w:b/>
              </w:rPr>
              <w:t>.</w:t>
            </w:r>
            <w:r>
              <w:rPr>
                <w:rFonts w:ascii="仿宋_GB2312" w:hAnsi="仿宋_GB2312" w:cs="仿宋_GB2312" w:eastAsia="仿宋_GB2312"/>
                <w:sz w:val="21"/>
                <w:b/>
              </w:rPr>
              <w:t>工作条件</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 工作环境温度：17</w:t>
            </w:r>
            <w:r>
              <w:rPr>
                <w:rFonts w:ascii="仿宋_GB2312" w:hAnsi="仿宋_GB2312" w:cs="仿宋_GB2312" w:eastAsia="仿宋_GB2312"/>
                <w:sz w:val="21"/>
              </w:rPr>
              <w:t>～</w:t>
            </w:r>
            <w:r>
              <w:rPr>
                <w:rFonts w:ascii="仿宋_GB2312" w:hAnsi="仿宋_GB2312" w:cs="仿宋_GB2312" w:eastAsia="仿宋_GB2312"/>
                <w:sz w:val="21"/>
              </w:rPr>
              <w:t>25℃，温度波动应小于1</w:t>
            </w:r>
            <w:r>
              <w:rPr>
                <w:rFonts w:ascii="仿宋_GB2312" w:hAnsi="仿宋_GB2312" w:cs="仿宋_GB2312" w:eastAsia="仿宋_GB2312"/>
                <w:sz w:val="21"/>
              </w:rPr>
              <w:t xml:space="preserve"> </w:t>
            </w:r>
            <w:r>
              <w:rPr>
                <w:rFonts w:ascii="仿宋_GB2312" w:hAnsi="仿宋_GB2312" w:cs="仿宋_GB2312" w:eastAsia="仿宋_GB2312"/>
                <w:sz w:val="21"/>
              </w:rPr>
              <w:t>℃/h；</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 工作环境湿度：40%</w:t>
            </w:r>
            <w:r>
              <w:rPr>
                <w:rFonts w:ascii="仿宋_GB2312" w:hAnsi="仿宋_GB2312" w:cs="仿宋_GB2312" w:eastAsia="仿宋_GB2312"/>
                <w:sz w:val="21"/>
              </w:rPr>
              <w:t>～</w:t>
            </w:r>
            <w:r>
              <w:rPr>
                <w:rFonts w:ascii="仿宋_GB2312" w:hAnsi="仿宋_GB2312" w:cs="仿宋_GB2312" w:eastAsia="仿宋_GB2312"/>
                <w:sz w:val="21"/>
              </w:rPr>
              <w:t>70%；</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.3 电源：单相电源≥3</w:t>
            </w:r>
            <w:r>
              <w:rPr>
                <w:rFonts w:ascii="仿宋_GB2312" w:hAnsi="仿宋_GB2312" w:cs="仿宋_GB2312" w:eastAsia="仿宋_GB2312"/>
                <w:sz w:val="21"/>
              </w:rPr>
              <w:t xml:space="preserve"> </w:t>
            </w:r>
            <w:r>
              <w:rPr>
                <w:rFonts w:ascii="仿宋_GB2312" w:hAnsi="仿宋_GB2312" w:cs="仿宋_GB2312" w:eastAsia="仿宋_GB2312"/>
                <w:sz w:val="21"/>
              </w:rPr>
              <w:t>KVA，插座额定电流≥16安培，电源波动&lt;5%。</w:t>
            </w:r>
          </w:p>
          <w:p>
            <w:pPr>
              <w:pStyle w:val="null3"/>
              <w:jc w:val="left"/>
            </w:pPr>
            <w:r>
              <w:rPr>
                <w:rFonts w:ascii="仿宋_GB2312" w:hAnsi="仿宋_GB2312" w:cs="仿宋_GB2312" w:eastAsia="仿宋_GB2312"/>
                <w:sz w:val="21"/>
                <w:b/>
              </w:rPr>
              <w:t>2、技术参数</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.1 射频发射部分1套</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.1.1 要求：各通道为全宽带射频发射通道，谱仪可扩充升级到3个通道，并具有观察及去偶功能；</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.1.2 频率分辨率：≤0.01 Hz；</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.1.3 相位分辨率：≤0.006度；</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.1.4 频率稳定度：≤1.0</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vertAlign w:val="superscript"/>
              </w:rPr>
              <w:t>-11</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.1.5 脉冲发射功率：质子≥100</w:t>
            </w:r>
            <w:r>
              <w:rPr>
                <w:rFonts w:ascii="仿宋_GB2312" w:hAnsi="仿宋_GB2312" w:cs="仿宋_GB2312" w:eastAsia="仿宋_GB2312"/>
                <w:sz w:val="21"/>
              </w:rPr>
              <w:t xml:space="preserve"> </w:t>
            </w:r>
            <w:r>
              <w:rPr>
                <w:rFonts w:ascii="仿宋_GB2312" w:hAnsi="仿宋_GB2312" w:cs="仿宋_GB2312" w:eastAsia="仿宋_GB2312"/>
                <w:sz w:val="21"/>
              </w:rPr>
              <w:t>W，多核≥330</w:t>
            </w:r>
            <w:r>
              <w:rPr>
                <w:rFonts w:ascii="仿宋_GB2312" w:hAnsi="仿宋_GB2312" w:cs="仿宋_GB2312" w:eastAsia="仿宋_GB2312"/>
                <w:sz w:val="21"/>
              </w:rPr>
              <w:t xml:space="preserve"> </w:t>
            </w:r>
            <w:r>
              <w:rPr>
                <w:rFonts w:ascii="仿宋_GB2312" w:hAnsi="仿宋_GB2312" w:cs="仿宋_GB2312" w:eastAsia="仿宋_GB2312"/>
                <w:sz w:val="21"/>
              </w:rPr>
              <w:t>W；</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2.1.6</w:t>
            </w:r>
            <w:r>
              <w:rPr>
                <w:rFonts w:ascii="仿宋_GB2312" w:hAnsi="仿宋_GB2312" w:cs="仿宋_GB2312" w:eastAsia="仿宋_GB2312"/>
                <w:sz w:val="21"/>
              </w:rPr>
              <w:t xml:space="preserve"> </w:t>
            </w:r>
            <w:r>
              <w:rPr>
                <w:rFonts w:ascii="仿宋_GB2312" w:hAnsi="仿宋_GB2312" w:cs="仿宋_GB2312" w:eastAsia="仿宋_GB2312"/>
                <w:sz w:val="21"/>
              </w:rPr>
              <w:t>高中频频率：</w:t>
            </w:r>
            <w:r>
              <w:rPr>
                <w:rFonts w:ascii="仿宋_GB2312" w:hAnsi="仿宋_GB2312" w:cs="仿宋_GB2312" w:eastAsia="仿宋_GB2312"/>
                <w:sz w:val="21"/>
              </w:rPr>
              <w:t>≤877.5</w:t>
            </w:r>
            <w:r>
              <w:rPr>
                <w:rFonts w:ascii="仿宋_GB2312" w:hAnsi="仿宋_GB2312" w:cs="仿宋_GB2312" w:eastAsia="仿宋_GB2312"/>
                <w:sz w:val="21"/>
              </w:rPr>
              <w:t xml:space="preserve"> </w:t>
            </w:r>
            <w:r>
              <w:rPr>
                <w:rFonts w:ascii="仿宋_GB2312" w:hAnsi="仿宋_GB2312" w:cs="仿宋_GB2312" w:eastAsia="仿宋_GB2312"/>
                <w:sz w:val="21"/>
              </w:rPr>
              <w:t>MHz</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.2 射频接收系统</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.2.</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数字分辨率：</w:t>
            </w:r>
            <w:r>
              <w:rPr>
                <w:rFonts w:ascii="仿宋_GB2312" w:hAnsi="仿宋_GB2312" w:cs="仿宋_GB2312" w:eastAsia="仿宋_GB2312"/>
                <w:sz w:val="21"/>
              </w:rPr>
              <w:t>≥14</w:t>
            </w:r>
            <w:r>
              <w:rPr>
                <w:rFonts w:ascii="仿宋_GB2312" w:hAnsi="仿宋_GB2312" w:cs="仿宋_GB2312" w:eastAsia="仿宋_GB2312"/>
                <w:sz w:val="21"/>
              </w:rPr>
              <w:t xml:space="preserve"> </w:t>
            </w:r>
            <w:r>
              <w:rPr>
                <w:rFonts w:ascii="仿宋_GB2312" w:hAnsi="仿宋_GB2312" w:cs="仿宋_GB2312" w:eastAsia="仿宋_GB2312"/>
                <w:sz w:val="21"/>
              </w:rPr>
              <w:t>bit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.2.</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采样谱宽：</w:t>
            </w:r>
            <w:r>
              <w:rPr>
                <w:rFonts w:ascii="仿宋_GB2312" w:hAnsi="仿宋_GB2312" w:cs="仿宋_GB2312" w:eastAsia="仿宋_GB2312"/>
                <w:sz w:val="21"/>
              </w:rPr>
              <w:t>≥</w:t>
            </w:r>
            <w:r>
              <w:rPr>
                <w:rFonts w:ascii="仿宋_GB2312" w:hAnsi="仿宋_GB2312" w:cs="仿宋_GB2312" w:eastAsia="仿宋_GB2312"/>
                <w:sz w:val="21"/>
              </w:rPr>
              <w:t xml:space="preserve">2 </w:t>
            </w:r>
            <w:r>
              <w:rPr>
                <w:rFonts w:ascii="仿宋_GB2312" w:hAnsi="仿宋_GB2312" w:cs="仿宋_GB2312" w:eastAsia="仿宋_GB2312"/>
                <w:sz w:val="21"/>
              </w:rPr>
              <w:t>MHz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.3 变温控制系统</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变温范围：</w:t>
            </w: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0℃，精度±0.1℃</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.4 Z脉冲梯度场</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梯度场强度：</w:t>
            </w:r>
            <w:r>
              <w:rPr>
                <w:rFonts w:ascii="仿宋_GB2312" w:hAnsi="仿宋_GB2312" w:cs="仿宋_GB2312" w:eastAsia="仿宋_GB2312"/>
                <w:sz w:val="21"/>
              </w:rPr>
              <w:t>≥50</w:t>
            </w:r>
            <w:r>
              <w:rPr>
                <w:rFonts w:ascii="仿宋_GB2312" w:hAnsi="仿宋_GB2312" w:cs="仿宋_GB2312" w:eastAsia="仿宋_GB2312"/>
                <w:sz w:val="21"/>
              </w:rPr>
              <w:t xml:space="preserve"> </w:t>
            </w:r>
            <w:r>
              <w:rPr>
                <w:rFonts w:ascii="仿宋_GB2312" w:hAnsi="仿宋_GB2312" w:cs="仿宋_GB2312" w:eastAsia="仿宋_GB2312"/>
                <w:sz w:val="21"/>
              </w:rPr>
              <w:t>G/cm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梯度场功率放大器</w:t>
            </w:r>
            <w:r>
              <w:rPr>
                <w:rFonts w:ascii="仿宋_GB2312" w:hAnsi="仿宋_GB2312" w:cs="仿宋_GB2312" w:eastAsia="仿宋_GB2312"/>
                <w:sz w:val="21"/>
              </w:rPr>
              <w:t>输出电流</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.5 探头</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.5.1 液体探头</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.5.1.1 检测核：</w:t>
            </w:r>
            <w:r>
              <w:rPr>
                <w:rFonts w:ascii="仿宋_GB2312" w:hAnsi="仿宋_GB2312" w:cs="仿宋_GB2312" w:eastAsia="仿宋_GB2312"/>
                <w:sz w:val="21"/>
                <w:vertAlign w:val="superscript"/>
              </w:rPr>
              <w:t>1</w:t>
            </w:r>
            <w:r>
              <w:rPr>
                <w:rFonts w:ascii="仿宋_GB2312" w:hAnsi="仿宋_GB2312" w:cs="仿宋_GB2312" w:eastAsia="仿宋_GB2312"/>
                <w:sz w:val="21"/>
              </w:rPr>
              <w:t>H，</w:t>
            </w:r>
            <w:r>
              <w:rPr>
                <w:rFonts w:ascii="仿宋_GB2312" w:hAnsi="仿宋_GB2312" w:cs="仿宋_GB2312" w:eastAsia="仿宋_GB2312"/>
                <w:sz w:val="21"/>
                <w:vertAlign w:val="superscript"/>
              </w:rPr>
              <w:t>13</w:t>
            </w:r>
            <w:r>
              <w:rPr>
                <w:rFonts w:ascii="仿宋_GB2312" w:hAnsi="仿宋_GB2312" w:cs="仿宋_GB2312" w:eastAsia="仿宋_GB2312"/>
                <w:sz w:val="21"/>
              </w:rPr>
              <w:t>C</w:t>
            </w:r>
            <w:r>
              <w:rPr>
                <w:rFonts w:ascii="仿宋_GB2312" w:hAnsi="仿宋_GB2312" w:cs="仿宋_GB2312" w:eastAsia="仿宋_GB2312"/>
                <w:sz w:val="21"/>
              </w:rPr>
              <w:t>，</w:t>
            </w:r>
            <w:r>
              <w:rPr>
                <w:rFonts w:ascii="仿宋_GB2312" w:hAnsi="仿宋_GB2312" w:cs="仿宋_GB2312" w:eastAsia="仿宋_GB2312"/>
                <w:sz w:val="21"/>
                <w:vertAlign w:val="superscript"/>
              </w:rPr>
              <w:t>15</w:t>
            </w:r>
            <w:r>
              <w:rPr>
                <w:rFonts w:ascii="仿宋_GB2312" w:hAnsi="仿宋_GB2312" w:cs="仿宋_GB2312" w:eastAsia="仿宋_GB2312"/>
                <w:sz w:val="21"/>
              </w:rPr>
              <w:t>N，</w:t>
            </w:r>
            <w:r>
              <w:rPr>
                <w:rFonts w:ascii="仿宋_GB2312" w:hAnsi="仿宋_GB2312" w:cs="仿宋_GB2312" w:eastAsia="仿宋_GB2312"/>
                <w:sz w:val="21"/>
                <w:vertAlign w:val="superscript"/>
              </w:rPr>
              <w:t>31</w:t>
            </w:r>
            <w:r>
              <w:rPr>
                <w:rFonts w:ascii="仿宋_GB2312" w:hAnsi="仿宋_GB2312" w:cs="仿宋_GB2312" w:eastAsia="仿宋_GB2312"/>
                <w:sz w:val="21"/>
              </w:rPr>
              <w:t>P，</w:t>
            </w:r>
            <w:r>
              <w:rPr>
                <w:rFonts w:ascii="仿宋_GB2312" w:hAnsi="仿宋_GB2312" w:cs="仿宋_GB2312" w:eastAsia="仿宋_GB2312"/>
                <w:sz w:val="21"/>
                <w:vertAlign w:val="superscript"/>
              </w:rPr>
              <w:t>19</w:t>
            </w:r>
            <w:r>
              <w:rPr>
                <w:rFonts w:ascii="仿宋_GB2312" w:hAnsi="仿宋_GB2312" w:cs="仿宋_GB2312" w:eastAsia="仿宋_GB2312"/>
                <w:sz w:val="21"/>
              </w:rPr>
              <w:t>F等</w:t>
            </w:r>
            <w:r>
              <w:rPr>
                <w:rFonts w:ascii="仿宋_GB2312" w:hAnsi="仿宋_GB2312" w:cs="仿宋_GB2312" w:eastAsia="仿宋_GB2312"/>
                <w:sz w:val="21"/>
              </w:rPr>
              <w:t>核</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.5.1.2 灵敏度：</w:t>
            </w:r>
            <w:r>
              <w:rPr>
                <w:rFonts w:ascii="仿宋_GB2312" w:hAnsi="仿宋_GB2312" w:cs="仿宋_GB2312" w:eastAsia="仿宋_GB2312"/>
                <w:sz w:val="21"/>
                <w:vertAlign w:val="superscript"/>
              </w:rPr>
              <w:t>1</w:t>
            </w:r>
            <w:r>
              <w:rPr>
                <w:rFonts w:ascii="仿宋_GB2312" w:hAnsi="仿宋_GB2312" w:cs="仿宋_GB2312" w:eastAsia="仿宋_GB2312"/>
                <w:sz w:val="21"/>
              </w:rPr>
              <w:t>H≥</w:t>
            </w:r>
            <w:r>
              <w:rPr>
                <w:rFonts w:ascii="仿宋_GB2312" w:hAnsi="仿宋_GB2312" w:cs="仿宋_GB2312" w:eastAsia="仿宋_GB2312"/>
                <w:sz w:val="21"/>
              </w:rPr>
              <w:t>36</w:t>
            </w:r>
            <w:r>
              <w:rPr>
                <w:rFonts w:ascii="仿宋_GB2312" w:hAnsi="仿宋_GB2312" w:cs="仿宋_GB2312" w:eastAsia="仿宋_GB2312"/>
                <w:sz w:val="21"/>
              </w:rPr>
              <w:t>0</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0.1% EB</w:t>
            </w:r>
            <w:r>
              <w:rPr>
                <w:rFonts w:ascii="仿宋_GB2312" w:hAnsi="仿宋_GB2312" w:cs="仿宋_GB2312" w:eastAsia="仿宋_GB2312"/>
                <w:sz w:val="21"/>
              </w:rPr>
              <w:t>)</w:t>
            </w:r>
          </w:p>
          <w:p>
            <w:pPr>
              <w:pStyle w:val="null3"/>
              <w:ind w:left="1680" w:firstLine="420"/>
              <w:jc w:val="both"/>
            </w:pPr>
            <w:r>
              <w:rPr>
                <w:rFonts w:ascii="仿宋_GB2312" w:hAnsi="仿宋_GB2312" w:cs="仿宋_GB2312" w:eastAsia="仿宋_GB2312"/>
                <w:sz w:val="21"/>
                <w:vertAlign w:val="superscript"/>
              </w:rPr>
              <w:t>13</w:t>
            </w:r>
            <w:r>
              <w:rPr>
                <w:rFonts w:ascii="仿宋_GB2312" w:hAnsi="仿宋_GB2312" w:cs="仿宋_GB2312" w:eastAsia="仿宋_GB2312"/>
                <w:sz w:val="21"/>
              </w:rPr>
              <w:t>C≥</w:t>
            </w:r>
            <w:r>
              <w:rPr>
                <w:rFonts w:ascii="仿宋_GB2312" w:hAnsi="仿宋_GB2312" w:cs="仿宋_GB2312" w:eastAsia="仿宋_GB2312"/>
                <w:sz w:val="21"/>
              </w:rPr>
              <w:t>20</w:t>
            </w:r>
            <w:r>
              <w:rPr>
                <w:rFonts w:ascii="仿宋_GB2312" w:hAnsi="仿宋_GB2312" w:cs="仿宋_GB2312" w:eastAsia="仿宋_GB2312"/>
                <w:sz w:val="21"/>
              </w:rPr>
              <w:t>0</w:t>
            </w:r>
            <w:r>
              <w:rPr>
                <w:rFonts w:ascii="仿宋_GB2312" w:hAnsi="仿宋_GB2312" w:cs="仿宋_GB2312" w:eastAsia="仿宋_GB2312"/>
                <w:sz w:val="21"/>
              </w:rPr>
              <w:t xml:space="preserve"> </w:t>
            </w:r>
            <w:r>
              <w:rPr>
                <w:rFonts w:ascii="仿宋_GB2312" w:hAnsi="仿宋_GB2312" w:cs="仿宋_GB2312" w:eastAsia="仿宋_GB2312"/>
                <w:sz w:val="21"/>
              </w:rPr>
              <w:t>(ASTM)</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vertAlign w:val="superscript"/>
              </w:rPr>
              <w:t>31</w:t>
            </w:r>
            <w:r>
              <w:rPr>
                <w:rFonts w:ascii="仿宋_GB2312" w:hAnsi="仿宋_GB2312" w:cs="仿宋_GB2312" w:eastAsia="仿宋_GB2312"/>
                <w:sz w:val="21"/>
              </w:rPr>
              <w:t>P≥1</w:t>
            </w:r>
            <w:r>
              <w:rPr>
                <w:rFonts w:ascii="仿宋_GB2312" w:hAnsi="仿宋_GB2312" w:cs="仿宋_GB2312" w:eastAsia="仿宋_GB2312"/>
                <w:sz w:val="21"/>
              </w:rPr>
              <w:t>3</w:t>
            </w:r>
            <w:r>
              <w:rPr>
                <w:rFonts w:ascii="仿宋_GB2312" w:hAnsi="仿宋_GB2312" w:cs="仿宋_GB2312" w:eastAsia="仿宋_GB2312"/>
                <w:sz w:val="21"/>
              </w:rPr>
              <w:t>0</w:t>
            </w:r>
            <w:r>
              <w:rPr>
                <w:rFonts w:ascii="仿宋_GB2312" w:hAnsi="仿宋_GB2312" w:cs="仿宋_GB2312" w:eastAsia="仿宋_GB2312"/>
                <w:sz w:val="21"/>
              </w:rPr>
              <w:t xml:space="preserve"> </w:t>
            </w:r>
            <w:r>
              <w:rPr>
                <w:rFonts w:ascii="仿宋_GB2312" w:hAnsi="仿宋_GB2312" w:cs="仿宋_GB2312" w:eastAsia="仿宋_GB2312"/>
                <w:sz w:val="21"/>
              </w:rPr>
              <w:t>(0.0485% TPP)</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vertAlign w:val="superscript"/>
              </w:rPr>
              <w:t>15</w:t>
            </w:r>
            <w:r>
              <w:rPr>
                <w:rFonts w:ascii="仿宋_GB2312" w:hAnsi="仿宋_GB2312" w:cs="仿宋_GB2312" w:eastAsia="仿宋_GB2312"/>
                <w:sz w:val="21"/>
              </w:rPr>
              <w:t>N≥2</w:t>
            </w:r>
            <w:r>
              <w:rPr>
                <w:rFonts w:ascii="仿宋_GB2312" w:hAnsi="仿宋_GB2312" w:cs="仿宋_GB2312" w:eastAsia="仿宋_GB2312"/>
                <w:sz w:val="21"/>
              </w:rPr>
              <w:t xml:space="preserve">5 </w:t>
            </w:r>
            <w:r>
              <w:rPr>
                <w:rFonts w:ascii="仿宋_GB2312" w:hAnsi="仿宋_GB2312" w:cs="仿宋_GB2312" w:eastAsia="仿宋_GB2312"/>
                <w:sz w:val="21"/>
              </w:rPr>
              <w:t>(90% Formamide)</w:t>
            </w:r>
          </w:p>
          <w:p>
            <w:pPr>
              <w:pStyle w:val="null3"/>
              <w:ind w:left="1680" w:firstLine="420"/>
              <w:jc w:val="both"/>
            </w:pPr>
            <w:r>
              <w:rPr>
                <w:rFonts w:ascii="仿宋_GB2312" w:hAnsi="仿宋_GB2312" w:cs="仿宋_GB2312" w:eastAsia="仿宋_GB2312"/>
                <w:sz w:val="21"/>
                <w:vertAlign w:val="superscript"/>
              </w:rPr>
              <w:t>1</w:t>
            </w:r>
            <w:r>
              <w:rPr>
                <w:rFonts w:ascii="仿宋_GB2312" w:hAnsi="仿宋_GB2312" w:cs="仿宋_GB2312" w:eastAsia="仿宋_GB2312"/>
                <w:sz w:val="21"/>
                <w:vertAlign w:val="superscript"/>
              </w:rPr>
              <w:t>9</w:t>
            </w:r>
            <w:r>
              <w:rPr>
                <w:rFonts w:ascii="仿宋_GB2312" w:hAnsi="仿宋_GB2312" w:cs="仿宋_GB2312" w:eastAsia="仿宋_GB2312"/>
                <w:sz w:val="21"/>
              </w:rPr>
              <w:t>F</w:t>
            </w:r>
            <w:r>
              <w:rPr>
                <w:rFonts w:ascii="仿宋_GB2312" w:hAnsi="仿宋_GB2312" w:cs="仿宋_GB2312" w:eastAsia="仿宋_GB2312"/>
                <w:sz w:val="21"/>
              </w:rPr>
              <w:t>≥</w:t>
            </w:r>
            <w:r>
              <w:rPr>
                <w:rFonts w:ascii="仿宋_GB2312" w:hAnsi="仿宋_GB2312" w:cs="仿宋_GB2312" w:eastAsia="仿宋_GB2312"/>
                <w:sz w:val="21"/>
              </w:rPr>
              <w:t>43</w:t>
            </w:r>
            <w:r>
              <w:rPr>
                <w:rFonts w:ascii="仿宋_GB2312" w:hAnsi="仿宋_GB2312" w:cs="仿宋_GB2312" w:eastAsia="仿宋_GB2312"/>
                <w:sz w:val="21"/>
              </w:rPr>
              <w:t>0</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TFT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.5.1.3 90°脉宽</w:t>
            </w:r>
            <w:r>
              <w:rPr>
                <w:rFonts w:ascii="仿宋_GB2312" w:hAnsi="仿宋_GB2312" w:cs="仿宋_GB2312" w:eastAsia="仿宋_GB2312"/>
                <w:sz w:val="21"/>
              </w:rPr>
              <w:t>：</w:t>
            </w:r>
            <w:r>
              <w:rPr>
                <w:rFonts w:ascii="仿宋_GB2312" w:hAnsi="仿宋_GB2312" w:cs="仿宋_GB2312" w:eastAsia="仿宋_GB2312"/>
                <w:sz w:val="21"/>
                <w:vertAlign w:val="superscript"/>
              </w:rPr>
              <w:t>1</w:t>
            </w:r>
            <w:r>
              <w:rPr>
                <w:rFonts w:ascii="仿宋_GB2312" w:hAnsi="仿宋_GB2312" w:cs="仿宋_GB2312" w:eastAsia="仿宋_GB2312"/>
                <w:sz w:val="21"/>
              </w:rPr>
              <w:t>H≤</w:t>
            </w:r>
            <w:r>
              <w:rPr>
                <w:rFonts w:ascii="仿宋_GB2312" w:hAnsi="仿宋_GB2312" w:cs="仿宋_GB2312" w:eastAsia="仿宋_GB2312"/>
                <w:sz w:val="21"/>
              </w:rPr>
              <w:t xml:space="preserve">11 </w:t>
            </w:r>
            <w:r>
              <w:rPr>
                <w:rFonts w:ascii="仿宋_GB2312" w:hAnsi="仿宋_GB2312" w:cs="仿宋_GB2312" w:eastAsia="仿宋_GB2312"/>
                <w:sz w:val="21"/>
              </w:rPr>
              <w:t>us</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0.1% EB</w:t>
            </w:r>
            <w:r>
              <w:rPr>
                <w:rFonts w:ascii="仿宋_GB2312" w:hAnsi="仿宋_GB2312" w:cs="仿宋_GB2312" w:eastAsia="仿宋_GB2312"/>
                <w:sz w:val="21"/>
              </w:rPr>
              <w:t>)</w:t>
            </w:r>
          </w:p>
          <w:p>
            <w:pPr>
              <w:pStyle w:val="null3"/>
              <w:ind w:left="1680" w:firstLine="420"/>
              <w:jc w:val="both"/>
            </w:pPr>
            <w:r>
              <w:rPr>
                <w:rFonts w:ascii="仿宋_GB2312" w:hAnsi="仿宋_GB2312" w:cs="仿宋_GB2312" w:eastAsia="仿宋_GB2312"/>
                <w:sz w:val="21"/>
                <w:vertAlign w:val="superscript"/>
              </w:rPr>
              <w:t>13</w:t>
            </w:r>
            <w:r>
              <w:rPr>
                <w:rFonts w:ascii="仿宋_GB2312" w:hAnsi="仿宋_GB2312" w:cs="仿宋_GB2312" w:eastAsia="仿宋_GB2312"/>
                <w:sz w:val="21"/>
              </w:rPr>
              <w:t>C≤</w:t>
            </w:r>
            <w:r>
              <w:rPr>
                <w:rFonts w:ascii="仿宋_GB2312" w:hAnsi="仿宋_GB2312" w:cs="仿宋_GB2312" w:eastAsia="仿宋_GB2312"/>
                <w:sz w:val="21"/>
              </w:rPr>
              <w:t xml:space="preserve">11 </w:t>
            </w:r>
            <w:r>
              <w:rPr>
                <w:rFonts w:ascii="仿宋_GB2312" w:hAnsi="仿宋_GB2312" w:cs="仿宋_GB2312" w:eastAsia="仿宋_GB2312"/>
                <w:sz w:val="21"/>
              </w:rPr>
              <w:t>us</w:t>
            </w:r>
            <w:r>
              <w:rPr>
                <w:rFonts w:ascii="仿宋_GB2312" w:hAnsi="仿宋_GB2312" w:cs="仿宋_GB2312" w:eastAsia="仿宋_GB2312"/>
                <w:sz w:val="21"/>
              </w:rPr>
              <w:t xml:space="preserve"> </w:t>
            </w:r>
            <w:r>
              <w:rPr>
                <w:rFonts w:ascii="仿宋_GB2312" w:hAnsi="仿宋_GB2312" w:cs="仿宋_GB2312" w:eastAsia="仿宋_GB2312"/>
                <w:sz w:val="21"/>
              </w:rPr>
              <w:t>(ASTM)</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vertAlign w:val="superscript"/>
              </w:rPr>
              <w:t>31</w:t>
            </w:r>
            <w:r>
              <w:rPr>
                <w:rFonts w:ascii="仿宋_GB2312" w:hAnsi="仿宋_GB2312" w:cs="仿宋_GB2312" w:eastAsia="仿宋_GB2312"/>
                <w:sz w:val="21"/>
              </w:rPr>
              <w:t>P≤1</w:t>
            </w:r>
            <w:r>
              <w:rPr>
                <w:rFonts w:ascii="仿宋_GB2312" w:hAnsi="仿宋_GB2312" w:cs="仿宋_GB2312" w:eastAsia="仿宋_GB2312"/>
                <w:sz w:val="21"/>
              </w:rPr>
              <w:t xml:space="preserve">1 </w:t>
            </w:r>
            <w:r>
              <w:rPr>
                <w:rFonts w:ascii="仿宋_GB2312" w:hAnsi="仿宋_GB2312" w:cs="仿宋_GB2312" w:eastAsia="仿宋_GB2312"/>
                <w:sz w:val="21"/>
              </w:rPr>
              <w:t>us</w:t>
            </w:r>
            <w:r>
              <w:rPr>
                <w:rFonts w:ascii="仿宋_GB2312" w:hAnsi="仿宋_GB2312" w:cs="仿宋_GB2312" w:eastAsia="仿宋_GB2312"/>
                <w:sz w:val="21"/>
              </w:rPr>
              <w:t xml:space="preserve"> </w:t>
            </w:r>
            <w:r>
              <w:rPr>
                <w:rFonts w:ascii="仿宋_GB2312" w:hAnsi="仿宋_GB2312" w:cs="仿宋_GB2312" w:eastAsia="仿宋_GB2312"/>
                <w:sz w:val="21"/>
              </w:rPr>
              <w:t>(0.0485% TPP)</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vertAlign w:val="superscript"/>
              </w:rPr>
              <w:t>15</w:t>
            </w:r>
            <w:r>
              <w:rPr>
                <w:rFonts w:ascii="仿宋_GB2312" w:hAnsi="仿宋_GB2312" w:cs="仿宋_GB2312" w:eastAsia="仿宋_GB2312"/>
                <w:sz w:val="21"/>
              </w:rPr>
              <w:t>N≤</w:t>
            </w:r>
            <w:r>
              <w:rPr>
                <w:rFonts w:ascii="仿宋_GB2312" w:hAnsi="仿宋_GB2312" w:cs="仿宋_GB2312" w:eastAsia="仿宋_GB2312"/>
                <w:sz w:val="21"/>
              </w:rPr>
              <w:t xml:space="preserve">22 </w:t>
            </w:r>
            <w:r>
              <w:rPr>
                <w:rFonts w:ascii="仿宋_GB2312" w:hAnsi="仿宋_GB2312" w:cs="仿宋_GB2312" w:eastAsia="仿宋_GB2312"/>
                <w:sz w:val="21"/>
              </w:rPr>
              <w:t>us</w:t>
            </w:r>
            <w:r>
              <w:rPr>
                <w:rFonts w:ascii="仿宋_GB2312" w:hAnsi="仿宋_GB2312" w:cs="仿宋_GB2312" w:eastAsia="仿宋_GB2312"/>
                <w:sz w:val="21"/>
              </w:rPr>
              <w:t xml:space="preserve"> </w:t>
            </w:r>
            <w:r>
              <w:rPr>
                <w:rFonts w:ascii="仿宋_GB2312" w:hAnsi="仿宋_GB2312" w:cs="仿宋_GB2312" w:eastAsia="仿宋_GB2312"/>
                <w:sz w:val="21"/>
              </w:rPr>
              <w:t>(90% Formamide)</w:t>
            </w:r>
          </w:p>
          <w:p>
            <w:pPr>
              <w:pStyle w:val="null3"/>
              <w:ind w:left="1680" w:firstLine="420"/>
              <w:jc w:val="both"/>
            </w:pPr>
            <w:r>
              <w:rPr>
                <w:rFonts w:ascii="仿宋_GB2312" w:hAnsi="仿宋_GB2312" w:cs="仿宋_GB2312" w:eastAsia="仿宋_GB2312"/>
                <w:sz w:val="21"/>
                <w:vertAlign w:val="superscript"/>
              </w:rPr>
              <w:t>1</w:t>
            </w:r>
            <w:r>
              <w:rPr>
                <w:rFonts w:ascii="仿宋_GB2312" w:hAnsi="仿宋_GB2312" w:cs="仿宋_GB2312" w:eastAsia="仿宋_GB2312"/>
                <w:sz w:val="21"/>
                <w:vertAlign w:val="superscript"/>
              </w:rPr>
              <w:t>9</w:t>
            </w:r>
            <w:r>
              <w:rPr>
                <w:rFonts w:ascii="仿宋_GB2312" w:hAnsi="仿宋_GB2312" w:cs="仿宋_GB2312" w:eastAsia="仿宋_GB2312"/>
                <w:sz w:val="21"/>
              </w:rPr>
              <w:t>F</w:t>
            </w:r>
            <w:r>
              <w:rPr>
                <w:rFonts w:ascii="仿宋_GB2312" w:hAnsi="仿宋_GB2312" w:cs="仿宋_GB2312" w:eastAsia="仿宋_GB2312"/>
                <w:sz w:val="21"/>
              </w:rPr>
              <w:t>≤</w:t>
            </w:r>
            <w:r>
              <w:rPr>
                <w:rFonts w:ascii="仿宋_GB2312" w:hAnsi="仿宋_GB2312" w:cs="仿宋_GB2312" w:eastAsia="仿宋_GB2312"/>
                <w:sz w:val="21"/>
              </w:rPr>
              <w:t xml:space="preserve">11 us </w:t>
            </w:r>
            <w:r>
              <w:rPr>
                <w:rFonts w:ascii="仿宋_GB2312" w:hAnsi="仿宋_GB2312" w:cs="仿宋_GB2312" w:eastAsia="仿宋_GB2312"/>
                <w:sz w:val="21"/>
              </w:rPr>
              <w:t>(</w:t>
            </w:r>
            <w:r>
              <w:rPr>
                <w:rFonts w:ascii="仿宋_GB2312" w:hAnsi="仿宋_GB2312" w:cs="仿宋_GB2312" w:eastAsia="仿宋_GB2312"/>
                <w:sz w:val="21"/>
              </w:rPr>
              <w:t>TFT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2.5.1.4 </w:t>
            </w:r>
            <w:r>
              <w:rPr>
                <w:rFonts w:ascii="仿宋_GB2312" w:hAnsi="仿宋_GB2312" w:cs="仿宋_GB2312" w:eastAsia="仿宋_GB2312"/>
                <w:sz w:val="21"/>
                <w:vertAlign w:val="superscript"/>
              </w:rPr>
              <w:t>1</w:t>
            </w:r>
            <w:r>
              <w:rPr>
                <w:rFonts w:ascii="仿宋_GB2312" w:hAnsi="仿宋_GB2312" w:cs="仿宋_GB2312" w:eastAsia="仿宋_GB2312"/>
                <w:sz w:val="21"/>
              </w:rPr>
              <w:t>H</w:t>
            </w:r>
            <w:r>
              <w:rPr>
                <w:rFonts w:ascii="仿宋_GB2312" w:hAnsi="仿宋_GB2312" w:cs="仿宋_GB2312" w:eastAsia="仿宋_GB2312"/>
                <w:sz w:val="21"/>
              </w:rPr>
              <w:t>线型</w:t>
            </w:r>
            <w:r>
              <w:rPr>
                <w:rFonts w:ascii="仿宋_GB2312" w:hAnsi="仿宋_GB2312" w:cs="仿宋_GB2312" w:eastAsia="仿宋_GB2312"/>
                <w:sz w:val="21"/>
              </w:rPr>
              <w:t>不旋转</w:t>
            </w:r>
            <w:r>
              <w:rPr>
                <w:rFonts w:ascii="仿宋_GB2312" w:hAnsi="仿宋_GB2312" w:cs="仿宋_GB2312" w:eastAsia="仿宋_GB2312"/>
                <w:sz w:val="21"/>
              </w:rPr>
              <w:t>≤ 0.6/</w:t>
            </w:r>
            <w:r>
              <w:rPr>
                <w:rFonts w:ascii="仿宋_GB2312" w:hAnsi="仿宋_GB2312" w:cs="仿宋_GB2312" w:eastAsia="仿宋_GB2312"/>
                <w:sz w:val="21"/>
              </w:rPr>
              <w:t>6</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Hz (1% CHCl</w:t>
            </w:r>
            <w:r>
              <w:rPr>
                <w:rFonts w:ascii="仿宋_GB2312" w:hAnsi="仿宋_GB2312" w:cs="仿宋_GB2312" w:eastAsia="仿宋_GB2312"/>
                <w:sz w:val="21"/>
                <w:vertAlign w:val="subscript"/>
              </w:rPr>
              <w:t>3</w:t>
            </w:r>
            <w:r>
              <w:rPr>
                <w:rFonts w:ascii="仿宋_GB2312" w:hAnsi="仿宋_GB2312" w:cs="仿宋_GB2312" w:eastAsia="仿宋_GB2312"/>
                <w:sz w:val="21"/>
              </w:rPr>
              <w:t xml:space="preserve"> </w:t>
            </w:r>
            <w:r>
              <w:rPr>
                <w:rFonts w:ascii="仿宋_GB2312" w:hAnsi="仿宋_GB2312" w:cs="仿宋_GB2312" w:eastAsia="仿宋_GB2312"/>
                <w:sz w:val="21"/>
              </w:rPr>
              <w:t>in Acetone-D</w:t>
            </w:r>
            <w:r>
              <w:rPr>
                <w:rFonts w:ascii="仿宋_GB2312" w:hAnsi="仿宋_GB2312" w:cs="仿宋_GB2312" w:eastAsia="仿宋_GB2312"/>
                <w:sz w:val="21"/>
                <w:vertAlign w:val="subscript"/>
              </w:rPr>
              <w:t>6</w:t>
            </w:r>
            <w:r>
              <w:rPr>
                <w:rFonts w:ascii="仿宋_GB2312" w:hAnsi="仿宋_GB2312" w:cs="仿宋_GB2312" w:eastAsia="仿宋_GB2312"/>
                <w:sz w:val="21"/>
              </w:rPr>
              <w:t xml:space="preserve"> </w:t>
            </w:r>
            <w:r>
              <w:rPr>
                <w:rFonts w:ascii="仿宋_GB2312" w:hAnsi="仿宋_GB2312" w:cs="仿宋_GB2312" w:eastAsia="仿宋_GB2312"/>
                <w:sz w:val="21"/>
              </w:rPr>
              <w:t>sample)</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.5.1.</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变温范围：</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变温范围可扩展）</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.5.1.</w:t>
            </w:r>
            <w:r>
              <w:rPr>
                <w:rFonts w:ascii="仿宋_GB2312" w:hAnsi="仿宋_GB2312" w:cs="仿宋_GB2312" w:eastAsia="仿宋_GB2312"/>
                <w:sz w:val="21"/>
              </w:rPr>
              <w:t>6</w:t>
            </w:r>
            <w:r>
              <w:rPr>
                <w:rFonts w:ascii="仿宋_GB2312" w:hAnsi="仿宋_GB2312" w:cs="仿宋_GB2312" w:eastAsia="仿宋_GB2312"/>
                <w:sz w:val="21"/>
              </w:rPr>
              <w:t xml:space="preserve"> </w:t>
            </w:r>
            <w:r>
              <w:rPr>
                <w:rFonts w:ascii="仿宋_GB2312" w:hAnsi="仿宋_GB2312" w:cs="仿宋_GB2312" w:eastAsia="仿宋_GB2312"/>
                <w:sz w:val="21"/>
              </w:rPr>
              <w:t>Z-梯度场强度：≥50</w:t>
            </w:r>
            <w:r>
              <w:rPr>
                <w:rFonts w:ascii="仿宋_GB2312" w:hAnsi="仿宋_GB2312" w:cs="仿宋_GB2312" w:eastAsia="仿宋_GB2312"/>
                <w:sz w:val="21"/>
              </w:rPr>
              <w:t xml:space="preserve"> </w:t>
            </w:r>
            <w:r>
              <w:rPr>
                <w:rFonts w:ascii="仿宋_GB2312" w:hAnsi="仿宋_GB2312" w:cs="仿宋_GB2312" w:eastAsia="仿宋_GB2312"/>
                <w:sz w:val="21"/>
              </w:rPr>
              <w:t>G/cm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2.5.1.7 探头具有自动调谐功能。</w:t>
            </w:r>
          </w:p>
          <w:p>
            <w:pPr>
              <w:pStyle w:val="null3"/>
              <w:jc w:val="both"/>
            </w:pPr>
            <w:r>
              <w:rPr>
                <w:rFonts w:ascii="仿宋_GB2312" w:hAnsi="仿宋_GB2312" w:cs="仿宋_GB2312" w:eastAsia="仿宋_GB2312"/>
                <w:sz w:val="21"/>
              </w:rPr>
              <w:t>2.5.1.8 探头具有</w:t>
            </w:r>
            <w:r>
              <w:rPr>
                <w:rFonts w:ascii="仿宋_GB2312" w:hAnsi="仿宋_GB2312" w:cs="仿宋_GB2312" w:eastAsia="仿宋_GB2312"/>
                <w:sz w:val="21"/>
                <w:vertAlign w:val="superscript"/>
              </w:rPr>
              <w:t>19</w:t>
            </w:r>
            <w:r>
              <w:rPr>
                <w:rFonts w:ascii="仿宋_GB2312" w:hAnsi="仿宋_GB2312" w:cs="仿宋_GB2312" w:eastAsia="仿宋_GB2312"/>
                <w:sz w:val="21"/>
              </w:rPr>
              <w:t>F/</w:t>
            </w:r>
            <w:r>
              <w:rPr>
                <w:rFonts w:ascii="仿宋_GB2312" w:hAnsi="仿宋_GB2312" w:cs="仿宋_GB2312" w:eastAsia="仿宋_GB2312"/>
                <w:sz w:val="21"/>
                <w:vertAlign w:val="superscript"/>
              </w:rPr>
              <w:t>13</w:t>
            </w:r>
            <w:r>
              <w:rPr>
                <w:rFonts w:ascii="仿宋_GB2312" w:hAnsi="仿宋_GB2312" w:cs="仿宋_GB2312" w:eastAsia="仿宋_GB2312"/>
                <w:sz w:val="21"/>
              </w:rPr>
              <w:t>C相关实验的功能</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 xml:space="preserve">.6 </w:t>
            </w:r>
            <w:r>
              <w:rPr>
                <w:rFonts w:ascii="仿宋_GB2312" w:hAnsi="仿宋_GB2312" w:cs="仿宋_GB2312" w:eastAsia="仿宋_GB2312"/>
                <w:sz w:val="21"/>
              </w:rPr>
              <w:t>控制</w:t>
            </w:r>
            <w:r>
              <w:rPr>
                <w:rFonts w:ascii="仿宋_GB2312" w:hAnsi="仿宋_GB2312" w:cs="仿宋_GB2312" w:eastAsia="仿宋_GB2312"/>
                <w:sz w:val="21"/>
              </w:rPr>
              <w:t>及数据处理</w:t>
            </w:r>
            <w:r>
              <w:rPr>
                <w:rFonts w:ascii="仿宋_GB2312" w:hAnsi="仿宋_GB2312" w:cs="仿宋_GB2312" w:eastAsia="仿宋_GB2312"/>
                <w:sz w:val="21"/>
              </w:rPr>
              <w:t>软件</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.6.1 操作系统：Windows或Linux操作系统</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.6.2 NMR控制及处理软件包可终身使用，且负责软件包升级；</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.6.3 支持中英双语言；</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.6.</w:t>
            </w:r>
            <w:r>
              <w:rPr>
                <w:rFonts w:ascii="仿宋_GB2312" w:hAnsi="仿宋_GB2312" w:cs="仿宋_GB2312" w:eastAsia="仿宋_GB2312"/>
                <w:sz w:val="21"/>
              </w:rPr>
              <w:t>4</w:t>
            </w:r>
            <w:r>
              <w:rPr>
                <w:rFonts w:ascii="仿宋_GB2312" w:hAnsi="仿宋_GB2312" w:cs="仿宋_GB2312" w:eastAsia="仿宋_GB2312"/>
                <w:sz w:val="21"/>
              </w:rPr>
              <w:t>具备自动相位和自动基线校正功能；</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.6.</w:t>
            </w:r>
            <w:r>
              <w:rPr>
                <w:rFonts w:ascii="仿宋_GB2312" w:hAnsi="仿宋_GB2312" w:cs="仿宋_GB2312" w:eastAsia="仿宋_GB2312"/>
                <w:sz w:val="21"/>
              </w:rPr>
              <w:t>5</w:t>
            </w:r>
            <w:r>
              <w:rPr>
                <w:rFonts w:ascii="仿宋_GB2312" w:hAnsi="仿宋_GB2312" w:cs="仿宋_GB2312" w:eastAsia="仿宋_GB2312"/>
                <w:sz w:val="21"/>
              </w:rPr>
              <w:t>支持一维及多维核磁实验</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b/>
              </w:rPr>
              <w:t>3</w:t>
            </w:r>
            <w:r>
              <w:rPr>
                <w:rFonts w:ascii="仿宋_GB2312" w:hAnsi="仿宋_GB2312" w:cs="仿宋_GB2312" w:eastAsia="仿宋_GB2312"/>
                <w:sz w:val="21"/>
                <w:b/>
              </w:rPr>
              <w:t>、附件、零配件及消耗品</w:t>
            </w:r>
            <w:r>
              <w:rPr>
                <w:rFonts w:ascii="仿宋_GB2312" w:hAnsi="仿宋_GB2312" w:cs="仿宋_GB2312" w:eastAsia="仿宋_GB2312"/>
                <w:sz w:val="21"/>
                <w:b/>
              </w:rPr>
              <w:t>（</w:t>
            </w:r>
            <w:r>
              <w:rPr>
                <w:rFonts w:ascii="仿宋_GB2312" w:hAnsi="仿宋_GB2312" w:cs="仿宋_GB2312" w:eastAsia="仿宋_GB2312"/>
                <w:sz w:val="21"/>
                <w:b/>
              </w:rPr>
              <w:t>包括专用工具</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.1 24位自动进样器</w:t>
            </w:r>
            <w:r>
              <w:rPr>
                <w:rFonts w:ascii="仿宋_GB2312" w:hAnsi="仿宋_GB2312" w:cs="仿宋_GB2312" w:eastAsia="仿宋_GB2312"/>
                <w:sz w:val="21"/>
              </w:rPr>
              <w:t>，含</w:t>
            </w:r>
            <w:r>
              <w:rPr>
                <w:rFonts w:ascii="仿宋_GB2312" w:hAnsi="仿宋_GB2312" w:cs="仿宋_GB2312" w:eastAsia="仿宋_GB2312"/>
                <w:sz w:val="21"/>
              </w:rPr>
              <w:t>40个</w:t>
            </w:r>
            <w:r>
              <w:rPr>
                <w:rFonts w:ascii="仿宋_GB2312" w:hAnsi="仿宋_GB2312" w:cs="仿宋_GB2312" w:eastAsia="仿宋_GB2312"/>
                <w:sz w:val="21"/>
              </w:rPr>
              <w:t>转子</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3.2 提供5年用于核磁正常使用的液氦；</w:t>
            </w:r>
          </w:p>
          <w:p>
            <w:pPr>
              <w:pStyle w:val="null3"/>
              <w:jc w:val="left"/>
            </w:pPr>
            <w:r>
              <w:rPr>
                <w:rFonts w:ascii="仿宋_GB2312" w:hAnsi="仿宋_GB2312" w:cs="仿宋_GB2312" w:eastAsia="仿宋_GB2312"/>
                <w:sz w:val="21"/>
              </w:rPr>
              <w:t xml:space="preserve">3.3  </w:t>
            </w:r>
            <w:r>
              <w:rPr>
                <w:rFonts w:ascii="仿宋_GB2312" w:hAnsi="仿宋_GB2312" w:cs="仿宋_GB2312" w:eastAsia="仿宋_GB2312"/>
                <w:sz w:val="21"/>
              </w:rPr>
              <w:t>5mm</w:t>
            </w:r>
            <w:r>
              <w:rPr>
                <w:rFonts w:ascii="仿宋_GB2312" w:hAnsi="仿宋_GB2312" w:cs="仿宋_GB2312" w:eastAsia="仿宋_GB2312"/>
                <w:sz w:val="21"/>
              </w:rPr>
              <w:t>液体核磁管</w:t>
            </w:r>
            <w:r>
              <w:rPr>
                <w:rFonts w:ascii="仿宋_GB2312" w:hAnsi="仿宋_GB2312" w:cs="仿宋_GB2312" w:eastAsia="仿宋_GB2312"/>
                <w:sz w:val="21"/>
              </w:rPr>
              <w:t>20盒。</w:t>
            </w:r>
          </w:p>
          <w:p>
            <w:pPr>
              <w:pStyle w:val="null3"/>
              <w:jc w:val="left"/>
            </w:pPr>
            <w:r>
              <w:rPr>
                <w:rFonts w:ascii="仿宋_GB2312" w:hAnsi="仿宋_GB2312" w:cs="仿宋_GB2312" w:eastAsia="仿宋_GB2312"/>
                <w:sz w:val="21"/>
              </w:rPr>
              <w:t>▲3.4  提供液氮液氦液面显示计，实现原磁体液氮液氦液位读数，1套。</w:t>
            </w:r>
          </w:p>
          <w:p>
            <w:pPr>
              <w:pStyle w:val="null3"/>
              <w:jc w:val="left"/>
            </w:pPr>
            <w:r>
              <w:rPr>
                <w:rFonts w:ascii="仿宋_GB2312" w:hAnsi="仿宋_GB2312" w:cs="仿宋_GB2312" w:eastAsia="仿宋_GB2312"/>
                <w:sz w:val="21"/>
                <w:b/>
              </w:rPr>
              <w:t>4</w:t>
            </w:r>
            <w:r>
              <w:rPr>
                <w:rFonts w:ascii="仿宋_GB2312" w:hAnsi="仿宋_GB2312" w:cs="仿宋_GB2312" w:eastAsia="仿宋_GB2312"/>
                <w:sz w:val="21"/>
                <w:b/>
              </w:rPr>
              <w:t>、技术服务</w:t>
            </w:r>
          </w:p>
          <w:p>
            <w:pPr>
              <w:pStyle w:val="null3"/>
              <w:jc w:val="left"/>
            </w:pPr>
            <w:r>
              <w:rPr>
                <w:rFonts w:ascii="仿宋_GB2312" w:hAnsi="仿宋_GB2312" w:cs="仿宋_GB2312" w:eastAsia="仿宋_GB2312"/>
                <w:sz w:val="21"/>
              </w:rPr>
              <w:t>设备安装、调试</w:t>
            </w:r>
            <w:r>
              <w:rPr>
                <w:rFonts w:ascii="仿宋_GB2312" w:hAnsi="仿宋_GB2312" w:cs="仿宋_GB2312" w:eastAsia="仿宋_GB2312"/>
                <w:sz w:val="21"/>
              </w:rPr>
              <w:t>：</w:t>
            </w:r>
            <w:r>
              <w:rPr>
                <w:rFonts w:ascii="仿宋_GB2312" w:hAnsi="仿宋_GB2312" w:cs="仿宋_GB2312" w:eastAsia="仿宋_GB2312"/>
                <w:sz w:val="21"/>
              </w:rPr>
              <w:t>设备到货后，中标人按照采购人通知的日期选派经验丰富的专家</w:t>
            </w:r>
            <w:r>
              <w:rPr>
                <w:rFonts w:ascii="仿宋_GB2312" w:hAnsi="仿宋_GB2312" w:cs="仿宋_GB2312" w:eastAsia="仿宋_GB2312"/>
                <w:sz w:val="21"/>
              </w:rPr>
              <w:t>负责</w:t>
            </w:r>
            <w:r>
              <w:rPr>
                <w:rFonts w:ascii="仿宋_GB2312" w:hAnsi="仿宋_GB2312" w:cs="仿宋_GB2312" w:eastAsia="仿宋_GB2312"/>
                <w:sz w:val="21"/>
              </w:rPr>
              <w:t>安装，调试</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b/>
              </w:rPr>
              <w:t>5</w:t>
            </w:r>
            <w:r>
              <w:rPr>
                <w:rFonts w:ascii="仿宋_GB2312" w:hAnsi="仿宋_GB2312" w:cs="仿宋_GB2312" w:eastAsia="仿宋_GB2312"/>
                <w:sz w:val="21"/>
                <w:b/>
              </w:rPr>
              <w:t>、技术支持及售后服务</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.1 合同签定</w:t>
            </w:r>
            <w:r>
              <w:rPr>
                <w:rFonts w:ascii="仿宋_GB2312" w:hAnsi="仿宋_GB2312" w:cs="仿宋_GB2312" w:eastAsia="仿宋_GB2312"/>
                <w:sz w:val="21"/>
              </w:rPr>
              <w:t>半个</w:t>
            </w:r>
            <w:r>
              <w:rPr>
                <w:rFonts w:ascii="仿宋_GB2312" w:hAnsi="仿宋_GB2312" w:cs="仿宋_GB2312" w:eastAsia="仿宋_GB2312"/>
                <w:sz w:val="21"/>
              </w:rPr>
              <w:t>月内投标</w:t>
            </w:r>
            <w:r>
              <w:rPr>
                <w:rFonts w:ascii="仿宋_GB2312" w:hAnsi="仿宋_GB2312" w:cs="仿宋_GB2312" w:eastAsia="仿宋_GB2312"/>
                <w:sz w:val="21"/>
              </w:rPr>
              <w:t>人</w:t>
            </w:r>
            <w:r>
              <w:rPr>
                <w:rFonts w:ascii="仿宋_GB2312" w:hAnsi="仿宋_GB2312" w:cs="仿宋_GB2312" w:eastAsia="仿宋_GB2312"/>
                <w:sz w:val="21"/>
              </w:rPr>
              <w:t>应提供设备安装、调试等必备的技术文件，以便</w:t>
            </w:r>
            <w:r>
              <w:rPr>
                <w:rFonts w:ascii="仿宋_GB2312" w:hAnsi="仿宋_GB2312" w:cs="仿宋_GB2312" w:eastAsia="仿宋_GB2312"/>
                <w:sz w:val="21"/>
              </w:rPr>
              <w:t>采购人</w:t>
            </w:r>
            <w:r>
              <w:rPr>
                <w:rFonts w:ascii="仿宋_GB2312" w:hAnsi="仿宋_GB2312" w:cs="仿宋_GB2312" w:eastAsia="仿宋_GB2312"/>
                <w:sz w:val="21"/>
              </w:rPr>
              <w:t>能提前作好设备安装的准备工作。</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.2 技术培训：仪器安装时进行2天的现场培训，内容包括仪器的技术原理、操作、数据处理、基本维护等；负责3人次1周NMR技术培训</w:t>
            </w:r>
            <w:r>
              <w:rPr>
                <w:rFonts w:ascii="仿宋_GB2312" w:hAnsi="仿宋_GB2312" w:cs="仿宋_GB2312" w:eastAsia="仿宋_GB2312"/>
                <w:sz w:val="21"/>
              </w:rPr>
              <w:t>（</w:t>
            </w:r>
            <w:r>
              <w:rPr>
                <w:rFonts w:ascii="仿宋_GB2312" w:hAnsi="仿宋_GB2312" w:cs="仿宋_GB2312" w:eastAsia="仿宋_GB2312"/>
                <w:sz w:val="21"/>
              </w:rPr>
              <w:t>免培训费</w:t>
            </w:r>
            <w:r>
              <w:rPr>
                <w:rFonts w:ascii="仿宋_GB2312" w:hAnsi="仿宋_GB2312" w:cs="仿宋_GB2312" w:eastAsia="仿宋_GB2312"/>
                <w:sz w:val="21"/>
              </w:rPr>
              <w:t>）</w:t>
            </w:r>
            <w:r>
              <w:rPr>
                <w:rFonts w:ascii="仿宋_GB2312" w:hAnsi="仿宋_GB2312" w:cs="仿宋_GB2312" w:eastAsia="仿宋_GB2312"/>
                <w:sz w:val="21"/>
              </w:rPr>
              <w:t>；差旅及食宿自理。</w:t>
            </w:r>
          </w:p>
          <w:p>
            <w:pPr>
              <w:pStyle w:val="null3"/>
              <w:jc w:val="left"/>
            </w:pPr>
            <w:r>
              <w:rPr>
                <w:rFonts w:ascii="仿宋_GB2312" w:hAnsi="仿宋_GB2312" w:cs="仿宋_GB2312" w:eastAsia="仿宋_GB2312"/>
                <w:sz w:val="21"/>
                <w:b/>
              </w:rPr>
              <w:t>三、保修期及维修</w:t>
            </w:r>
          </w:p>
          <w:p>
            <w:pPr>
              <w:pStyle w:val="null3"/>
              <w:jc w:val="left"/>
            </w:pPr>
            <w:r>
              <w:rPr>
                <w:rFonts w:ascii="仿宋_GB2312" w:hAnsi="仿宋_GB2312" w:cs="仿宋_GB2312" w:eastAsia="仿宋_GB2312"/>
                <w:sz w:val="21"/>
              </w:rPr>
              <w:t>1.保修期：安装调试经</w:t>
            </w:r>
            <w:r>
              <w:rPr>
                <w:rFonts w:ascii="仿宋_GB2312" w:hAnsi="仿宋_GB2312" w:cs="仿宋_GB2312" w:eastAsia="仿宋_GB2312"/>
                <w:sz w:val="21"/>
              </w:rPr>
              <w:t>采购人</w:t>
            </w:r>
            <w:r>
              <w:rPr>
                <w:rFonts w:ascii="仿宋_GB2312" w:hAnsi="仿宋_GB2312" w:cs="仿宋_GB2312" w:eastAsia="仿宋_GB2312"/>
                <w:sz w:val="21"/>
              </w:rPr>
              <w:t>验收合格当天起，</w:t>
            </w:r>
            <w:r>
              <w:rPr>
                <w:rFonts w:ascii="仿宋_GB2312" w:hAnsi="仿宋_GB2312" w:cs="仿宋_GB2312" w:eastAsia="仿宋_GB2312"/>
                <w:sz w:val="21"/>
              </w:rPr>
              <w:t>负责</w:t>
            </w:r>
            <w:r>
              <w:rPr>
                <w:rFonts w:ascii="仿宋_GB2312" w:hAnsi="仿宋_GB2312" w:cs="仿宋_GB2312" w:eastAsia="仿宋_GB2312"/>
                <w:sz w:val="21"/>
              </w:rPr>
              <w:t>保修</w:t>
            </w:r>
            <w:r>
              <w:rPr>
                <w:rFonts w:ascii="仿宋_GB2312" w:hAnsi="仿宋_GB2312" w:cs="仿宋_GB2312" w:eastAsia="仿宋_GB2312"/>
                <w:sz w:val="21"/>
              </w:rPr>
              <w:t>一</w:t>
            </w:r>
            <w:r>
              <w:rPr>
                <w:rFonts w:ascii="仿宋_GB2312" w:hAnsi="仿宋_GB2312" w:cs="仿宋_GB2312" w:eastAsia="仿宋_GB2312"/>
                <w:sz w:val="21"/>
              </w:rPr>
              <w:t>年</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2.投标人</w:t>
            </w:r>
            <w:r>
              <w:rPr>
                <w:rFonts w:ascii="仿宋_GB2312" w:hAnsi="仿宋_GB2312" w:cs="仿宋_GB2312" w:eastAsia="仿宋_GB2312"/>
                <w:sz w:val="21"/>
              </w:rPr>
              <w:t>应设有维修站。维修响应时间一般情况</w:t>
            </w:r>
            <w:r>
              <w:rPr>
                <w:rFonts w:ascii="仿宋_GB2312" w:hAnsi="仿宋_GB2312" w:cs="仿宋_GB2312" w:eastAsia="仿宋_GB2312"/>
                <w:sz w:val="21"/>
              </w:rPr>
              <w:t>≤8小时，到现场时间≤48小时。</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合同签订后1个月内交货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宝鸡文理学院指定地点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（1）验收分初次开箱验收和学校最终验收两个阶段，以最终验收为准。 （2）货物到货后，采购人、投标人双方共同开箱验收。在检查货物原产地、型号、规格、配置符合合同要求后，由投标人负责安装调试、采购人使用单位负责技术验收（投标人协助），验收以国内行业标准或合同文本货物供货配置清单中描述的有关技术要求为准。 （3）采购人使用单位初验合格后提出验收申请，学校相关部门根据使用单位技术验收结果，组织有关专家进行货物的最终验收。 （4）其他内容按招标文件、投标文件及合同约定执行。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保修期：安装调试经用户验收合格当天起，负责保修一年。 投标人应设有维修站。维修响应时间一般情况≤8小时，到现场时间≤48小时。</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投标保证金注意事项：（1）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并将保函原件单独递交至代理机构财务；投标人应在投标文件中附保函复印件。保函必须由具有开具投标保函资格的单位开具；若投标人违约，开具保函单位承担连带责任；（2）投标保证金的提交金额、时间不满足招标文件要求的，投标无效；（3）投标保证金以采购代理机构到账凭证为准，投标人无需更换交纳凭证，由采购代理机构统一提供。（4）未按指定账户提交的，我公司将退回，投标人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法人提供自2024年9月1日以来至少一个月的纳税证明或完税证明，纳税证明或完税证明上应有代收机构或税务机关的公章或业务专用章；其他组织和自然人提供自2024年9月1日以来至少一个月缴纳税收的凭据；依法免税的或者依法不需缴税的投标人应提供相关文件证明； ③社会保障资金缴纳证明：提供自2024年9月1日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注：以上②-③项，提供“陕西省政府采购供应商信用承诺书”的，可不再提供其他证明文件。</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审计报告（成立时间至提交投标文件截止时间不足一年的可提供成立后任意时段的资产负债表），或提交自2025年3月1日以来银行出具的资信证明，或信用担保机构出具的投标担保函（以上三种形式的资料提供任何一种即可）；其他组织和自然人提供银行出具的资信证明或财务报表。 注：此项资格提供“陕西省政府采购供应商信用承诺书”的，可不再提供其他证明文件。投标人需在项目电子化交易系统中按要求填写《投标函》完成承诺并进行电子签章、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本项目不接受联合体投标，不允许分包。投标人提供《非联合体不分包投标声明》并进行电子签章。</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1分项价格表.docx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符合性审查其他内容</w:t>
            </w:r>
          </w:p>
        </w:tc>
        <w:tc>
          <w:tcPr>
            <w:tcW w:type="dxa" w:w="3322"/>
          </w:tcPr>
          <w:p>
            <w:pPr>
              <w:pStyle w:val="null3"/>
            </w:pPr>
            <w:r>
              <w:rPr>
                <w:rFonts w:ascii="仿宋_GB2312" w:hAnsi="仿宋_GB2312" w:cs="仿宋_GB2312" w:eastAsia="仿宋_GB2312"/>
              </w:rPr>
              <w:t>有下列情形之一的，应在符合性审查时按照无效投标处理： (1)投标文件未按照招标文件规定要求签署、盖章的； (2)不满足本招标文件中“交货时间、交货地点、采购资金的支付方式及约定、质量保修范围和保修期的实质性条款要求的； (3)投标有效期不足的或无有效期的；(4)投标人报价超过招标文件中规定的预算金额或最高限价的； (5)法律、法规和招标文件规定的其他无效情形。</w:t>
            </w:r>
          </w:p>
        </w:tc>
        <w:tc>
          <w:tcPr>
            <w:tcW w:type="dxa" w:w="1661"/>
          </w:tcPr>
          <w:p>
            <w:pPr>
              <w:pStyle w:val="null3"/>
            </w:pPr>
            <w:r>
              <w:rPr>
                <w:rFonts w:ascii="仿宋_GB2312" w:hAnsi="仿宋_GB2312" w:cs="仿宋_GB2312" w:eastAsia="仿宋_GB2312"/>
              </w:rPr>
              <w:t>开标一览表 3投标人资格证明文件.docx 投标函 4承诺书.docx 1分项价格表.docx 标的清单 2商务部分偏离表.docx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所投产品技术参数完全符合、响应招标文件3.3技术要求“技术参数与性能指标 二、技术参数”的要求，没有负偏离计28分；“▲”号参数为重要技术指标，每负偏离一项扣2分，非“▲”号参数每负偏离一项扣0.8分。 备注：1、所有产品完全复制招标文件技术指标要求的，给予10分扣分。2、“▲”项必须提供佐证材料，否则视为负偏离，佐证材料包括但不限于官网截图或检测报告等。3、非“▲”号参数是否偏离以技术响应偏离表为准，提供虚假响应将承担法律责任。</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实施方案及验收方案</w:t>
            </w:r>
          </w:p>
        </w:tc>
        <w:tc>
          <w:tcPr>
            <w:tcW w:type="dxa" w:w="2492"/>
          </w:tcPr>
          <w:p>
            <w:pPr>
              <w:pStyle w:val="null3"/>
            </w:pPr>
            <w:r>
              <w:rPr>
                <w:rFonts w:ascii="仿宋_GB2312" w:hAnsi="仿宋_GB2312" w:cs="仿宋_GB2312" w:eastAsia="仿宋_GB2312"/>
              </w:rPr>
              <w:t>投标人提供针对本项目采购需求，提供①具体实施方案，提供实施计划及工作保障措施②项目实施等重点、难点并给出相应的解决方案③进度安排④验收方案的描述。 方案完全满足采购需求，无瑕疵计4分； 存在1处瑕疵计3分； 存在2处瑕疵计2分； 存在3处瑕疵计1分； 未提供或内容存在4处及以上瑕疵：0分。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6实施方案及验收方案.docx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投标人根据项目需求提供完整供货方案，包括但不限于备货供货方案，供货组织安排、供货安全保障方案等。 方案完全满足采购需求，无瑕疵计6分； 存在1处瑕疵计5分； 存在2处瑕疵计4分； 存在3处瑕疵计3分； 存在4处瑕疵计2分； 存在5处瑕疵计1分； 未提供或内容存在6处及以上瑕疵：0分。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7供货方案.docx</w:t>
            </w:r>
          </w:p>
        </w:tc>
      </w:tr>
      <w:tr>
        <w:tc>
          <w:tcPr>
            <w:tcW w:type="dxa" w:w="831"/>
            <w:vMerge/>
          </w:tcPr>
          <w:p/>
        </w:tc>
        <w:tc>
          <w:tcPr>
            <w:tcW w:type="dxa" w:w="1661"/>
          </w:tcPr>
          <w:p>
            <w:pPr>
              <w:pStyle w:val="null3"/>
            </w:pPr>
            <w:r>
              <w:rPr>
                <w:rFonts w:ascii="仿宋_GB2312" w:hAnsi="仿宋_GB2312" w:cs="仿宋_GB2312" w:eastAsia="仿宋_GB2312"/>
              </w:rPr>
              <w:t>供货进度保障</w:t>
            </w:r>
          </w:p>
        </w:tc>
        <w:tc>
          <w:tcPr>
            <w:tcW w:type="dxa" w:w="2492"/>
          </w:tcPr>
          <w:p>
            <w:pPr>
              <w:pStyle w:val="null3"/>
            </w:pPr>
            <w:r>
              <w:rPr>
                <w:rFonts w:ascii="仿宋_GB2312" w:hAnsi="仿宋_GB2312" w:cs="仿宋_GB2312" w:eastAsia="仿宋_GB2312"/>
              </w:rPr>
              <w:t>投标人根据项目需求提供供货进度安排计划及进度保障措施。 方案完全满足采购需求，无瑕疵计4分； 存在1处瑕疵计3分； 存在2处瑕疵计2分； 存在3处瑕疵计1分； 未提供或内容存在4处及以上瑕疵：0分。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8供货进度保障.docx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投标人在设备使用、技术保障方面的方案及保证措施，评标委员会根据采购需求对方案内容进行评审。 方案完全满足采购需求，无瑕疵计5分； 存在1处瑕疵计4分； 存在2处瑕疵计3分； 存在3处瑕疵计2分； 存在4处瑕疵计1分； 未提供或内容存在5处及以上瑕疵：0分。 备注：1、单项评审因素未提供或未响应的不计分。 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9质量保证措施.docx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质保期每增加1年加1分，最多加5分。投标人提供承诺书，承诺内容明确具体，并加盖投标人公章。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10质保期.docx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负责为采购人培训操作人员，并有完整的培训方案。①培训方案具有完善性、合理性。制定培训课程计划表，列出每种培训的地点和时间、培训的内容、方式、次数等②培训内容应包括所提供产品的原理和技术性能、（仪器、软件操作方法）、安装调试、排除故障、相关注意事项等各个方面，培训的具体日期及人数由使用单位确定。 方案完全满足采购需求，无瑕疵计3分； 存在1处瑕疵计2分； 存在2处瑕疵计1分； 未提供或内容存在3处及以上瑕疵：0分。 备注：1、单项评审因素未提供或未响应的不计分。 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提供投标人或厂家2022年7月1日至投标截止日的同类业绩证明合同，每提供1个得1分，最高得10分。 注：①合同时间以合同签订时间为准。②需提供签订的合同首页、合同主要内容及合同金额所在页、签字盖章页复印件做为证明材料，未提供或不全的为无效业绩。③需提供合同中仪器使用单位管理人员姓名及固定电话。</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12业绩.docx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提供售后服务方案，内容包括但不限于服务方案承诺及响应时间、服务流程（含故障处理、紧急维护、有良好的储存及运输环境等）、售后服务记录等。 内容完全满足招标文件要求，无瑕疵计4分； 存在1处瑕疵计3分； 存在2处瑕疵计2分； 存在3处瑕疵计1分； 未提供或内容存在4处及以上瑕疵：0分。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13售后服务.docx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得0.5分，每有一项为环境标志产品经国家认证的得0.5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价格分统一采用低价优先法计算，即满足招标文件要求且投标价格（单价报价）最低的投标报价为评标基准价，其价格分为满分。其他投标人的价格分统一按照下列公式计算：价格分= (评标基准价／投标报价)×报价分值 注：1、计算分数时四舍五入取小数点后两位； 2、落实政府采购政策：详见价格扣除。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详见附件：6实施方案及验收方案.docx</w:t>
      </w:r>
    </w:p>
    <w:p>
      <w:pPr>
        <w:pStyle w:val="null3"/>
        <w:ind w:firstLine="960"/>
      </w:pPr>
      <w:r>
        <w:rPr>
          <w:rFonts w:ascii="仿宋_GB2312" w:hAnsi="仿宋_GB2312" w:cs="仿宋_GB2312" w:eastAsia="仿宋_GB2312"/>
        </w:rPr>
        <w:t>详见附件：7供货方案.docx</w:t>
      </w:r>
    </w:p>
    <w:p>
      <w:pPr>
        <w:pStyle w:val="null3"/>
        <w:ind w:firstLine="960"/>
      </w:pPr>
      <w:r>
        <w:rPr>
          <w:rFonts w:ascii="仿宋_GB2312" w:hAnsi="仿宋_GB2312" w:cs="仿宋_GB2312" w:eastAsia="仿宋_GB2312"/>
        </w:rPr>
        <w:t>详见附件：8供货进度保障.docx</w:t>
      </w:r>
    </w:p>
    <w:p>
      <w:pPr>
        <w:pStyle w:val="null3"/>
        <w:ind w:firstLine="960"/>
      </w:pPr>
      <w:r>
        <w:rPr>
          <w:rFonts w:ascii="仿宋_GB2312" w:hAnsi="仿宋_GB2312" w:cs="仿宋_GB2312" w:eastAsia="仿宋_GB2312"/>
        </w:rPr>
        <w:t>详见附件：9质量保证措施.docx</w:t>
      </w:r>
    </w:p>
    <w:p>
      <w:pPr>
        <w:pStyle w:val="null3"/>
        <w:ind w:firstLine="960"/>
      </w:pPr>
      <w:r>
        <w:rPr>
          <w:rFonts w:ascii="仿宋_GB2312" w:hAnsi="仿宋_GB2312" w:cs="仿宋_GB2312" w:eastAsia="仿宋_GB2312"/>
        </w:rPr>
        <w:t>详见附件：10质保期.docx</w:t>
      </w:r>
    </w:p>
    <w:p>
      <w:pPr>
        <w:pStyle w:val="null3"/>
        <w:ind w:firstLine="960"/>
      </w:pPr>
      <w:r>
        <w:rPr>
          <w:rFonts w:ascii="仿宋_GB2312" w:hAnsi="仿宋_GB2312" w:cs="仿宋_GB2312" w:eastAsia="仿宋_GB2312"/>
        </w:rPr>
        <w:t>详见附件：11培训方案.docx</w:t>
      </w:r>
    </w:p>
    <w:p>
      <w:pPr>
        <w:pStyle w:val="null3"/>
        <w:ind w:firstLine="960"/>
      </w:pPr>
      <w:r>
        <w:rPr>
          <w:rFonts w:ascii="仿宋_GB2312" w:hAnsi="仿宋_GB2312" w:cs="仿宋_GB2312" w:eastAsia="仿宋_GB2312"/>
        </w:rPr>
        <w:t>详见附件：12业绩.docx</w:t>
      </w:r>
    </w:p>
    <w:p>
      <w:pPr>
        <w:pStyle w:val="null3"/>
        <w:ind w:firstLine="960"/>
      </w:pPr>
      <w:r>
        <w:rPr>
          <w:rFonts w:ascii="仿宋_GB2312" w:hAnsi="仿宋_GB2312" w:cs="仿宋_GB2312" w:eastAsia="仿宋_GB2312"/>
        </w:rPr>
        <w:t>详见附件：13售后服务.docx</w:t>
      </w:r>
    </w:p>
    <w:p>
      <w:pPr>
        <w:pStyle w:val="null3"/>
        <w:ind w:firstLine="960"/>
      </w:pPr>
      <w:r>
        <w:rPr>
          <w:rFonts w:ascii="仿宋_GB2312" w:hAnsi="仿宋_GB2312" w:cs="仿宋_GB2312" w:eastAsia="仿宋_GB2312"/>
        </w:rPr>
        <w:t>详见附件：14节能环保.docx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