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A9FC0">
      <w:pPr>
        <w:keepNext w:val="0"/>
        <w:keepLines w:val="0"/>
        <w:pageBreakBefore w:val="0"/>
        <w:widowControl w:val="0"/>
        <w:kinsoku/>
        <w:wordWrap/>
        <w:overflowPunct/>
        <w:topLinePunct w:val="0"/>
        <w:bidi w:val="0"/>
        <w:snapToGrid w:val="0"/>
        <w:spacing w:line="360" w:lineRule="auto"/>
        <w:ind w:left="0" w:right="0"/>
        <w:jc w:val="center"/>
        <w:rPr>
          <w:rFonts w:hint="eastAsia" w:ascii="仿宋" w:hAnsi="仿宋" w:eastAsia="仿宋" w:cs="仿宋"/>
          <w:snapToGrid w:val="0"/>
          <w:color w:val="auto"/>
          <w:spacing w:val="6"/>
          <w:sz w:val="24"/>
          <w:szCs w:val="24"/>
          <w:highlight w:val="none"/>
          <w:u w:val="none"/>
        </w:rPr>
      </w:pPr>
      <w:r>
        <w:rPr>
          <w:rFonts w:hint="eastAsia" w:ascii="仿宋" w:hAnsi="仿宋" w:eastAsia="仿宋" w:cs="仿宋"/>
          <w:snapToGrid w:val="0"/>
          <w:color w:val="auto"/>
          <w:spacing w:val="6"/>
          <w:sz w:val="24"/>
          <w:szCs w:val="24"/>
          <w:highlight w:val="none"/>
          <w:u w:val="none"/>
        </w:rPr>
        <w:t>（合同签订时采购人有权根据供应商提供的投标文件中内容及承诺对合同内容进行补充和完善）</w:t>
      </w:r>
    </w:p>
    <w:p w14:paraId="7B752489">
      <w:pPr>
        <w:keepNext w:val="0"/>
        <w:keepLines w:val="0"/>
        <w:pageBreakBefore w:val="0"/>
        <w:widowControl w:val="0"/>
        <w:kinsoku/>
        <w:wordWrap/>
        <w:overflowPunct/>
        <w:topLinePunct w:val="0"/>
        <w:bidi w:val="0"/>
        <w:snapToGrid w:val="0"/>
        <w:spacing w:line="360" w:lineRule="auto"/>
        <w:ind w:left="0" w:right="0"/>
        <w:jc w:val="center"/>
        <w:rPr>
          <w:rFonts w:hint="eastAsia" w:ascii="仿宋" w:hAnsi="仿宋" w:eastAsia="仿宋" w:cs="仿宋"/>
          <w:snapToGrid w:val="0"/>
          <w:color w:val="auto"/>
          <w:spacing w:val="6"/>
          <w:sz w:val="24"/>
          <w:szCs w:val="24"/>
          <w:highlight w:val="none"/>
        </w:rPr>
      </w:pPr>
      <w:r>
        <w:rPr>
          <w:rFonts w:hint="eastAsia" w:ascii="仿宋" w:hAnsi="仿宋" w:eastAsia="仿宋" w:cs="仿宋"/>
          <w:snapToGrid w:val="0"/>
          <w:color w:val="auto"/>
          <w:spacing w:val="6"/>
          <w:sz w:val="24"/>
          <w:szCs w:val="24"/>
          <w:highlight w:val="none"/>
          <w:u w:val="single"/>
        </w:rPr>
        <w:t xml:space="preserve">                     </w:t>
      </w:r>
      <w:r>
        <w:rPr>
          <w:rFonts w:hint="eastAsia" w:ascii="仿宋" w:hAnsi="仿宋" w:eastAsia="仿宋" w:cs="仿宋"/>
          <w:snapToGrid w:val="0"/>
          <w:color w:val="auto"/>
          <w:spacing w:val="6"/>
          <w:sz w:val="24"/>
          <w:szCs w:val="24"/>
          <w:highlight w:val="none"/>
        </w:rPr>
        <w:t>合同</w:t>
      </w:r>
    </w:p>
    <w:p w14:paraId="3C9D481A">
      <w:pPr>
        <w:keepNext w:val="0"/>
        <w:keepLines w:val="0"/>
        <w:pageBreakBefore w:val="0"/>
        <w:widowControl w:val="0"/>
        <w:kinsoku/>
        <w:wordWrap/>
        <w:overflowPunct/>
        <w:topLinePunct w:val="0"/>
        <w:bidi w:val="0"/>
        <w:snapToGrid w:val="0"/>
        <w:spacing w:line="360" w:lineRule="auto"/>
        <w:ind w:left="0" w:right="0" w:firstLine="504" w:firstLineChars="200"/>
        <w:jc w:val="center"/>
        <w:rPr>
          <w:rFonts w:hint="eastAsia" w:ascii="仿宋" w:hAnsi="仿宋" w:eastAsia="仿宋" w:cs="仿宋"/>
          <w:snapToGrid w:val="0"/>
          <w:color w:val="auto"/>
          <w:spacing w:val="6"/>
          <w:sz w:val="24"/>
          <w:szCs w:val="24"/>
          <w:highlight w:val="none"/>
        </w:rPr>
      </w:pPr>
    </w:p>
    <w:p w14:paraId="65D81B09">
      <w:pPr>
        <w:keepNext w:val="0"/>
        <w:keepLines w:val="0"/>
        <w:pageBreakBefore w:val="0"/>
        <w:widowControl w:val="0"/>
        <w:kinsoku/>
        <w:wordWrap/>
        <w:overflowPunct/>
        <w:topLinePunct w:val="0"/>
        <w:bidi w:val="0"/>
        <w:snapToGrid w:val="0"/>
        <w:spacing w:line="360" w:lineRule="auto"/>
        <w:ind w:left="0" w:right="0"/>
        <w:rPr>
          <w:rFonts w:hint="eastAsia" w:ascii="仿宋" w:hAnsi="仿宋" w:eastAsia="仿宋" w:cs="仿宋"/>
          <w:snapToGrid w:val="0"/>
          <w:color w:val="auto"/>
          <w:spacing w:val="6"/>
          <w:sz w:val="24"/>
          <w:szCs w:val="24"/>
          <w:highlight w:val="none"/>
        </w:rPr>
      </w:pPr>
      <w:r>
        <w:rPr>
          <w:rFonts w:hint="eastAsia" w:ascii="仿宋" w:hAnsi="仿宋" w:eastAsia="仿宋" w:cs="仿宋"/>
          <w:snapToGrid w:val="0"/>
          <w:color w:val="auto"/>
          <w:spacing w:val="6"/>
          <w:sz w:val="24"/>
          <w:szCs w:val="24"/>
          <w:highlight w:val="none"/>
        </w:rPr>
        <w:t>甲方：                签订地点：</w:t>
      </w:r>
    </w:p>
    <w:p w14:paraId="4FBC3BBB">
      <w:pPr>
        <w:keepNext w:val="0"/>
        <w:keepLines w:val="0"/>
        <w:pageBreakBefore w:val="0"/>
        <w:widowControl w:val="0"/>
        <w:kinsoku/>
        <w:wordWrap/>
        <w:overflowPunct/>
        <w:topLinePunct w:val="0"/>
        <w:bidi w:val="0"/>
        <w:snapToGrid w:val="0"/>
        <w:spacing w:line="360" w:lineRule="auto"/>
        <w:ind w:left="0" w:right="0"/>
        <w:rPr>
          <w:rFonts w:hint="eastAsia" w:ascii="仿宋" w:hAnsi="仿宋" w:eastAsia="仿宋" w:cs="仿宋"/>
          <w:snapToGrid w:val="0"/>
          <w:color w:val="auto"/>
          <w:spacing w:val="6"/>
          <w:sz w:val="24"/>
          <w:szCs w:val="24"/>
          <w:highlight w:val="none"/>
        </w:rPr>
      </w:pPr>
      <w:r>
        <w:rPr>
          <w:rFonts w:hint="eastAsia" w:ascii="仿宋" w:hAnsi="仿宋" w:eastAsia="仿宋" w:cs="仿宋"/>
          <w:snapToGrid w:val="0"/>
          <w:color w:val="auto"/>
          <w:spacing w:val="6"/>
          <w:sz w:val="24"/>
          <w:szCs w:val="24"/>
          <w:highlight w:val="none"/>
        </w:rPr>
        <w:t>乙方：                合同编号：</w:t>
      </w:r>
    </w:p>
    <w:p w14:paraId="009389CE">
      <w:pPr>
        <w:keepNext w:val="0"/>
        <w:keepLines w:val="0"/>
        <w:pageBreakBefore w:val="0"/>
        <w:widowControl w:val="0"/>
        <w:kinsoku/>
        <w:wordWrap/>
        <w:overflowPunct/>
        <w:topLinePunct w:val="0"/>
        <w:bidi w:val="0"/>
        <w:snapToGrid w:val="0"/>
        <w:spacing w:line="360" w:lineRule="auto"/>
        <w:ind w:left="0" w:right="0"/>
        <w:rPr>
          <w:rFonts w:hint="eastAsia" w:ascii="仿宋" w:hAnsi="仿宋" w:eastAsia="仿宋" w:cs="仿宋"/>
          <w:snapToGrid w:val="0"/>
          <w:color w:val="auto"/>
          <w:spacing w:val="6"/>
          <w:sz w:val="24"/>
          <w:szCs w:val="24"/>
          <w:highlight w:val="none"/>
        </w:rPr>
      </w:pPr>
      <w:r>
        <w:rPr>
          <w:rFonts w:hint="eastAsia" w:ascii="仿宋" w:hAnsi="仿宋" w:eastAsia="仿宋" w:cs="仿宋"/>
          <w:snapToGrid w:val="0"/>
          <w:color w:val="auto"/>
          <w:spacing w:val="6"/>
          <w:sz w:val="24"/>
          <w:szCs w:val="24"/>
          <w:highlight w:val="none"/>
        </w:rPr>
        <w:t>签订日期：</w:t>
      </w:r>
    </w:p>
    <w:p w14:paraId="256640B7">
      <w:pPr>
        <w:keepNext w:val="0"/>
        <w:keepLines w:val="0"/>
        <w:pageBreakBefore w:val="0"/>
        <w:widowControl w:val="0"/>
        <w:kinsoku/>
        <w:wordWrap/>
        <w:overflowPunct/>
        <w:topLinePunct w:val="0"/>
        <w:bidi w:val="0"/>
        <w:snapToGrid w:val="0"/>
        <w:spacing w:line="360" w:lineRule="auto"/>
        <w:ind w:left="0" w:right="0" w:firstLine="506" w:firstLineChars="200"/>
        <w:rPr>
          <w:rFonts w:hint="eastAsia" w:ascii="仿宋" w:hAnsi="仿宋" w:eastAsia="仿宋" w:cs="仿宋"/>
          <w:snapToGrid w:val="0"/>
          <w:color w:val="auto"/>
          <w:spacing w:val="6"/>
          <w:sz w:val="24"/>
          <w:szCs w:val="24"/>
          <w:highlight w:val="none"/>
        </w:rPr>
      </w:pPr>
      <w:r>
        <w:rPr>
          <w:rFonts w:hint="eastAsia" w:ascii="仿宋" w:hAnsi="仿宋" w:eastAsia="仿宋" w:cs="仿宋"/>
          <w:b/>
          <w:snapToGrid w:val="0"/>
          <w:color w:val="auto"/>
          <w:spacing w:val="6"/>
          <w:sz w:val="24"/>
          <w:szCs w:val="24"/>
          <w:highlight w:val="none"/>
        </w:rPr>
        <w:t xml:space="preserve">                                   </w:t>
      </w:r>
      <w:bookmarkStart w:id="1" w:name="_GoBack"/>
      <w:bookmarkEnd w:id="1"/>
    </w:p>
    <w:p w14:paraId="7F0844B2">
      <w:pPr>
        <w:keepNext w:val="0"/>
        <w:keepLines w:val="0"/>
        <w:pageBreakBefore w:val="0"/>
        <w:widowControl w:val="0"/>
        <w:kinsoku/>
        <w:wordWrap/>
        <w:overflowPunct/>
        <w:topLinePunct w:val="0"/>
        <w:bidi w:val="0"/>
        <w:snapToGrid w:val="0"/>
        <w:spacing w:line="360" w:lineRule="auto"/>
        <w:ind w:left="0" w:right="0" w:firstLine="504" w:firstLineChars="200"/>
        <w:rPr>
          <w:rFonts w:hint="eastAsia" w:ascii="仿宋" w:hAnsi="仿宋" w:eastAsia="仿宋" w:cs="仿宋"/>
          <w:snapToGrid w:val="0"/>
          <w:color w:val="auto"/>
          <w:spacing w:val="6"/>
          <w:sz w:val="24"/>
          <w:szCs w:val="24"/>
          <w:highlight w:val="none"/>
        </w:rPr>
      </w:pPr>
      <w:r>
        <w:rPr>
          <w:rFonts w:hint="eastAsia" w:ascii="仿宋" w:hAnsi="仿宋" w:eastAsia="仿宋" w:cs="仿宋"/>
          <w:snapToGrid w:val="0"/>
          <w:color w:val="auto"/>
          <w:spacing w:val="6"/>
          <w:sz w:val="24"/>
          <w:szCs w:val="24"/>
          <w:highlight w:val="none"/>
        </w:rPr>
        <w:t>依照《中华人民共和国民法典》及其它有关法律、行政法规，遵循平等、自愿、公平和诚实信用的原则，甲乙双方就本承包事项协商一致，订立本合同。</w:t>
      </w:r>
    </w:p>
    <w:p w14:paraId="233E78EA">
      <w:pPr>
        <w:keepNext w:val="0"/>
        <w:keepLines w:val="0"/>
        <w:pageBreakBefore w:val="0"/>
        <w:widowControl w:val="0"/>
        <w:kinsoku/>
        <w:wordWrap/>
        <w:overflowPunct/>
        <w:topLinePunct w:val="0"/>
        <w:bidi w:val="0"/>
        <w:snapToGrid w:val="0"/>
        <w:spacing w:line="360" w:lineRule="auto"/>
        <w:ind w:left="0" w:right="0" w:firstLine="506" w:firstLineChars="200"/>
        <w:outlineLvl w:val="0"/>
        <w:rPr>
          <w:rFonts w:hint="eastAsia" w:ascii="仿宋" w:hAnsi="仿宋" w:eastAsia="仿宋" w:cs="仿宋"/>
          <w:b/>
          <w:snapToGrid w:val="0"/>
          <w:color w:val="auto"/>
          <w:spacing w:val="6"/>
          <w:sz w:val="24"/>
          <w:szCs w:val="24"/>
          <w:highlight w:val="none"/>
        </w:rPr>
      </w:pPr>
      <w:r>
        <w:rPr>
          <w:rFonts w:hint="eastAsia" w:ascii="仿宋" w:hAnsi="仿宋" w:eastAsia="仿宋" w:cs="仿宋"/>
          <w:b/>
          <w:snapToGrid w:val="0"/>
          <w:color w:val="auto"/>
          <w:spacing w:val="6"/>
          <w:sz w:val="24"/>
          <w:szCs w:val="24"/>
          <w:highlight w:val="none"/>
        </w:rPr>
        <w:t>一、项目概况</w:t>
      </w:r>
    </w:p>
    <w:p w14:paraId="75727E0A">
      <w:pPr>
        <w:keepNext w:val="0"/>
        <w:keepLines w:val="0"/>
        <w:pageBreakBefore w:val="0"/>
        <w:widowControl w:val="0"/>
        <w:kinsoku/>
        <w:wordWrap/>
        <w:overflowPunct/>
        <w:topLinePunct w:val="0"/>
        <w:bidi w:val="0"/>
        <w:snapToGrid w:val="0"/>
        <w:spacing w:line="360" w:lineRule="auto"/>
        <w:ind w:left="0" w:right="0" w:firstLine="504" w:firstLineChars="200"/>
        <w:rPr>
          <w:rFonts w:hint="eastAsia" w:ascii="仿宋" w:hAnsi="仿宋" w:eastAsia="仿宋" w:cs="仿宋"/>
          <w:snapToGrid w:val="0"/>
          <w:color w:val="auto"/>
          <w:spacing w:val="6"/>
          <w:sz w:val="24"/>
          <w:szCs w:val="24"/>
          <w:highlight w:val="none"/>
        </w:rPr>
      </w:pPr>
      <w:r>
        <w:rPr>
          <w:rFonts w:hint="eastAsia" w:ascii="仿宋" w:hAnsi="仿宋" w:eastAsia="仿宋" w:cs="仿宋"/>
          <w:snapToGrid w:val="0"/>
          <w:color w:val="auto"/>
          <w:spacing w:val="6"/>
          <w:sz w:val="24"/>
          <w:szCs w:val="24"/>
          <w:highlight w:val="none"/>
        </w:rPr>
        <w:t>项目名称：2025年中波广播发射机及配套设备采购项目</w:t>
      </w:r>
    </w:p>
    <w:p w14:paraId="7E7F2CD2">
      <w:pPr>
        <w:keepNext w:val="0"/>
        <w:keepLines w:val="0"/>
        <w:pageBreakBefore w:val="0"/>
        <w:widowControl w:val="0"/>
        <w:kinsoku/>
        <w:wordWrap/>
        <w:overflowPunct/>
        <w:topLinePunct w:val="0"/>
        <w:bidi w:val="0"/>
        <w:snapToGrid w:val="0"/>
        <w:spacing w:line="360" w:lineRule="auto"/>
        <w:ind w:left="0" w:right="0" w:firstLine="504" w:firstLineChars="200"/>
        <w:rPr>
          <w:rFonts w:hint="eastAsia" w:ascii="仿宋" w:hAnsi="仿宋" w:eastAsia="仿宋" w:cs="仿宋"/>
          <w:snapToGrid w:val="0"/>
          <w:color w:val="auto"/>
          <w:spacing w:val="6"/>
          <w:sz w:val="24"/>
          <w:szCs w:val="24"/>
          <w:highlight w:val="none"/>
        </w:rPr>
      </w:pPr>
      <w:r>
        <w:rPr>
          <w:rFonts w:hint="eastAsia" w:ascii="仿宋" w:hAnsi="仿宋" w:eastAsia="仿宋" w:cs="仿宋"/>
          <w:snapToGrid w:val="0"/>
          <w:color w:val="auto"/>
          <w:spacing w:val="6"/>
          <w:sz w:val="24"/>
          <w:szCs w:val="24"/>
          <w:highlight w:val="none"/>
        </w:rPr>
        <w:t>项目实施地点：陕西省中波台管理中心指定地点</w:t>
      </w:r>
    </w:p>
    <w:p w14:paraId="0E5B006D">
      <w:pPr>
        <w:keepNext w:val="0"/>
        <w:keepLines w:val="0"/>
        <w:pageBreakBefore w:val="0"/>
        <w:widowControl w:val="0"/>
        <w:kinsoku/>
        <w:wordWrap/>
        <w:overflowPunct/>
        <w:topLinePunct w:val="0"/>
        <w:bidi w:val="0"/>
        <w:snapToGrid w:val="0"/>
        <w:spacing w:line="360" w:lineRule="auto"/>
        <w:ind w:left="0" w:right="0" w:firstLine="504" w:firstLineChars="200"/>
        <w:rPr>
          <w:rFonts w:hint="eastAsia" w:ascii="仿宋" w:hAnsi="仿宋" w:eastAsia="仿宋" w:cs="仿宋"/>
          <w:snapToGrid w:val="0"/>
          <w:color w:val="auto"/>
          <w:spacing w:val="6"/>
          <w:sz w:val="24"/>
          <w:szCs w:val="24"/>
          <w:highlight w:val="none"/>
        </w:rPr>
      </w:pPr>
      <w:r>
        <w:rPr>
          <w:rFonts w:hint="eastAsia" w:ascii="仿宋" w:hAnsi="仿宋" w:eastAsia="仿宋" w:cs="仿宋"/>
          <w:snapToGrid w:val="0"/>
          <w:color w:val="auto"/>
          <w:spacing w:val="6"/>
          <w:sz w:val="24"/>
          <w:szCs w:val="24"/>
          <w:highlight w:val="none"/>
        </w:rPr>
        <w:t>项目内容：采购2部10kW中波广播发射机；3台车载场强测试仪；2部50kVA稳压器；1套低压配电柜，具体内容以本项目招标文件所涵盖全部内容为准。</w:t>
      </w:r>
    </w:p>
    <w:p w14:paraId="4FE2FA16">
      <w:pPr>
        <w:keepNext w:val="0"/>
        <w:keepLines w:val="0"/>
        <w:pageBreakBefore w:val="0"/>
        <w:widowControl w:val="0"/>
        <w:kinsoku/>
        <w:wordWrap/>
        <w:overflowPunct/>
        <w:topLinePunct w:val="0"/>
        <w:bidi w:val="0"/>
        <w:snapToGrid w:val="0"/>
        <w:spacing w:line="360" w:lineRule="auto"/>
        <w:ind w:left="0" w:right="0" w:firstLine="506" w:firstLineChars="200"/>
        <w:outlineLvl w:val="0"/>
        <w:rPr>
          <w:rFonts w:hint="eastAsia" w:ascii="仿宋" w:hAnsi="仿宋" w:eastAsia="仿宋" w:cs="仿宋"/>
          <w:b/>
          <w:snapToGrid w:val="0"/>
          <w:color w:val="auto"/>
          <w:spacing w:val="6"/>
          <w:sz w:val="24"/>
          <w:szCs w:val="24"/>
          <w:highlight w:val="none"/>
          <w:lang w:val="en-US" w:eastAsia="zh-CN"/>
        </w:rPr>
      </w:pPr>
      <w:r>
        <w:rPr>
          <w:rFonts w:hint="eastAsia" w:ascii="仿宋" w:hAnsi="仿宋" w:eastAsia="仿宋" w:cs="仿宋"/>
          <w:b/>
          <w:snapToGrid w:val="0"/>
          <w:color w:val="auto"/>
          <w:spacing w:val="6"/>
          <w:sz w:val="24"/>
          <w:szCs w:val="24"/>
          <w:highlight w:val="none"/>
        </w:rPr>
        <w:t>二、</w:t>
      </w:r>
      <w:r>
        <w:rPr>
          <w:rFonts w:hint="eastAsia" w:ascii="仿宋" w:hAnsi="仿宋" w:eastAsia="仿宋" w:cs="仿宋"/>
          <w:b/>
          <w:snapToGrid w:val="0"/>
          <w:color w:val="auto"/>
          <w:spacing w:val="6"/>
          <w:sz w:val="24"/>
          <w:szCs w:val="24"/>
          <w:highlight w:val="none"/>
          <w:lang w:eastAsia="zh-CN"/>
        </w:rPr>
        <w:t>交货期</w:t>
      </w:r>
    </w:p>
    <w:p w14:paraId="61687CA2">
      <w:pPr>
        <w:keepNext w:val="0"/>
        <w:keepLines w:val="0"/>
        <w:pageBreakBefore w:val="0"/>
        <w:widowControl w:val="0"/>
        <w:tabs>
          <w:tab w:val="left" w:pos="7395"/>
        </w:tabs>
        <w:kinsoku/>
        <w:wordWrap/>
        <w:overflowPunct/>
        <w:topLinePunct w:val="0"/>
        <w:bidi w:val="0"/>
        <w:snapToGrid w:val="0"/>
        <w:spacing w:line="360" w:lineRule="auto"/>
        <w:ind w:left="0" w:right="0" w:firstLine="504" w:firstLineChars="200"/>
        <w:rPr>
          <w:rFonts w:hint="eastAsia" w:ascii="仿宋" w:hAnsi="仿宋" w:eastAsia="仿宋" w:cs="仿宋"/>
          <w:color w:val="auto"/>
          <w:sz w:val="24"/>
          <w:szCs w:val="24"/>
          <w:highlight w:val="none"/>
        </w:rPr>
      </w:pPr>
      <w:r>
        <w:rPr>
          <w:rFonts w:hint="eastAsia" w:ascii="仿宋" w:hAnsi="仿宋" w:eastAsia="仿宋" w:cs="仿宋"/>
          <w:snapToGrid w:val="0"/>
          <w:color w:val="auto"/>
          <w:spacing w:val="6"/>
          <w:sz w:val="24"/>
          <w:szCs w:val="24"/>
          <w:highlight w:val="none"/>
        </w:rPr>
        <w:t>自合同签订后2个月内供货安装调试并验收合格。</w:t>
      </w:r>
      <w:r>
        <w:rPr>
          <w:rFonts w:hint="eastAsia" w:ascii="仿宋" w:hAnsi="仿宋" w:eastAsia="仿宋" w:cs="仿宋"/>
          <w:color w:val="auto"/>
          <w:sz w:val="24"/>
          <w:szCs w:val="24"/>
          <w:highlight w:val="none"/>
        </w:rPr>
        <w:tab/>
      </w:r>
    </w:p>
    <w:p w14:paraId="5E837DE2">
      <w:pPr>
        <w:keepNext w:val="0"/>
        <w:keepLines w:val="0"/>
        <w:pageBreakBefore w:val="0"/>
        <w:widowControl w:val="0"/>
        <w:kinsoku/>
        <w:wordWrap/>
        <w:overflowPunct/>
        <w:topLinePunct w:val="0"/>
        <w:bidi w:val="0"/>
        <w:snapToGrid w:val="0"/>
        <w:spacing w:line="360" w:lineRule="auto"/>
        <w:ind w:left="0" w:right="0" w:firstLine="506" w:firstLineChars="200"/>
        <w:outlineLvl w:val="0"/>
        <w:rPr>
          <w:rFonts w:hint="eastAsia" w:ascii="仿宋" w:hAnsi="仿宋" w:eastAsia="仿宋" w:cs="仿宋"/>
          <w:b/>
          <w:snapToGrid w:val="0"/>
          <w:color w:val="auto"/>
          <w:spacing w:val="6"/>
          <w:sz w:val="24"/>
          <w:szCs w:val="24"/>
          <w:highlight w:val="none"/>
        </w:rPr>
      </w:pPr>
      <w:r>
        <w:rPr>
          <w:rFonts w:hint="eastAsia" w:ascii="仿宋" w:hAnsi="仿宋" w:eastAsia="仿宋" w:cs="仿宋"/>
          <w:b/>
          <w:snapToGrid w:val="0"/>
          <w:color w:val="auto"/>
          <w:spacing w:val="6"/>
          <w:sz w:val="24"/>
          <w:szCs w:val="24"/>
          <w:highlight w:val="none"/>
        </w:rPr>
        <w:t>三、质量标准</w:t>
      </w:r>
    </w:p>
    <w:p w14:paraId="13A1AD9E">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仿宋" w:hAnsi="仿宋" w:eastAsia="仿宋" w:cs="仿宋"/>
          <w:snapToGrid w:val="0"/>
          <w:color w:val="auto"/>
          <w:spacing w:val="6"/>
          <w:sz w:val="24"/>
          <w:szCs w:val="24"/>
          <w:highlight w:val="none"/>
          <w:u w:val="single"/>
        </w:rPr>
      </w:pPr>
      <w:r>
        <w:rPr>
          <w:rFonts w:hint="eastAsia" w:ascii="仿宋" w:hAnsi="仿宋" w:eastAsia="仿宋" w:cs="仿宋"/>
          <w:color w:val="auto"/>
          <w:sz w:val="24"/>
          <w:szCs w:val="24"/>
          <w:highlight w:val="none"/>
        </w:rPr>
        <w:t>具体详见本项目招标文件。</w:t>
      </w:r>
    </w:p>
    <w:p w14:paraId="6A0FCA64">
      <w:pPr>
        <w:keepNext w:val="0"/>
        <w:keepLines w:val="0"/>
        <w:pageBreakBefore w:val="0"/>
        <w:widowControl w:val="0"/>
        <w:kinsoku/>
        <w:wordWrap/>
        <w:overflowPunct/>
        <w:topLinePunct w:val="0"/>
        <w:bidi w:val="0"/>
        <w:snapToGrid w:val="0"/>
        <w:spacing w:line="360" w:lineRule="auto"/>
        <w:ind w:left="0" w:right="0" w:firstLine="506" w:firstLineChars="200"/>
        <w:outlineLvl w:val="0"/>
        <w:rPr>
          <w:rFonts w:hint="eastAsia" w:ascii="仿宋" w:hAnsi="仿宋" w:eastAsia="仿宋" w:cs="仿宋"/>
          <w:b/>
          <w:snapToGrid w:val="0"/>
          <w:color w:val="auto"/>
          <w:spacing w:val="6"/>
          <w:sz w:val="24"/>
          <w:szCs w:val="24"/>
          <w:highlight w:val="none"/>
        </w:rPr>
      </w:pPr>
      <w:r>
        <w:rPr>
          <w:rFonts w:hint="eastAsia" w:ascii="仿宋" w:hAnsi="仿宋" w:eastAsia="仿宋" w:cs="仿宋"/>
          <w:b/>
          <w:snapToGrid w:val="0"/>
          <w:color w:val="auto"/>
          <w:spacing w:val="6"/>
          <w:sz w:val="24"/>
          <w:szCs w:val="24"/>
          <w:highlight w:val="none"/>
        </w:rPr>
        <w:t>四、合同价款</w:t>
      </w:r>
    </w:p>
    <w:tbl>
      <w:tblPr>
        <w:tblStyle w:val="2"/>
        <w:tblW w:w="8357" w:type="dxa"/>
        <w:jc w:val="center"/>
        <w:tblLayout w:type="fixed"/>
        <w:tblCellMar>
          <w:top w:w="0" w:type="dxa"/>
          <w:left w:w="28" w:type="dxa"/>
          <w:bottom w:w="0" w:type="dxa"/>
          <w:right w:w="28" w:type="dxa"/>
        </w:tblCellMar>
      </w:tblPr>
      <w:tblGrid>
        <w:gridCol w:w="643"/>
        <w:gridCol w:w="1032"/>
        <w:gridCol w:w="2031"/>
        <w:gridCol w:w="828"/>
        <w:gridCol w:w="592"/>
        <w:gridCol w:w="471"/>
        <w:gridCol w:w="1065"/>
        <w:gridCol w:w="1065"/>
        <w:gridCol w:w="630"/>
      </w:tblGrid>
      <w:tr w14:paraId="6E78EF1E">
        <w:tblPrEx>
          <w:tblCellMar>
            <w:top w:w="0" w:type="dxa"/>
            <w:left w:w="28" w:type="dxa"/>
            <w:bottom w:w="0" w:type="dxa"/>
            <w:right w:w="28" w:type="dxa"/>
          </w:tblCellMar>
        </w:tblPrEx>
        <w:trPr>
          <w:cantSplit/>
          <w:trHeight w:val="536" w:hRule="atLeast"/>
          <w:jc w:val="center"/>
        </w:trPr>
        <w:tc>
          <w:tcPr>
            <w:tcW w:w="643" w:type="dxa"/>
            <w:tcBorders>
              <w:top w:val="single" w:color="auto" w:sz="6" w:space="0"/>
              <w:left w:val="single" w:color="auto" w:sz="6" w:space="0"/>
              <w:bottom w:val="single" w:color="auto" w:sz="6" w:space="0"/>
            </w:tcBorders>
            <w:vAlign w:val="center"/>
          </w:tcPr>
          <w:p w14:paraId="29332DBC">
            <w:pPr>
              <w:keepNext w:val="0"/>
              <w:keepLines w:val="0"/>
              <w:pageBreakBefore w:val="0"/>
              <w:widowControl w:val="0"/>
              <w:kinsoku/>
              <w:wordWrap/>
              <w:overflowPunct/>
              <w:topLinePunct w:val="0"/>
              <w:bidi w:val="0"/>
              <w:spacing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1032" w:type="dxa"/>
            <w:tcBorders>
              <w:top w:val="single" w:color="auto" w:sz="6" w:space="0"/>
              <w:left w:val="single" w:color="auto" w:sz="6" w:space="0"/>
              <w:bottom w:val="single" w:color="auto" w:sz="6" w:space="0"/>
              <w:right w:val="single" w:color="auto" w:sz="6" w:space="0"/>
            </w:tcBorders>
            <w:vAlign w:val="center"/>
          </w:tcPr>
          <w:p w14:paraId="722B2149">
            <w:pPr>
              <w:keepNext w:val="0"/>
              <w:keepLines w:val="0"/>
              <w:pageBreakBefore w:val="0"/>
              <w:widowControl w:val="0"/>
              <w:kinsoku/>
              <w:wordWrap/>
              <w:overflowPunct/>
              <w:topLinePunct w:val="0"/>
              <w:bidi w:val="0"/>
              <w:spacing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名称</w:t>
            </w:r>
          </w:p>
        </w:tc>
        <w:tc>
          <w:tcPr>
            <w:tcW w:w="2031" w:type="dxa"/>
            <w:tcBorders>
              <w:top w:val="single" w:color="auto" w:sz="6" w:space="0"/>
              <w:left w:val="single" w:color="auto" w:sz="6" w:space="0"/>
              <w:bottom w:val="single" w:color="auto" w:sz="6" w:space="0"/>
              <w:right w:val="single" w:color="auto" w:sz="6" w:space="0"/>
            </w:tcBorders>
            <w:vAlign w:val="center"/>
          </w:tcPr>
          <w:p w14:paraId="4CB5A271">
            <w:pPr>
              <w:keepNext w:val="0"/>
              <w:keepLines w:val="0"/>
              <w:pageBreakBefore w:val="0"/>
              <w:widowControl w:val="0"/>
              <w:kinsoku/>
              <w:wordWrap/>
              <w:overflowPunct/>
              <w:topLinePunct w:val="0"/>
              <w:bidi w:val="0"/>
              <w:spacing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型号规格</w:t>
            </w:r>
          </w:p>
        </w:tc>
        <w:tc>
          <w:tcPr>
            <w:tcW w:w="828" w:type="dxa"/>
            <w:tcBorders>
              <w:top w:val="single" w:color="auto" w:sz="6" w:space="0"/>
              <w:left w:val="single" w:color="auto" w:sz="6" w:space="0"/>
              <w:bottom w:val="single" w:color="auto" w:sz="6" w:space="0"/>
              <w:right w:val="single" w:color="auto" w:sz="6" w:space="0"/>
            </w:tcBorders>
            <w:vAlign w:val="center"/>
          </w:tcPr>
          <w:p w14:paraId="36DF6297">
            <w:pPr>
              <w:keepNext w:val="0"/>
              <w:keepLines w:val="0"/>
              <w:pageBreakBefore w:val="0"/>
              <w:widowControl w:val="0"/>
              <w:kinsoku/>
              <w:wordWrap/>
              <w:overflowPunct/>
              <w:topLinePunct w:val="0"/>
              <w:bidi w:val="0"/>
              <w:spacing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厂家</w:t>
            </w:r>
          </w:p>
        </w:tc>
        <w:tc>
          <w:tcPr>
            <w:tcW w:w="592" w:type="dxa"/>
            <w:tcBorders>
              <w:top w:val="single" w:color="auto" w:sz="6" w:space="0"/>
              <w:left w:val="single" w:color="auto" w:sz="6" w:space="0"/>
              <w:bottom w:val="single" w:color="auto" w:sz="6" w:space="0"/>
              <w:right w:val="single" w:color="auto" w:sz="6" w:space="0"/>
            </w:tcBorders>
            <w:vAlign w:val="center"/>
          </w:tcPr>
          <w:p w14:paraId="3122E049">
            <w:pPr>
              <w:keepNext w:val="0"/>
              <w:keepLines w:val="0"/>
              <w:pageBreakBefore w:val="0"/>
              <w:widowControl w:val="0"/>
              <w:kinsoku/>
              <w:wordWrap/>
              <w:overflowPunct/>
              <w:topLinePunct w:val="0"/>
              <w:bidi w:val="0"/>
              <w:spacing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w:t>
            </w:r>
          </w:p>
        </w:tc>
        <w:tc>
          <w:tcPr>
            <w:tcW w:w="471" w:type="dxa"/>
            <w:tcBorders>
              <w:top w:val="single" w:color="auto" w:sz="6" w:space="0"/>
              <w:left w:val="single" w:color="auto" w:sz="6" w:space="0"/>
              <w:bottom w:val="single" w:color="auto" w:sz="6" w:space="0"/>
              <w:right w:val="single" w:color="auto" w:sz="6" w:space="0"/>
            </w:tcBorders>
            <w:vAlign w:val="center"/>
          </w:tcPr>
          <w:p w14:paraId="3DEE1467">
            <w:pPr>
              <w:keepNext w:val="0"/>
              <w:keepLines w:val="0"/>
              <w:pageBreakBefore w:val="0"/>
              <w:widowControl w:val="0"/>
              <w:kinsoku/>
              <w:wordWrap/>
              <w:overflowPunct/>
              <w:topLinePunct w:val="0"/>
              <w:bidi w:val="0"/>
              <w:spacing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p>
        </w:tc>
        <w:tc>
          <w:tcPr>
            <w:tcW w:w="1065" w:type="dxa"/>
            <w:tcBorders>
              <w:top w:val="single" w:color="auto" w:sz="6" w:space="0"/>
              <w:left w:val="single" w:color="auto" w:sz="6" w:space="0"/>
              <w:bottom w:val="single" w:color="auto" w:sz="6" w:space="0"/>
              <w:right w:val="single" w:color="auto" w:sz="6" w:space="0"/>
            </w:tcBorders>
            <w:vAlign w:val="center"/>
          </w:tcPr>
          <w:p w14:paraId="7E470804">
            <w:pPr>
              <w:keepNext w:val="0"/>
              <w:keepLines w:val="0"/>
              <w:pageBreakBefore w:val="0"/>
              <w:widowControl w:val="0"/>
              <w:kinsoku/>
              <w:wordWrap/>
              <w:overflowPunct/>
              <w:topLinePunct w:val="0"/>
              <w:bidi w:val="0"/>
              <w:spacing w:line="360" w:lineRule="auto"/>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含税单价(元)</w:t>
            </w:r>
          </w:p>
        </w:tc>
        <w:tc>
          <w:tcPr>
            <w:tcW w:w="1065" w:type="dxa"/>
            <w:tcBorders>
              <w:top w:val="single" w:color="auto" w:sz="6" w:space="0"/>
              <w:left w:val="single" w:color="auto" w:sz="6" w:space="0"/>
              <w:bottom w:val="single" w:color="auto" w:sz="6" w:space="0"/>
              <w:right w:val="single" w:color="auto" w:sz="6" w:space="0"/>
            </w:tcBorders>
            <w:vAlign w:val="center"/>
          </w:tcPr>
          <w:p w14:paraId="1BCEDC46">
            <w:pPr>
              <w:keepNext w:val="0"/>
              <w:keepLines w:val="0"/>
              <w:pageBreakBefore w:val="0"/>
              <w:widowControl w:val="0"/>
              <w:kinsoku/>
              <w:wordWrap/>
              <w:overflowPunct/>
              <w:topLinePunct w:val="0"/>
              <w:bidi w:val="0"/>
              <w:spacing w:line="360" w:lineRule="auto"/>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含税金额(元)</w:t>
            </w:r>
          </w:p>
        </w:tc>
        <w:tc>
          <w:tcPr>
            <w:tcW w:w="630" w:type="dxa"/>
            <w:tcBorders>
              <w:top w:val="single" w:color="auto" w:sz="6" w:space="0"/>
              <w:left w:val="single" w:color="auto" w:sz="6" w:space="0"/>
              <w:bottom w:val="single" w:color="auto" w:sz="6" w:space="0"/>
              <w:right w:val="single" w:color="auto" w:sz="6" w:space="0"/>
            </w:tcBorders>
            <w:vAlign w:val="center"/>
          </w:tcPr>
          <w:p w14:paraId="06D458D3">
            <w:pPr>
              <w:keepNext w:val="0"/>
              <w:keepLines w:val="0"/>
              <w:pageBreakBefore w:val="0"/>
              <w:widowControl w:val="0"/>
              <w:kinsoku/>
              <w:wordWrap/>
              <w:overflowPunct/>
              <w:topLinePunct w:val="0"/>
              <w:bidi w:val="0"/>
              <w:spacing w:line="360" w:lineRule="auto"/>
              <w:ind w:left="0" w:right="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税率</w:t>
            </w:r>
          </w:p>
        </w:tc>
      </w:tr>
      <w:tr w14:paraId="586668FB">
        <w:tblPrEx>
          <w:tblCellMar>
            <w:top w:w="0" w:type="dxa"/>
            <w:left w:w="28" w:type="dxa"/>
            <w:bottom w:w="0" w:type="dxa"/>
            <w:right w:w="28" w:type="dxa"/>
          </w:tblCellMar>
        </w:tblPrEx>
        <w:trPr>
          <w:cantSplit/>
          <w:trHeight w:val="488" w:hRule="atLeast"/>
          <w:jc w:val="center"/>
        </w:trPr>
        <w:tc>
          <w:tcPr>
            <w:tcW w:w="643" w:type="dxa"/>
            <w:tcBorders>
              <w:top w:val="single" w:color="auto" w:sz="6" w:space="0"/>
              <w:left w:val="single" w:color="auto" w:sz="6" w:space="0"/>
              <w:bottom w:val="single" w:color="auto" w:sz="4" w:space="0"/>
            </w:tcBorders>
            <w:vAlign w:val="center"/>
          </w:tcPr>
          <w:p w14:paraId="3471A39B">
            <w:pPr>
              <w:keepNext w:val="0"/>
              <w:keepLines w:val="0"/>
              <w:pageBreakBefore w:val="0"/>
              <w:widowControl w:val="0"/>
              <w:kinsoku/>
              <w:wordWrap/>
              <w:overflowPunct/>
              <w:topLinePunct w:val="0"/>
              <w:bidi w:val="0"/>
              <w:spacing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032" w:type="dxa"/>
            <w:tcBorders>
              <w:top w:val="single" w:color="auto" w:sz="6" w:space="0"/>
              <w:left w:val="single" w:color="auto" w:sz="6" w:space="0"/>
              <w:bottom w:val="single" w:color="auto" w:sz="4" w:space="0"/>
              <w:right w:val="single" w:color="auto" w:sz="6" w:space="0"/>
            </w:tcBorders>
            <w:vAlign w:val="center"/>
          </w:tcPr>
          <w:p w14:paraId="24ADB53B">
            <w:pPr>
              <w:keepNext w:val="0"/>
              <w:keepLines w:val="0"/>
              <w:pageBreakBefore w:val="0"/>
              <w:widowControl w:val="0"/>
              <w:kinsoku/>
              <w:wordWrap/>
              <w:overflowPunct/>
              <w:topLinePunct w:val="0"/>
              <w:bidi w:val="0"/>
              <w:spacing w:line="360" w:lineRule="auto"/>
              <w:ind w:left="0" w:right="0"/>
              <w:rPr>
                <w:rFonts w:hint="eastAsia" w:ascii="仿宋" w:hAnsi="仿宋" w:eastAsia="仿宋" w:cs="仿宋"/>
                <w:color w:val="auto"/>
                <w:sz w:val="24"/>
                <w:szCs w:val="24"/>
                <w:highlight w:val="none"/>
              </w:rPr>
            </w:pPr>
          </w:p>
        </w:tc>
        <w:tc>
          <w:tcPr>
            <w:tcW w:w="2031" w:type="dxa"/>
            <w:tcBorders>
              <w:top w:val="single" w:color="auto" w:sz="6" w:space="0"/>
              <w:left w:val="single" w:color="auto" w:sz="6" w:space="0"/>
              <w:bottom w:val="single" w:color="auto" w:sz="4" w:space="0"/>
              <w:right w:val="single" w:color="auto" w:sz="6" w:space="0"/>
            </w:tcBorders>
            <w:vAlign w:val="center"/>
          </w:tcPr>
          <w:p w14:paraId="457520A4">
            <w:pPr>
              <w:keepNext w:val="0"/>
              <w:keepLines w:val="0"/>
              <w:pageBreakBefore w:val="0"/>
              <w:widowControl w:val="0"/>
              <w:kinsoku/>
              <w:wordWrap/>
              <w:overflowPunct/>
              <w:topLinePunct w:val="0"/>
              <w:bidi w:val="0"/>
              <w:spacing w:line="360" w:lineRule="auto"/>
              <w:ind w:left="0" w:right="0"/>
              <w:rPr>
                <w:rFonts w:hint="eastAsia" w:ascii="仿宋" w:hAnsi="仿宋" w:eastAsia="仿宋" w:cs="仿宋"/>
                <w:color w:val="auto"/>
                <w:sz w:val="24"/>
                <w:szCs w:val="24"/>
                <w:highlight w:val="none"/>
              </w:rPr>
            </w:pPr>
          </w:p>
        </w:tc>
        <w:tc>
          <w:tcPr>
            <w:tcW w:w="828" w:type="dxa"/>
            <w:tcBorders>
              <w:top w:val="single" w:color="auto" w:sz="6" w:space="0"/>
              <w:left w:val="single" w:color="auto" w:sz="6" w:space="0"/>
              <w:bottom w:val="single" w:color="auto" w:sz="4" w:space="0"/>
              <w:right w:val="single" w:color="auto" w:sz="6" w:space="0"/>
            </w:tcBorders>
            <w:vAlign w:val="center"/>
          </w:tcPr>
          <w:p w14:paraId="1D93CD2A">
            <w:pPr>
              <w:keepNext w:val="0"/>
              <w:keepLines w:val="0"/>
              <w:pageBreakBefore w:val="0"/>
              <w:widowControl w:val="0"/>
              <w:kinsoku/>
              <w:wordWrap/>
              <w:overflowPunct/>
              <w:topLinePunct w:val="0"/>
              <w:bidi w:val="0"/>
              <w:spacing w:line="360" w:lineRule="auto"/>
              <w:ind w:left="0" w:right="0"/>
              <w:rPr>
                <w:rFonts w:hint="eastAsia" w:ascii="仿宋" w:hAnsi="仿宋" w:eastAsia="仿宋" w:cs="仿宋"/>
                <w:color w:val="auto"/>
                <w:sz w:val="24"/>
                <w:szCs w:val="24"/>
                <w:highlight w:val="none"/>
              </w:rPr>
            </w:pPr>
          </w:p>
        </w:tc>
        <w:tc>
          <w:tcPr>
            <w:tcW w:w="592" w:type="dxa"/>
            <w:tcBorders>
              <w:top w:val="single" w:color="auto" w:sz="6" w:space="0"/>
              <w:left w:val="single" w:color="auto" w:sz="6" w:space="0"/>
              <w:bottom w:val="single" w:color="auto" w:sz="4" w:space="0"/>
              <w:right w:val="single" w:color="auto" w:sz="6" w:space="0"/>
            </w:tcBorders>
            <w:vAlign w:val="center"/>
          </w:tcPr>
          <w:p w14:paraId="3CDC40AF">
            <w:pPr>
              <w:keepNext w:val="0"/>
              <w:keepLines w:val="0"/>
              <w:pageBreakBefore w:val="0"/>
              <w:widowControl w:val="0"/>
              <w:kinsoku/>
              <w:wordWrap/>
              <w:overflowPunct/>
              <w:topLinePunct w:val="0"/>
              <w:bidi w:val="0"/>
              <w:spacing w:line="360" w:lineRule="auto"/>
              <w:ind w:left="0" w:right="0"/>
              <w:jc w:val="center"/>
              <w:rPr>
                <w:rFonts w:hint="eastAsia" w:ascii="仿宋" w:hAnsi="仿宋" w:eastAsia="仿宋" w:cs="仿宋"/>
                <w:color w:val="auto"/>
                <w:sz w:val="24"/>
                <w:szCs w:val="24"/>
                <w:highlight w:val="none"/>
              </w:rPr>
            </w:pPr>
          </w:p>
        </w:tc>
        <w:tc>
          <w:tcPr>
            <w:tcW w:w="471" w:type="dxa"/>
            <w:tcBorders>
              <w:top w:val="single" w:color="auto" w:sz="6" w:space="0"/>
              <w:left w:val="single" w:color="auto" w:sz="6" w:space="0"/>
              <w:bottom w:val="single" w:color="auto" w:sz="4" w:space="0"/>
              <w:right w:val="single" w:color="auto" w:sz="6" w:space="0"/>
            </w:tcBorders>
            <w:vAlign w:val="center"/>
          </w:tcPr>
          <w:p w14:paraId="46DE024A">
            <w:pPr>
              <w:keepNext w:val="0"/>
              <w:keepLines w:val="0"/>
              <w:pageBreakBefore w:val="0"/>
              <w:widowControl w:val="0"/>
              <w:kinsoku/>
              <w:wordWrap/>
              <w:overflowPunct/>
              <w:topLinePunct w:val="0"/>
              <w:bidi w:val="0"/>
              <w:spacing w:line="360" w:lineRule="auto"/>
              <w:ind w:left="0" w:right="0"/>
              <w:jc w:val="center"/>
              <w:rPr>
                <w:rFonts w:hint="eastAsia" w:ascii="仿宋" w:hAnsi="仿宋" w:eastAsia="仿宋" w:cs="仿宋"/>
                <w:color w:val="auto"/>
                <w:sz w:val="24"/>
                <w:szCs w:val="24"/>
                <w:highlight w:val="none"/>
              </w:rPr>
            </w:pPr>
          </w:p>
        </w:tc>
        <w:tc>
          <w:tcPr>
            <w:tcW w:w="1065" w:type="dxa"/>
            <w:tcBorders>
              <w:top w:val="single" w:color="auto" w:sz="6" w:space="0"/>
              <w:left w:val="single" w:color="auto" w:sz="6" w:space="0"/>
              <w:bottom w:val="single" w:color="auto" w:sz="4" w:space="0"/>
              <w:right w:val="single" w:color="auto" w:sz="6" w:space="0"/>
            </w:tcBorders>
            <w:vAlign w:val="center"/>
          </w:tcPr>
          <w:p w14:paraId="59D577BD">
            <w:pPr>
              <w:keepNext w:val="0"/>
              <w:keepLines w:val="0"/>
              <w:pageBreakBefore w:val="0"/>
              <w:widowControl w:val="0"/>
              <w:kinsoku/>
              <w:wordWrap/>
              <w:overflowPunct/>
              <w:topLinePunct w:val="0"/>
              <w:bidi w:val="0"/>
              <w:spacing w:line="360" w:lineRule="auto"/>
              <w:ind w:left="0" w:right="0"/>
              <w:jc w:val="center"/>
              <w:textAlignment w:val="center"/>
              <w:rPr>
                <w:rFonts w:hint="eastAsia" w:ascii="仿宋" w:hAnsi="仿宋" w:eastAsia="仿宋" w:cs="仿宋"/>
                <w:color w:val="auto"/>
                <w:sz w:val="24"/>
                <w:szCs w:val="24"/>
                <w:highlight w:val="none"/>
              </w:rPr>
            </w:pPr>
          </w:p>
        </w:tc>
        <w:tc>
          <w:tcPr>
            <w:tcW w:w="1065" w:type="dxa"/>
            <w:tcBorders>
              <w:top w:val="single" w:color="auto" w:sz="6" w:space="0"/>
              <w:left w:val="single" w:color="auto" w:sz="6" w:space="0"/>
              <w:bottom w:val="single" w:color="auto" w:sz="4" w:space="0"/>
              <w:right w:val="single" w:color="auto" w:sz="6" w:space="0"/>
            </w:tcBorders>
            <w:vAlign w:val="center"/>
          </w:tcPr>
          <w:p w14:paraId="00AF4123">
            <w:pPr>
              <w:keepNext w:val="0"/>
              <w:keepLines w:val="0"/>
              <w:pageBreakBefore w:val="0"/>
              <w:widowControl w:val="0"/>
              <w:kinsoku/>
              <w:wordWrap/>
              <w:overflowPunct/>
              <w:topLinePunct w:val="0"/>
              <w:bidi w:val="0"/>
              <w:spacing w:line="360" w:lineRule="auto"/>
              <w:ind w:left="0" w:right="0"/>
              <w:jc w:val="center"/>
              <w:textAlignment w:val="center"/>
              <w:rPr>
                <w:rFonts w:hint="eastAsia" w:ascii="仿宋" w:hAnsi="仿宋" w:eastAsia="仿宋" w:cs="仿宋"/>
                <w:color w:val="auto"/>
                <w:sz w:val="24"/>
                <w:szCs w:val="24"/>
                <w:highlight w:val="none"/>
              </w:rPr>
            </w:pPr>
          </w:p>
        </w:tc>
        <w:tc>
          <w:tcPr>
            <w:tcW w:w="630" w:type="dxa"/>
            <w:tcBorders>
              <w:top w:val="single" w:color="auto" w:sz="6" w:space="0"/>
              <w:left w:val="single" w:color="auto" w:sz="6" w:space="0"/>
              <w:bottom w:val="single" w:color="auto" w:sz="4" w:space="0"/>
              <w:right w:val="single" w:color="auto" w:sz="6" w:space="0"/>
            </w:tcBorders>
            <w:vAlign w:val="center"/>
          </w:tcPr>
          <w:p w14:paraId="442B235A">
            <w:pPr>
              <w:keepNext w:val="0"/>
              <w:keepLines w:val="0"/>
              <w:pageBreakBefore w:val="0"/>
              <w:widowControl w:val="0"/>
              <w:kinsoku/>
              <w:wordWrap/>
              <w:overflowPunct/>
              <w:topLinePunct w:val="0"/>
              <w:bidi w:val="0"/>
              <w:spacing w:line="360" w:lineRule="auto"/>
              <w:ind w:left="0" w:right="0"/>
              <w:jc w:val="center"/>
              <w:textAlignment w:val="center"/>
              <w:rPr>
                <w:rFonts w:hint="eastAsia" w:ascii="仿宋" w:hAnsi="仿宋" w:eastAsia="仿宋" w:cs="仿宋"/>
                <w:color w:val="auto"/>
                <w:sz w:val="24"/>
                <w:szCs w:val="24"/>
                <w:highlight w:val="none"/>
              </w:rPr>
            </w:pPr>
          </w:p>
        </w:tc>
      </w:tr>
      <w:tr w14:paraId="0BB42BF7">
        <w:tblPrEx>
          <w:tblCellMar>
            <w:top w:w="0" w:type="dxa"/>
            <w:left w:w="28" w:type="dxa"/>
            <w:bottom w:w="0" w:type="dxa"/>
            <w:right w:w="28" w:type="dxa"/>
          </w:tblCellMar>
        </w:tblPrEx>
        <w:trPr>
          <w:cantSplit/>
          <w:trHeight w:val="454" w:hRule="atLeast"/>
          <w:jc w:val="center"/>
        </w:trPr>
        <w:tc>
          <w:tcPr>
            <w:tcW w:w="643" w:type="dxa"/>
            <w:tcBorders>
              <w:top w:val="single" w:color="auto" w:sz="6" w:space="0"/>
              <w:left w:val="single" w:color="auto" w:sz="6" w:space="0"/>
              <w:bottom w:val="single" w:color="auto" w:sz="4" w:space="0"/>
            </w:tcBorders>
            <w:vAlign w:val="center"/>
          </w:tcPr>
          <w:p w14:paraId="1DB81123">
            <w:pPr>
              <w:keepNext w:val="0"/>
              <w:keepLines w:val="0"/>
              <w:pageBreakBefore w:val="0"/>
              <w:widowControl w:val="0"/>
              <w:kinsoku/>
              <w:wordWrap/>
              <w:overflowPunct/>
              <w:topLinePunct w:val="0"/>
              <w:bidi w:val="0"/>
              <w:spacing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032" w:type="dxa"/>
            <w:tcBorders>
              <w:top w:val="single" w:color="auto" w:sz="6" w:space="0"/>
              <w:left w:val="single" w:color="auto" w:sz="6" w:space="0"/>
              <w:bottom w:val="single" w:color="auto" w:sz="4" w:space="0"/>
              <w:right w:val="single" w:color="auto" w:sz="6" w:space="0"/>
            </w:tcBorders>
            <w:vAlign w:val="center"/>
          </w:tcPr>
          <w:p w14:paraId="75E3E7E2">
            <w:pPr>
              <w:keepNext w:val="0"/>
              <w:keepLines w:val="0"/>
              <w:pageBreakBefore w:val="0"/>
              <w:widowControl w:val="0"/>
              <w:kinsoku/>
              <w:wordWrap/>
              <w:overflowPunct/>
              <w:topLinePunct w:val="0"/>
              <w:bidi w:val="0"/>
              <w:spacing w:line="360" w:lineRule="auto"/>
              <w:ind w:left="0" w:right="0"/>
              <w:rPr>
                <w:rFonts w:hint="eastAsia" w:ascii="仿宋" w:hAnsi="仿宋" w:eastAsia="仿宋" w:cs="仿宋"/>
                <w:color w:val="auto"/>
                <w:sz w:val="24"/>
                <w:szCs w:val="24"/>
                <w:highlight w:val="none"/>
              </w:rPr>
            </w:pPr>
          </w:p>
        </w:tc>
        <w:tc>
          <w:tcPr>
            <w:tcW w:w="2031" w:type="dxa"/>
            <w:tcBorders>
              <w:top w:val="single" w:color="auto" w:sz="6" w:space="0"/>
              <w:left w:val="single" w:color="auto" w:sz="6" w:space="0"/>
              <w:bottom w:val="single" w:color="auto" w:sz="4" w:space="0"/>
              <w:right w:val="single" w:color="auto" w:sz="6" w:space="0"/>
            </w:tcBorders>
            <w:vAlign w:val="center"/>
          </w:tcPr>
          <w:p w14:paraId="77E27019">
            <w:pPr>
              <w:keepNext w:val="0"/>
              <w:keepLines w:val="0"/>
              <w:pageBreakBefore w:val="0"/>
              <w:widowControl w:val="0"/>
              <w:kinsoku/>
              <w:wordWrap/>
              <w:overflowPunct/>
              <w:topLinePunct w:val="0"/>
              <w:bidi w:val="0"/>
              <w:spacing w:line="360" w:lineRule="auto"/>
              <w:ind w:left="0" w:right="0"/>
              <w:rPr>
                <w:rFonts w:hint="eastAsia" w:ascii="仿宋" w:hAnsi="仿宋" w:eastAsia="仿宋" w:cs="仿宋"/>
                <w:color w:val="auto"/>
                <w:sz w:val="24"/>
                <w:szCs w:val="24"/>
                <w:highlight w:val="none"/>
              </w:rPr>
            </w:pPr>
          </w:p>
        </w:tc>
        <w:tc>
          <w:tcPr>
            <w:tcW w:w="828" w:type="dxa"/>
            <w:tcBorders>
              <w:top w:val="single" w:color="auto" w:sz="6" w:space="0"/>
              <w:left w:val="single" w:color="auto" w:sz="6" w:space="0"/>
              <w:bottom w:val="single" w:color="auto" w:sz="4" w:space="0"/>
              <w:right w:val="single" w:color="auto" w:sz="6" w:space="0"/>
            </w:tcBorders>
            <w:vAlign w:val="center"/>
          </w:tcPr>
          <w:p w14:paraId="03A58D68">
            <w:pPr>
              <w:keepNext w:val="0"/>
              <w:keepLines w:val="0"/>
              <w:pageBreakBefore w:val="0"/>
              <w:widowControl w:val="0"/>
              <w:kinsoku/>
              <w:wordWrap/>
              <w:overflowPunct/>
              <w:topLinePunct w:val="0"/>
              <w:bidi w:val="0"/>
              <w:spacing w:line="360" w:lineRule="auto"/>
              <w:ind w:left="0" w:right="0"/>
              <w:rPr>
                <w:rFonts w:hint="eastAsia" w:ascii="仿宋" w:hAnsi="仿宋" w:eastAsia="仿宋" w:cs="仿宋"/>
                <w:color w:val="auto"/>
                <w:sz w:val="24"/>
                <w:szCs w:val="24"/>
                <w:highlight w:val="none"/>
              </w:rPr>
            </w:pPr>
          </w:p>
        </w:tc>
        <w:tc>
          <w:tcPr>
            <w:tcW w:w="592" w:type="dxa"/>
            <w:tcBorders>
              <w:top w:val="single" w:color="auto" w:sz="6" w:space="0"/>
              <w:left w:val="single" w:color="auto" w:sz="6" w:space="0"/>
              <w:bottom w:val="single" w:color="auto" w:sz="4" w:space="0"/>
              <w:right w:val="single" w:color="auto" w:sz="6" w:space="0"/>
            </w:tcBorders>
            <w:vAlign w:val="center"/>
          </w:tcPr>
          <w:p w14:paraId="76DC5232">
            <w:pPr>
              <w:keepNext w:val="0"/>
              <w:keepLines w:val="0"/>
              <w:pageBreakBefore w:val="0"/>
              <w:widowControl w:val="0"/>
              <w:kinsoku/>
              <w:wordWrap/>
              <w:overflowPunct/>
              <w:topLinePunct w:val="0"/>
              <w:bidi w:val="0"/>
              <w:spacing w:line="360" w:lineRule="auto"/>
              <w:ind w:left="0" w:right="0"/>
              <w:jc w:val="center"/>
              <w:rPr>
                <w:rFonts w:hint="eastAsia" w:ascii="仿宋" w:hAnsi="仿宋" w:eastAsia="仿宋" w:cs="仿宋"/>
                <w:color w:val="auto"/>
                <w:sz w:val="24"/>
                <w:szCs w:val="24"/>
                <w:highlight w:val="none"/>
              </w:rPr>
            </w:pPr>
          </w:p>
        </w:tc>
        <w:tc>
          <w:tcPr>
            <w:tcW w:w="471" w:type="dxa"/>
            <w:tcBorders>
              <w:top w:val="single" w:color="auto" w:sz="6" w:space="0"/>
              <w:left w:val="single" w:color="auto" w:sz="6" w:space="0"/>
              <w:bottom w:val="single" w:color="auto" w:sz="4" w:space="0"/>
              <w:right w:val="single" w:color="auto" w:sz="6" w:space="0"/>
            </w:tcBorders>
            <w:vAlign w:val="center"/>
          </w:tcPr>
          <w:p w14:paraId="5F815A01">
            <w:pPr>
              <w:keepNext w:val="0"/>
              <w:keepLines w:val="0"/>
              <w:pageBreakBefore w:val="0"/>
              <w:widowControl w:val="0"/>
              <w:kinsoku/>
              <w:wordWrap/>
              <w:overflowPunct/>
              <w:topLinePunct w:val="0"/>
              <w:bidi w:val="0"/>
              <w:spacing w:line="360" w:lineRule="auto"/>
              <w:ind w:left="0" w:right="0"/>
              <w:jc w:val="center"/>
              <w:rPr>
                <w:rFonts w:hint="eastAsia" w:ascii="仿宋" w:hAnsi="仿宋" w:eastAsia="仿宋" w:cs="仿宋"/>
                <w:color w:val="auto"/>
                <w:sz w:val="24"/>
                <w:szCs w:val="24"/>
                <w:highlight w:val="none"/>
              </w:rPr>
            </w:pPr>
          </w:p>
        </w:tc>
        <w:tc>
          <w:tcPr>
            <w:tcW w:w="1065" w:type="dxa"/>
            <w:tcBorders>
              <w:top w:val="single" w:color="auto" w:sz="6" w:space="0"/>
              <w:left w:val="single" w:color="auto" w:sz="6" w:space="0"/>
              <w:bottom w:val="single" w:color="auto" w:sz="4" w:space="0"/>
              <w:right w:val="single" w:color="auto" w:sz="6" w:space="0"/>
            </w:tcBorders>
            <w:vAlign w:val="center"/>
          </w:tcPr>
          <w:p w14:paraId="145A9A20">
            <w:pPr>
              <w:keepNext w:val="0"/>
              <w:keepLines w:val="0"/>
              <w:pageBreakBefore w:val="0"/>
              <w:widowControl w:val="0"/>
              <w:kinsoku/>
              <w:wordWrap/>
              <w:overflowPunct/>
              <w:topLinePunct w:val="0"/>
              <w:bidi w:val="0"/>
              <w:spacing w:line="360" w:lineRule="auto"/>
              <w:ind w:left="0" w:right="0"/>
              <w:jc w:val="center"/>
              <w:textAlignment w:val="center"/>
              <w:rPr>
                <w:rFonts w:hint="eastAsia" w:ascii="仿宋" w:hAnsi="仿宋" w:eastAsia="仿宋" w:cs="仿宋"/>
                <w:color w:val="auto"/>
                <w:sz w:val="24"/>
                <w:szCs w:val="24"/>
                <w:highlight w:val="none"/>
              </w:rPr>
            </w:pPr>
          </w:p>
        </w:tc>
        <w:tc>
          <w:tcPr>
            <w:tcW w:w="1065" w:type="dxa"/>
            <w:tcBorders>
              <w:top w:val="single" w:color="auto" w:sz="6" w:space="0"/>
              <w:left w:val="single" w:color="auto" w:sz="6" w:space="0"/>
              <w:bottom w:val="single" w:color="auto" w:sz="4" w:space="0"/>
              <w:right w:val="single" w:color="auto" w:sz="6" w:space="0"/>
            </w:tcBorders>
            <w:vAlign w:val="center"/>
          </w:tcPr>
          <w:p w14:paraId="4E769F55">
            <w:pPr>
              <w:keepNext w:val="0"/>
              <w:keepLines w:val="0"/>
              <w:pageBreakBefore w:val="0"/>
              <w:widowControl w:val="0"/>
              <w:kinsoku/>
              <w:wordWrap/>
              <w:overflowPunct/>
              <w:topLinePunct w:val="0"/>
              <w:bidi w:val="0"/>
              <w:spacing w:line="360" w:lineRule="auto"/>
              <w:ind w:left="0" w:right="0"/>
              <w:jc w:val="center"/>
              <w:textAlignment w:val="center"/>
              <w:rPr>
                <w:rFonts w:hint="eastAsia" w:ascii="仿宋" w:hAnsi="仿宋" w:eastAsia="仿宋" w:cs="仿宋"/>
                <w:color w:val="auto"/>
                <w:sz w:val="24"/>
                <w:szCs w:val="24"/>
                <w:highlight w:val="none"/>
              </w:rPr>
            </w:pPr>
          </w:p>
        </w:tc>
        <w:tc>
          <w:tcPr>
            <w:tcW w:w="630" w:type="dxa"/>
            <w:tcBorders>
              <w:top w:val="single" w:color="auto" w:sz="6" w:space="0"/>
              <w:left w:val="single" w:color="auto" w:sz="6" w:space="0"/>
              <w:bottom w:val="single" w:color="auto" w:sz="4" w:space="0"/>
              <w:right w:val="single" w:color="auto" w:sz="6" w:space="0"/>
            </w:tcBorders>
            <w:vAlign w:val="center"/>
          </w:tcPr>
          <w:p w14:paraId="13A8371F">
            <w:pPr>
              <w:keepNext w:val="0"/>
              <w:keepLines w:val="0"/>
              <w:pageBreakBefore w:val="0"/>
              <w:widowControl w:val="0"/>
              <w:kinsoku/>
              <w:wordWrap/>
              <w:overflowPunct/>
              <w:topLinePunct w:val="0"/>
              <w:bidi w:val="0"/>
              <w:spacing w:line="360" w:lineRule="auto"/>
              <w:ind w:left="0" w:right="0"/>
              <w:jc w:val="center"/>
              <w:textAlignment w:val="center"/>
              <w:rPr>
                <w:rFonts w:hint="eastAsia" w:ascii="仿宋" w:hAnsi="仿宋" w:eastAsia="仿宋" w:cs="仿宋"/>
                <w:color w:val="auto"/>
                <w:sz w:val="24"/>
                <w:szCs w:val="24"/>
                <w:highlight w:val="none"/>
              </w:rPr>
            </w:pPr>
          </w:p>
        </w:tc>
      </w:tr>
      <w:tr w14:paraId="703ED4AD">
        <w:tblPrEx>
          <w:tblCellMar>
            <w:top w:w="0" w:type="dxa"/>
            <w:left w:w="28" w:type="dxa"/>
            <w:bottom w:w="0" w:type="dxa"/>
            <w:right w:w="28" w:type="dxa"/>
          </w:tblCellMar>
        </w:tblPrEx>
        <w:trPr>
          <w:cantSplit/>
          <w:trHeight w:val="454" w:hRule="atLeast"/>
          <w:jc w:val="center"/>
        </w:trPr>
        <w:tc>
          <w:tcPr>
            <w:tcW w:w="643" w:type="dxa"/>
            <w:tcBorders>
              <w:top w:val="single" w:color="auto" w:sz="6" w:space="0"/>
              <w:left w:val="single" w:color="auto" w:sz="6" w:space="0"/>
              <w:bottom w:val="single" w:color="auto" w:sz="4" w:space="0"/>
            </w:tcBorders>
            <w:vAlign w:val="center"/>
          </w:tcPr>
          <w:p w14:paraId="614B4D8F">
            <w:pPr>
              <w:keepNext w:val="0"/>
              <w:keepLines w:val="0"/>
              <w:pageBreakBefore w:val="0"/>
              <w:widowControl w:val="0"/>
              <w:kinsoku/>
              <w:wordWrap/>
              <w:overflowPunct/>
              <w:topLinePunct w:val="0"/>
              <w:bidi w:val="0"/>
              <w:spacing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032" w:type="dxa"/>
            <w:tcBorders>
              <w:top w:val="single" w:color="auto" w:sz="6" w:space="0"/>
              <w:left w:val="single" w:color="auto" w:sz="6" w:space="0"/>
              <w:bottom w:val="single" w:color="auto" w:sz="4" w:space="0"/>
              <w:right w:val="single" w:color="auto" w:sz="6" w:space="0"/>
            </w:tcBorders>
            <w:vAlign w:val="center"/>
          </w:tcPr>
          <w:p w14:paraId="412BB9A1">
            <w:pPr>
              <w:keepNext w:val="0"/>
              <w:keepLines w:val="0"/>
              <w:pageBreakBefore w:val="0"/>
              <w:widowControl w:val="0"/>
              <w:kinsoku/>
              <w:wordWrap/>
              <w:overflowPunct/>
              <w:topLinePunct w:val="0"/>
              <w:bidi w:val="0"/>
              <w:spacing w:line="360" w:lineRule="auto"/>
              <w:ind w:left="0" w:right="0"/>
              <w:rPr>
                <w:rFonts w:hint="eastAsia" w:ascii="仿宋" w:hAnsi="仿宋" w:eastAsia="仿宋" w:cs="仿宋"/>
                <w:color w:val="auto"/>
                <w:sz w:val="24"/>
                <w:szCs w:val="24"/>
                <w:highlight w:val="none"/>
              </w:rPr>
            </w:pPr>
          </w:p>
        </w:tc>
        <w:tc>
          <w:tcPr>
            <w:tcW w:w="2031" w:type="dxa"/>
            <w:tcBorders>
              <w:top w:val="single" w:color="auto" w:sz="6" w:space="0"/>
              <w:left w:val="single" w:color="auto" w:sz="6" w:space="0"/>
              <w:bottom w:val="single" w:color="auto" w:sz="4" w:space="0"/>
              <w:right w:val="single" w:color="auto" w:sz="6" w:space="0"/>
            </w:tcBorders>
            <w:vAlign w:val="center"/>
          </w:tcPr>
          <w:p w14:paraId="02963192">
            <w:pPr>
              <w:keepNext w:val="0"/>
              <w:keepLines w:val="0"/>
              <w:pageBreakBefore w:val="0"/>
              <w:widowControl w:val="0"/>
              <w:kinsoku/>
              <w:wordWrap/>
              <w:overflowPunct/>
              <w:topLinePunct w:val="0"/>
              <w:bidi w:val="0"/>
              <w:spacing w:line="360" w:lineRule="auto"/>
              <w:ind w:left="0" w:right="0"/>
              <w:rPr>
                <w:rFonts w:hint="eastAsia" w:ascii="仿宋" w:hAnsi="仿宋" w:eastAsia="仿宋" w:cs="仿宋"/>
                <w:color w:val="auto"/>
                <w:sz w:val="24"/>
                <w:szCs w:val="24"/>
                <w:highlight w:val="none"/>
              </w:rPr>
            </w:pPr>
          </w:p>
        </w:tc>
        <w:tc>
          <w:tcPr>
            <w:tcW w:w="828" w:type="dxa"/>
            <w:tcBorders>
              <w:top w:val="single" w:color="auto" w:sz="6" w:space="0"/>
              <w:left w:val="single" w:color="auto" w:sz="6" w:space="0"/>
              <w:bottom w:val="single" w:color="auto" w:sz="4" w:space="0"/>
              <w:right w:val="single" w:color="auto" w:sz="6" w:space="0"/>
            </w:tcBorders>
            <w:vAlign w:val="center"/>
          </w:tcPr>
          <w:p w14:paraId="4F738024">
            <w:pPr>
              <w:keepNext w:val="0"/>
              <w:keepLines w:val="0"/>
              <w:pageBreakBefore w:val="0"/>
              <w:widowControl w:val="0"/>
              <w:kinsoku/>
              <w:wordWrap/>
              <w:overflowPunct/>
              <w:topLinePunct w:val="0"/>
              <w:bidi w:val="0"/>
              <w:spacing w:line="360" w:lineRule="auto"/>
              <w:ind w:left="0" w:right="0"/>
              <w:rPr>
                <w:rFonts w:hint="eastAsia" w:ascii="仿宋" w:hAnsi="仿宋" w:eastAsia="仿宋" w:cs="仿宋"/>
                <w:color w:val="auto"/>
                <w:sz w:val="24"/>
                <w:szCs w:val="24"/>
                <w:highlight w:val="none"/>
              </w:rPr>
            </w:pPr>
          </w:p>
        </w:tc>
        <w:tc>
          <w:tcPr>
            <w:tcW w:w="592" w:type="dxa"/>
            <w:tcBorders>
              <w:top w:val="single" w:color="auto" w:sz="6" w:space="0"/>
              <w:left w:val="single" w:color="auto" w:sz="6" w:space="0"/>
              <w:bottom w:val="single" w:color="auto" w:sz="4" w:space="0"/>
              <w:right w:val="single" w:color="auto" w:sz="6" w:space="0"/>
            </w:tcBorders>
            <w:vAlign w:val="center"/>
          </w:tcPr>
          <w:p w14:paraId="5B82B01B">
            <w:pPr>
              <w:keepNext w:val="0"/>
              <w:keepLines w:val="0"/>
              <w:pageBreakBefore w:val="0"/>
              <w:widowControl w:val="0"/>
              <w:kinsoku/>
              <w:wordWrap/>
              <w:overflowPunct/>
              <w:topLinePunct w:val="0"/>
              <w:bidi w:val="0"/>
              <w:spacing w:line="360" w:lineRule="auto"/>
              <w:ind w:left="0" w:right="0"/>
              <w:jc w:val="center"/>
              <w:rPr>
                <w:rFonts w:hint="eastAsia" w:ascii="仿宋" w:hAnsi="仿宋" w:eastAsia="仿宋" w:cs="仿宋"/>
                <w:color w:val="auto"/>
                <w:sz w:val="24"/>
                <w:szCs w:val="24"/>
                <w:highlight w:val="none"/>
              </w:rPr>
            </w:pPr>
          </w:p>
        </w:tc>
        <w:tc>
          <w:tcPr>
            <w:tcW w:w="471" w:type="dxa"/>
            <w:tcBorders>
              <w:top w:val="single" w:color="auto" w:sz="6" w:space="0"/>
              <w:left w:val="single" w:color="auto" w:sz="6" w:space="0"/>
              <w:bottom w:val="single" w:color="auto" w:sz="4" w:space="0"/>
              <w:right w:val="single" w:color="auto" w:sz="6" w:space="0"/>
            </w:tcBorders>
            <w:vAlign w:val="center"/>
          </w:tcPr>
          <w:p w14:paraId="11927465">
            <w:pPr>
              <w:keepNext w:val="0"/>
              <w:keepLines w:val="0"/>
              <w:pageBreakBefore w:val="0"/>
              <w:widowControl w:val="0"/>
              <w:kinsoku/>
              <w:wordWrap/>
              <w:overflowPunct/>
              <w:topLinePunct w:val="0"/>
              <w:bidi w:val="0"/>
              <w:spacing w:line="360" w:lineRule="auto"/>
              <w:ind w:left="0" w:right="0"/>
              <w:jc w:val="center"/>
              <w:rPr>
                <w:rFonts w:hint="eastAsia" w:ascii="仿宋" w:hAnsi="仿宋" w:eastAsia="仿宋" w:cs="仿宋"/>
                <w:color w:val="auto"/>
                <w:sz w:val="24"/>
                <w:szCs w:val="24"/>
                <w:highlight w:val="none"/>
              </w:rPr>
            </w:pPr>
          </w:p>
        </w:tc>
        <w:tc>
          <w:tcPr>
            <w:tcW w:w="1065" w:type="dxa"/>
            <w:tcBorders>
              <w:top w:val="single" w:color="auto" w:sz="6" w:space="0"/>
              <w:left w:val="single" w:color="auto" w:sz="6" w:space="0"/>
              <w:bottom w:val="single" w:color="auto" w:sz="4" w:space="0"/>
              <w:right w:val="single" w:color="auto" w:sz="6" w:space="0"/>
            </w:tcBorders>
            <w:vAlign w:val="center"/>
          </w:tcPr>
          <w:p w14:paraId="11B5CDD0">
            <w:pPr>
              <w:keepNext w:val="0"/>
              <w:keepLines w:val="0"/>
              <w:pageBreakBefore w:val="0"/>
              <w:widowControl w:val="0"/>
              <w:kinsoku/>
              <w:wordWrap/>
              <w:overflowPunct/>
              <w:topLinePunct w:val="0"/>
              <w:bidi w:val="0"/>
              <w:spacing w:line="360" w:lineRule="auto"/>
              <w:ind w:left="0" w:right="0"/>
              <w:jc w:val="center"/>
              <w:textAlignment w:val="center"/>
              <w:rPr>
                <w:rFonts w:hint="eastAsia" w:ascii="仿宋" w:hAnsi="仿宋" w:eastAsia="仿宋" w:cs="仿宋"/>
                <w:color w:val="auto"/>
                <w:sz w:val="24"/>
                <w:szCs w:val="24"/>
                <w:highlight w:val="none"/>
              </w:rPr>
            </w:pPr>
          </w:p>
        </w:tc>
        <w:tc>
          <w:tcPr>
            <w:tcW w:w="1065" w:type="dxa"/>
            <w:tcBorders>
              <w:top w:val="single" w:color="auto" w:sz="6" w:space="0"/>
              <w:left w:val="single" w:color="auto" w:sz="6" w:space="0"/>
              <w:bottom w:val="single" w:color="auto" w:sz="4" w:space="0"/>
              <w:right w:val="single" w:color="auto" w:sz="6" w:space="0"/>
            </w:tcBorders>
            <w:vAlign w:val="center"/>
          </w:tcPr>
          <w:p w14:paraId="6B4E0B78">
            <w:pPr>
              <w:keepNext w:val="0"/>
              <w:keepLines w:val="0"/>
              <w:pageBreakBefore w:val="0"/>
              <w:widowControl w:val="0"/>
              <w:kinsoku/>
              <w:wordWrap/>
              <w:overflowPunct/>
              <w:topLinePunct w:val="0"/>
              <w:bidi w:val="0"/>
              <w:spacing w:line="360" w:lineRule="auto"/>
              <w:ind w:left="0" w:right="0"/>
              <w:jc w:val="center"/>
              <w:textAlignment w:val="center"/>
              <w:rPr>
                <w:rFonts w:hint="eastAsia" w:ascii="仿宋" w:hAnsi="仿宋" w:eastAsia="仿宋" w:cs="仿宋"/>
                <w:color w:val="auto"/>
                <w:sz w:val="24"/>
                <w:szCs w:val="24"/>
                <w:highlight w:val="none"/>
              </w:rPr>
            </w:pPr>
          </w:p>
        </w:tc>
        <w:tc>
          <w:tcPr>
            <w:tcW w:w="630" w:type="dxa"/>
            <w:tcBorders>
              <w:top w:val="single" w:color="auto" w:sz="6" w:space="0"/>
              <w:left w:val="single" w:color="auto" w:sz="6" w:space="0"/>
              <w:bottom w:val="single" w:color="auto" w:sz="4" w:space="0"/>
              <w:right w:val="single" w:color="auto" w:sz="6" w:space="0"/>
            </w:tcBorders>
            <w:vAlign w:val="center"/>
          </w:tcPr>
          <w:p w14:paraId="3019222F">
            <w:pPr>
              <w:keepNext w:val="0"/>
              <w:keepLines w:val="0"/>
              <w:pageBreakBefore w:val="0"/>
              <w:widowControl w:val="0"/>
              <w:kinsoku/>
              <w:wordWrap/>
              <w:overflowPunct/>
              <w:topLinePunct w:val="0"/>
              <w:bidi w:val="0"/>
              <w:spacing w:line="360" w:lineRule="auto"/>
              <w:ind w:left="0" w:right="0"/>
              <w:jc w:val="center"/>
              <w:textAlignment w:val="center"/>
              <w:rPr>
                <w:rFonts w:hint="eastAsia" w:ascii="仿宋" w:hAnsi="仿宋" w:eastAsia="仿宋" w:cs="仿宋"/>
                <w:color w:val="auto"/>
                <w:sz w:val="24"/>
                <w:szCs w:val="24"/>
                <w:highlight w:val="none"/>
              </w:rPr>
            </w:pPr>
          </w:p>
        </w:tc>
      </w:tr>
      <w:tr w14:paraId="5B89F92B">
        <w:tblPrEx>
          <w:tblCellMar>
            <w:top w:w="0" w:type="dxa"/>
            <w:left w:w="28" w:type="dxa"/>
            <w:bottom w:w="0" w:type="dxa"/>
            <w:right w:w="28" w:type="dxa"/>
          </w:tblCellMar>
        </w:tblPrEx>
        <w:trPr>
          <w:cantSplit/>
          <w:trHeight w:val="454" w:hRule="atLeast"/>
          <w:jc w:val="center"/>
        </w:trPr>
        <w:tc>
          <w:tcPr>
            <w:tcW w:w="643" w:type="dxa"/>
            <w:tcBorders>
              <w:top w:val="single" w:color="auto" w:sz="6" w:space="0"/>
              <w:left w:val="single" w:color="auto" w:sz="6" w:space="0"/>
              <w:bottom w:val="single" w:color="auto" w:sz="4" w:space="0"/>
            </w:tcBorders>
            <w:vAlign w:val="center"/>
          </w:tcPr>
          <w:p w14:paraId="308CF351">
            <w:pPr>
              <w:keepNext w:val="0"/>
              <w:keepLines w:val="0"/>
              <w:pageBreakBefore w:val="0"/>
              <w:widowControl w:val="0"/>
              <w:kinsoku/>
              <w:wordWrap/>
              <w:overflowPunct/>
              <w:topLinePunct w:val="0"/>
              <w:bidi w:val="0"/>
              <w:spacing w:line="360" w:lineRule="auto"/>
              <w:ind w:left="0" w:right="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1032" w:type="dxa"/>
            <w:tcBorders>
              <w:top w:val="single" w:color="auto" w:sz="6" w:space="0"/>
              <w:left w:val="single" w:color="auto" w:sz="6" w:space="0"/>
              <w:bottom w:val="single" w:color="auto" w:sz="4" w:space="0"/>
              <w:right w:val="single" w:color="auto" w:sz="6" w:space="0"/>
            </w:tcBorders>
            <w:vAlign w:val="center"/>
          </w:tcPr>
          <w:p w14:paraId="33DFD9D5">
            <w:pPr>
              <w:keepNext w:val="0"/>
              <w:keepLines w:val="0"/>
              <w:pageBreakBefore w:val="0"/>
              <w:widowControl w:val="0"/>
              <w:kinsoku/>
              <w:wordWrap/>
              <w:overflowPunct/>
              <w:topLinePunct w:val="0"/>
              <w:bidi w:val="0"/>
              <w:spacing w:line="360" w:lineRule="auto"/>
              <w:ind w:left="0" w:right="0"/>
              <w:rPr>
                <w:rFonts w:hint="eastAsia" w:ascii="仿宋" w:hAnsi="仿宋" w:eastAsia="仿宋" w:cs="仿宋"/>
                <w:color w:val="auto"/>
                <w:sz w:val="24"/>
                <w:szCs w:val="24"/>
                <w:highlight w:val="none"/>
              </w:rPr>
            </w:pPr>
          </w:p>
        </w:tc>
        <w:tc>
          <w:tcPr>
            <w:tcW w:w="2031" w:type="dxa"/>
            <w:tcBorders>
              <w:top w:val="single" w:color="auto" w:sz="6" w:space="0"/>
              <w:left w:val="single" w:color="auto" w:sz="6" w:space="0"/>
              <w:bottom w:val="single" w:color="auto" w:sz="4" w:space="0"/>
              <w:right w:val="single" w:color="auto" w:sz="6" w:space="0"/>
            </w:tcBorders>
            <w:vAlign w:val="center"/>
          </w:tcPr>
          <w:p w14:paraId="05F53AB7">
            <w:pPr>
              <w:keepNext w:val="0"/>
              <w:keepLines w:val="0"/>
              <w:pageBreakBefore w:val="0"/>
              <w:widowControl w:val="0"/>
              <w:kinsoku/>
              <w:wordWrap/>
              <w:overflowPunct/>
              <w:topLinePunct w:val="0"/>
              <w:bidi w:val="0"/>
              <w:spacing w:line="360" w:lineRule="auto"/>
              <w:ind w:left="0" w:right="0"/>
              <w:rPr>
                <w:rFonts w:hint="eastAsia" w:ascii="仿宋" w:hAnsi="仿宋" w:eastAsia="仿宋" w:cs="仿宋"/>
                <w:color w:val="auto"/>
                <w:sz w:val="24"/>
                <w:szCs w:val="24"/>
                <w:highlight w:val="none"/>
              </w:rPr>
            </w:pPr>
          </w:p>
        </w:tc>
        <w:tc>
          <w:tcPr>
            <w:tcW w:w="828" w:type="dxa"/>
            <w:tcBorders>
              <w:top w:val="single" w:color="auto" w:sz="6" w:space="0"/>
              <w:left w:val="single" w:color="auto" w:sz="6" w:space="0"/>
              <w:bottom w:val="single" w:color="auto" w:sz="4" w:space="0"/>
              <w:right w:val="single" w:color="auto" w:sz="6" w:space="0"/>
            </w:tcBorders>
            <w:vAlign w:val="center"/>
          </w:tcPr>
          <w:p w14:paraId="2534E905">
            <w:pPr>
              <w:keepNext w:val="0"/>
              <w:keepLines w:val="0"/>
              <w:pageBreakBefore w:val="0"/>
              <w:widowControl w:val="0"/>
              <w:kinsoku/>
              <w:wordWrap/>
              <w:overflowPunct/>
              <w:topLinePunct w:val="0"/>
              <w:bidi w:val="0"/>
              <w:spacing w:line="360" w:lineRule="auto"/>
              <w:ind w:left="0" w:right="0"/>
              <w:rPr>
                <w:rFonts w:hint="eastAsia" w:ascii="仿宋" w:hAnsi="仿宋" w:eastAsia="仿宋" w:cs="仿宋"/>
                <w:color w:val="auto"/>
                <w:sz w:val="24"/>
                <w:szCs w:val="24"/>
                <w:highlight w:val="none"/>
              </w:rPr>
            </w:pPr>
          </w:p>
        </w:tc>
        <w:tc>
          <w:tcPr>
            <w:tcW w:w="592" w:type="dxa"/>
            <w:tcBorders>
              <w:top w:val="single" w:color="auto" w:sz="6" w:space="0"/>
              <w:left w:val="single" w:color="auto" w:sz="6" w:space="0"/>
              <w:bottom w:val="single" w:color="auto" w:sz="4" w:space="0"/>
              <w:right w:val="single" w:color="auto" w:sz="6" w:space="0"/>
            </w:tcBorders>
            <w:vAlign w:val="center"/>
          </w:tcPr>
          <w:p w14:paraId="3497FEB4">
            <w:pPr>
              <w:keepNext w:val="0"/>
              <w:keepLines w:val="0"/>
              <w:pageBreakBefore w:val="0"/>
              <w:widowControl w:val="0"/>
              <w:kinsoku/>
              <w:wordWrap/>
              <w:overflowPunct/>
              <w:topLinePunct w:val="0"/>
              <w:bidi w:val="0"/>
              <w:spacing w:line="360" w:lineRule="auto"/>
              <w:ind w:left="0" w:right="0"/>
              <w:jc w:val="center"/>
              <w:rPr>
                <w:rFonts w:hint="eastAsia" w:ascii="仿宋" w:hAnsi="仿宋" w:eastAsia="仿宋" w:cs="仿宋"/>
                <w:color w:val="auto"/>
                <w:sz w:val="24"/>
                <w:szCs w:val="24"/>
                <w:highlight w:val="none"/>
              </w:rPr>
            </w:pPr>
          </w:p>
        </w:tc>
        <w:tc>
          <w:tcPr>
            <w:tcW w:w="471" w:type="dxa"/>
            <w:tcBorders>
              <w:top w:val="single" w:color="auto" w:sz="6" w:space="0"/>
              <w:left w:val="single" w:color="auto" w:sz="6" w:space="0"/>
              <w:bottom w:val="single" w:color="auto" w:sz="4" w:space="0"/>
              <w:right w:val="single" w:color="auto" w:sz="6" w:space="0"/>
            </w:tcBorders>
            <w:vAlign w:val="center"/>
          </w:tcPr>
          <w:p w14:paraId="7D6BC0E5">
            <w:pPr>
              <w:keepNext w:val="0"/>
              <w:keepLines w:val="0"/>
              <w:pageBreakBefore w:val="0"/>
              <w:widowControl w:val="0"/>
              <w:kinsoku/>
              <w:wordWrap/>
              <w:overflowPunct/>
              <w:topLinePunct w:val="0"/>
              <w:bidi w:val="0"/>
              <w:spacing w:line="360" w:lineRule="auto"/>
              <w:ind w:left="0" w:right="0"/>
              <w:jc w:val="center"/>
              <w:rPr>
                <w:rFonts w:hint="eastAsia" w:ascii="仿宋" w:hAnsi="仿宋" w:eastAsia="仿宋" w:cs="仿宋"/>
                <w:color w:val="auto"/>
                <w:sz w:val="24"/>
                <w:szCs w:val="24"/>
                <w:highlight w:val="none"/>
              </w:rPr>
            </w:pPr>
          </w:p>
        </w:tc>
        <w:tc>
          <w:tcPr>
            <w:tcW w:w="1065" w:type="dxa"/>
            <w:tcBorders>
              <w:top w:val="single" w:color="auto" w:sz="6" w:space="0"/>
              <w:left w:val="single" w:color="auto" w:sz="6" w:space="0"/>
              <w:bottom w:val="single" w:color="auto" w:sz="4" w:space="0"/>
              <w:right w:val="single" w:color="auto" w:sz="6" w:space="0"/>
            </w:tcBorders>
            <w:vAlign w:val="center"/>
          </w:tcPr>
          <w:p w14:paraId="577EFEC6">
            <w:pPr>
              <w:keepNext w:val="0"/>
              <w:keepLines w:val="0"/>
              <w:pageBreakBefore w:val="0"/>
              <w:widowControl w:val="0"/>
              <w:kinsoku/>
              <w:wordWrap/>
              <w:overflowPunct/>
              <w:topLinePunct w:val="0"/>
              <w:bidi w:val="0"/>
              <w:spacing w:line="360" w:lineRule="auto"/>
              <w:ind w:left="0" w:right="0"/>
              <w:jc w:val="center"/>
              <w:textAlignment w:val="center"/>
              <w:rPr>
                <w:rFonts w:hint="eastAsia" w:ascii="仿宋" w:hAnsi="仿宋" w:eastAsia="仿宋" w:cs="仿宋"/>
                <w:color w:val="auto"/>
                <w:sz w:val="24"/>
                <w:szCs w:val="24"/>
                <w:highlight w:val="none"/>
              </w:rPr>
            </w:pPr>
          </w:p>
        </w:tc>
        <w:tc>
          <w:tcPr>
            <w:tcW w:w="1065" w:type="dxa"/>
            <w:tcBorders>
              <w:top w:val="single" w:color="auto" w:sz="6" w:space="0"/>
              <w:left w:val="single" w:color="auto" w:sz="6" w:space="0"/>
              <w:bottom w:val="single" w:color="auto" w:sz="4" w:space="0"/>
              <w:right w:val="single" w:color="auto" w:sz="6" w:space="0"/>
            </w:tcBorders>
            <w:vAlign w:val="center"/>
          </w:tcPr>
          <w:p w14:paraId="2551A6EC">
            <w:pPr>
              <w:keepNext w:val="0"/>
              <w:keepLines w:val="0"/>
              <w:pageBreakBefore w:val="0"/>
              <w:widowControl w:val="0"/>
              <w:kinsoku/>
              <w:wordWrap/>
              <w:overflowPunct/>
              <w:topLinePunct w:val="0"/>
              <w:bidi w:val="0"/>
              <w:spacing w:line="360" w:lineRule="auto"/>
              <w:ind w:left="0" w:right="0"/>
              <w:jc w:val="center"/>
              <w:textAlignment w:val="center"/>
              <w:rPr>
                <w:rFonts w:hint="eastAsia" w:ascii="仿宋" w:hAnsi="仿宋" w:eastAsia="仿宋" w:cs="仿宋"/>
                <w:color w:val="auto"/>
                <w:sz w:val="24"/>
                <w:szCs w:val="24"/>
                <w:highlight w:val="none"/>
              </w:rPr>
            </w:pPr>
          </w:p>
        </w:tc>
        <w:tc>
          <w:tcPr>
            <w:tcW w:w="630" w:type="dxa"/>
            <w:tcBorders>
              <w:top w:val="single" w:color="auto" w:sz="6" w:space="0"/>
              <w:left w:val="single" w:color="auto" w:sz="6" w:space="0"/>
              <w:bottom w:val="single" w:color="auto" w:sz="4" w:space="0"/>
              <w:right w:val="single" w:color="auto" w:sz="6" w:space="0"/>
            </w:tcBorders>
            <w:vAlign w:val="center"/>
          </w:tcPr>
          <w:p w14:paraId="25755212">
            <w:pPr>
              <w:keepNext w:val="0"/>
              <w:keepLines w:val="0"/>
              <w:pageBreakBefore w:val="0"/>
              <w:widowControl w:val="0"/>
              <w:kinsoku/>
              <w:wordWrap/>
              <w:overflowPunct/>
              <w:topLinePunct w:val="0"/>
              <w:bidi w:val="0"/>
              <w:spacing w:line="360" w:lineRule="auto"/>
              <w:ind w:left="0" w:right="0"/>
              <w:jc w:val="center"/>
              <w:textAlignment w:val="center"/>
              <w:rPr>
                <w:rFonts w:hint="eastAsia" w:ascii="仿宋" w:hAnsi="仿宋" w:eastAsia="仿宋" w:cs="仿宋"/>
                <w:color w:val="auto"/>
                <w:sz w:val="24"/>
                <w:szCs w:val="24"/>
                <w:highlight w:val="none"/>
              </w:rPr>
            </w:pPr>
          </w:p>
        </w:tc>
      </w:tr>
      <w:tr w14:paraId="41B6503B">
        <w:tblPrEx>
          <w:tblCellMar>
            <w:top w:w="0" w:type="dxa"/>
            <w:left w:w="28" w:type="dxa"/>
            <w:bottom w:w="0" w:type="dxa"/>
            <w:right w:w="28" w:type="dxa"/>
          </w:tblCellMar>
        </w:tblPrEx>
        <w:trPr>
          <w:cantSplit/>
          <w:trHeight w:val="495" w:hRule="atLeast"/>
          <w:jc w:val="center"/>
        </w:trPr>
        <w:tc>
          <w:tcPr>
            <w:tcW w:w="1675" w:type="dxa"/>
            <w:gridSpan w:val="2"/>
            <w:tcBorders>
              <w:top w:val="single" w:color="auto" w:sz="6" w:space="0"/>
              <w:left w:val="single" w:color="auto" w:sz="6" w:space="0"/>
              <w:bottom w:val="single" w:color="auto" w:sz="4" w:space="0"/>
              <w:right w:val="single" w:color="auto" w:sz="6" w:space="0"/>
            </w:tcBorders>
            <w:vAlign w:val="center"/>
          </w:tcPr>
          <w:p w14:paraId="4E58EBC3">
            <w:pPr>
              <w:keepNext w:val="0"/>
              <w:keepLines w:val="0"/>
              <w:pageBreakBefore w:val="0"/>
              <w:widowControl w:val="0"/>
              <w:kinsoku/>
              <w:wordWrap/>
              <w:overflowPunct/>
              <w:topLinePunct w:val="0"/>
              <w:bidi w:val="0"/>
              <w:spacing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合计</w:t>
            </w:r>
          </w:p>
        </w:tc>
        <w:tc>
          <w:tcPr>
            <w:tcW w:w="6682" w:type="dxa"/>
            <w:gridSpan w:val="7"/>
            <w:tcBorders>
              <w:top w:val="single" w:color="auto" w:sz="6" w:space="0"/>
              <w:left w:val="single" w:color="auto" w:sz="6" w:space="0"/>
              <w:bottom w:val="single" w:color="auto" w:sz="4" w:space="0"/>
              <w:right w:val="single" w:color="auto" w:sz="6" w:space="0"/>
            </w:tcBorders>
          </w:tcPr>
          <w:p w14:paraId="0A9BEFBA">
            <w:pPr>
              <w:keepNext w:val="0"/>
              <w:keepLines w:val="0"/>
              <w:pageBreakBefore w:val="0"/>
              <w:widowControl w:val="0"/>
              <w:kinsoku/>
              <w:wordWrap/>
              <w:overflowPunct/>
              <w:topLinePunct w:val="0"/>
              <w:bidi w:val="0"/>
              <w:spacing w:line="360" w:lineRule="auto"/>
              <w:ind w:left="0" w:right="0"/>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含税人民币：￥             大写：元整</w:t>
            </w:r>
          </w:p>
        </w:tc>
      </w:tr>
    </w:tbl>
    <w:p w14:paraId="4AF1A9ED">
      <w:pPr>
        <w:keepNext w:val="0"/>
        <w:keepLines w:val="0"/>
        <w:pageBreakBefore w:val="0"/>
        <w:widowControl w:val="0"/>
        <w:kinsoku/>
        <w:wordWrap/>
        <w:overflowPunct/>
        <w:topLinePunct w:val="0"/>
        <w:bidi w:val="0"/>
        <w:spacing w:line="360" w:lineRule="auto"/>
        <w:ind w:left="0" w:right="0"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本合同总价包括人工费、设备费、运输装卸费、安装调试费、培训费、质保期内的保修费、保险、税金、利润、专用工具使用费等与之相关的一切直接费、间接费</w:t>
      </w:r>
      <w:r>
        <w:rPr>
          <w:rFonts w:hint="eastAsia" w:ascii="仿宋" w:hAnsi="仿宋" w:eastAsia="仿宋" w:cs="仿宋"/>
          <w:color w:val="auto"/>
          <w:sz w:val="24"/>
          <w:szCs w:val="24"/>
          <w:highlight w:val="none"/>
          <w:u w:val="single"/>
        </w:rPr>
        <w:t>。</w:t>
      </w:r>
    </w:p>
    <w:p w14:paraId="4AF45AD3">
      <w:pPr>
        <w:keepNext w:val="0"/>
        <w:keepLines w:val="0"/>
        <w:pageBreakBefore w:val="0"/>
        <w:widowControl w:val="0"/>
        <w:kinsoku/>
        <w:wordWrap/>
        <w:overflowPunct/>
        <w:topLinePunct w:val="0"/>
        <w:bidi w:val="0"/>
        <w:snapToGrid w:val="0"/>
        <w:spacing w:line="360" w:lineRule="auto"/>
        <w:ind w:left="0" w:right="0" w:firstLine="506" w:firstLineChars="200"/>
        <w:outlineLvl w:val="0"/>
        <w:rPr>
          <w:rFonts w:hint="eastAsia" w:ascii="仿宋" w:hAnsi="仿宋" w:eastAsia="仿宋" w:cs="仿宋"/>
          <w:b/>
          <w:snapToGrid w:val="0"/>
          <w:color w:val="auto"/>
          <w:spacing w:val="6"/>
          <w:sz w:val="24"/>
          <w:szCs w:val="24"/>
          <w:highlight w:val="none"/>
        </w:rPr>
      </w:pPr>
      <w:r>
        <w:rPr>
          <w:rFonts w:hint="eastAsia" w:ascii="仿宋" w:hAnsi="仿宋" w:eastAsia="仿宋" w:cs="仿宋"/>
          <w:b/>
          <w:snapToGrid w:val="0"/>
          <w:color w:val="auto"/>
          <w:spacing w:val="6"/>
          <w:sz w:val="24"/>
          <w:szCs w:val="24"/>
          <w:highlight w:val="none"/>
        </w:rPr>
        <w:t>五、付款方式</w:t>
      </w:r>
      <w:bookmarkStart w:id="0" w:name="OLE_LINK1"/>
    </w:p>
    <w:p w14:paraId="76ECB31F">
      <w:pPr>
        <w:keepNext w:val="0"/>
        <w:keepLines w:val="0"/>
        <w:pageBreakBefore w:val="0"/>
        <w:widowControl w:val="0"/>
        <w:kinsoku/>
        <w:wordWrap/>
        <w:overflowPunct/>
        <w:topLinePunct w:val="0"/>
        <w:bidi w:val="0"/>
        <w:snapToGrid w:val="0"/>
        <w:spacing w:line="360" w:lineRule="auto"/>
        <w:ind w:left="0" w:right="0" w:firstLine="480" w:firstLineChars="200"/>
        <w:outlineLvl w:val="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合同签订后 ，达到付款条件起10日内，支付合同总金额的 30.00%</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所有货物安装调试完毕且验收合格后，达到付款条件起10日内，支付合同总金额的 70.00%。</w:t>
      </w:r>
    </w:p>
    <w:p w14:paraId="6314E100">
      <w:pPr>
        <w:keepNext w:val="0"/>
        <w:keepLines w:val="0"/>
        <w:pageBreakBefore w:val="0"/>
        <w:widowControl w:val="0"/>
        <w:kinsoku/>
        <w:wordWrap/>
        <w:overflowPunct/>
        <w:topLinePunct w:val="0"/>
        <w:bidi w:val="0"/>
        <w:snapToGrid w:val="0"/>
        <w:spacing w:line="360" w:lineRule="auto"/>
        <w:ind w:left="0" w:right="0" w:firstLine="506" w:firstLineChars="200"/>
        <w:outlineLvl w:val="0"/>
        <w:rPr>
          <w:rFonts w:hint="eastAsia" w:ascii="仿宋" w:hAnsi="仿宋" w:eastAsia="仿宋" w:cs="仿宋"/>
          <w:b/>
          <w:snapToGrid w:val="0"/>
          <w:color w:val="auto"/>
          <w:spacing w:val="6"/>
          <w:sz w:val="24"/>
          <w:szCs w:val="24"/>
          <w:highlight w:val="none"/>
        </w:rPr>
      </w:pPr>
      <w:r>
        <w:rPr>
          <w:rFonts w:hint="eastAsia" w:ascii="仿宋" w:hAnsi="仿宋" w:eastAsia="仿宋" w:cs="仿宋"/>
          <w:b/>
          <w:snapToGrid w:val="0"/>
          <w:color w:val="auto"/>
          <w:spacing w:val="6"/>
          <w:sz w:val="24"/>
          <w:szCs w:val="24"/>
          <w:highlight w:val="none"/>
        </w:rPr>
        <w:t xml:space="preserve">六、进度计划 </w:t>
      </w:r>
    </w:p>
    <w:p w14:paraId="0126207F">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按采购人要求的交货期以及供应商响应的交货期完成</w:t>
      </w:r>
      <w:r>
        <w:rPr>
          <w:rFonts w:hint="eastAsia" w:ascii="仿宋" w:hAnsi="仿宋" w:eastAsia="仿宋" w:cs="仿宋"/>
          <w:color w:val="auto"/>
          <w:sz w:val="24"/>
          <w:szCs w:val="24"/>
          <w:highlight w:val="none"/>
        </w:rPr>
        <w:t>。</w:t>
      </w:r>
    </w:p>
    <w:p w14:paraId="39DF3A33">
      <w:pPr>
        <w:keepNext w:val="0"/>
        <w:keepLines w:val="0"/>
        <w:pageBreakBefore w:val="0"/>
        <w:widowControl w:val="0"/>
        <w:kinsoku/>
        <w:wordWrap/>
        <w:overflowPunct/>
        <w:topLinePunct w:val="0"/>
        <w:bidi w:val="0"/>
        <w:snapToGrid w:val="0"/>
        <w:spacing w:line="360" w:lineRule="auto"/>
        <w:ind w:left="0" w:right="0" w:firstLine="506" w:firstLineChars="200"/>
        <w:outlineLvl w:val="0"/>
        <w:rPr>
          <w:rFonts w:hint="eastAsia" w:ascii="仿宋" w:hAnsi="仿宋" w:eastAsia="仿宋" w:cs="仿宋"/>
          <w:b/>
          <w:snapToGrid w:val="0"/>
          <w:color w:val="auto"/>
          <w:sz w:val="24"/>
          <w:szCs w:val="24"/>
          <w:highlight w:val="none"/>
        </w:rPr>
      </w:pPr>
      <w:r>
        <w:rPr>
          <w:rFonts w:hint="eastAsia" w:ascii="仿宋" w:hAnsi="仿宋" w:eastAsia="仿宋" w:cs="仿宋"/>
          <w:b/>
          <w:snapToGrid w:val="0"/>
          <w:color w:val="auto"/>
          <w:spacing w:val="6"/>
          <w:sz w:val="24"/>
          <w:szCs w:val="24"/>
          <w:highlight w:val="none"/>
        </w:rPr>
        <w:t>七、</w:t>
      </w:r>
      <w:r>
        <w:rPr>
          <w:rFonts w:hint="eastAsia" w:ascii="仿宋" w:hAnsi="仿宋" w:eastAsia="仿宋" w:cs="仿宋"/>
          <w:b/>
          <w:snapToGrid w:val="0"/>
          <w:color w:val="auto"/>
          <w:sz w:val="24"/>
          <w:szCs w:val="24"/>
          <w:highlight w:val="none"/>
        </w:rPr>
        <w:t>交货地点</w:t>
      </w:r>
    </w:p>
    <w:p w14:paraId="6B84B408">
      <w:pPr>
        <w:keepNext w:val="0"/>
        <w:keepLines w:val="0"/>
        <w:pageBreakBefore w:val="0"/>
        <w:widowControl w:val="0"/>
        <w:kinsoku/>
        <w:wordWrap/>
        <w:overflowPunct/>
        <w:topLinePunct w:val="0"/>
        <w:bidi w:val="0"/>
        <w:spacing w:line="360" w:lineRule="auto"/>
        <w:ind w:left="0" w:right="0"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交货地点：陕西省中波台管理中心指定地点。</w:t>
      </w:r>
    </w:p>
    <w:p w14:paraId="1D102AFD">
      <w:pPr>
        <w:keepNext w:val="0"/>
        <w:keepLines w:val="0"/>
        <w:pageBreakBefore w:val="0"/>
        <w:widowControl w:val="0"/>
        <w:kinsoku/>
        <w:wordWrap/>
        <w:overflowPunct/>
        <w:topLinePunct w:val="0"/>
        <w:bidi w:val="0"/>
        <w:snapToGrid w:val="0"/>
        <w:spacing w:line="360" w:lineRule="auto"/>
        <w:ind w:left="0" w:right="0"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八、验收标准、方法</w:t>
      </w:r>
    </w:p>
    <w:p w14:paraId="0C2B2DA5">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lang w:eastAsia="zh-CN"/>
        </w:rPr>
        <w:t xml:space="preserve">乙方货物经过双方检验认可后，签署验收报告，产品质保期自验收合格之日起算，由乙方提供产品保修文件。 </w:t>
      </w:r>
    </w:p>
    <w:p w14:paraId="1E71EAF0">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lang w:eastAsia="zh-CN"/>
        </w:rPr>
        <w:t xml:space="preserve">乙方应将所提供货物的装箱清单、配件、随机工具、用户使用手册、原厂保修卡等资料交付给甲方；乙方不能完整交付货物及本款规定的单证和工具的，必须负责补齐，否则视为未按合同约定交货。 </w:t>
      </w:r>
    </w:p>
    <w:p w14:paraId="1AFED6B7">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lang w:eastAsia="zh-CN"/>
        </w:rPr>
        <w:t>当满足以下条件时，甲方才向乙方签发货物验收报告：</w:t>
      </w:r>
    </w:p>
    <w:p w14:paraId="25CB63D0">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3.1设备到货后，依采购文件要求对全部设备、产品、型号、规格、数量、外型、外观、包装及资料、文件进行验收。 </w:t>
      </w:r>
    </w:p>
    <w:p w14:paraId="0A973C5F">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3.2拆箱后，应对其全部产品、零件、配件、用户许可证书、资料、介质造册登记，并与装箱单对比，如有出入应立即书面记录，由乙方联络厂家解决，如影响安装则按合同有关条款处理。 </w:t>
      </w:r>
    </w:p>
    <w:p w14:paraId="2F313FAC">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3.3完成全部设备及配件的安装与连接后，应严格按照测试计划进行设备通电测试，并做好各项测试的原始记录。 </w:t>
      </w:r>
    </w:p>
    <w:p w14:paraId="6BE134E5">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3.4测试中如发现设备性能指标或功能上不符合采购文件和合同时，将被视为性能不合格，甲方有权拒收并要求赔偿。 </w:t>
      </w:r>
    </w:p>
    <w:p w14:paraId="02B71707">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3.5乙方按照合同规定提供全部产品及完整的技术资料； </w:t>
      </w:r>
    </w:p>
    <w:p w14:paraId="77755393">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3.6货物符合招标文件和投标文件技术规格要求，性能满足要求； </w:t>
      </w:r>
    </w:p>
    <w:p w14:paraId="57548B26">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3.7货物具备产品合格证。</w:t>
      </w:r>
    </w:p>
    <w:p w14:paraId="3310FE2C">
      <w:pPr>
        <w:keepNext w:val="0"/>
        <w:keepLines w:val="0"/>
        <w:pageBreakBefore w:val="0"/>
        <w:widowControl w:val="0"/>
        <w:kinsoku/>
        <w:wordWrap/>
        <w:overflowPunct/>
        <w:topLinePunct w:val="0"/>
        <w:bidi w:val="0"/>
        <w:snapToGrid w:val="0"/>
        <w:spacing w:line="360" w:lineRule="auto"/>
        <w:ind w:left="0" w:right="0" w:firstLine="506" w:firstLineChars="200"/>
        <w:outlineLvl w:val="0"/>
        <w:rPr>
          <w:rFonts w:hint="eastAsia" w:ascii="仿宋" w:hAnsi="仿宋" w:eastAsia="仿宋" w:cs="仿宋"/>
          <w:snapToGrid w:val="0"/>
          <w:color w:val="auto"/>
          <w:spacing w:val="6"/>
          <w:sz w:val="24"/>
          <w:szCs w:val="24"/>
          <w:highlight w:val="none"/>
        </w:rPr>
      </w:pPr>
      <w:r>
        <w:rPr>
          <w:rFonts w:hint="eastAsia" w:ascii="仿宋" w:hAnsi="仿宋" w:eastAsia="仿宋" w:cs="仿宋"/>
          <w:b/>
          <w:snapToGrid w:val="0"/>
          <w:color w:val="auto"/>
          <w:spacing w:val="6"/>
          <w:sz w:val="24"/>
          <w:szCs w:val="24"/>
          <w:highlight w:val="none"/>
        </w:rPr>
        <w:t>九、验收签字</w:t>
      </w:r>
    </w:p>
    <w:p w14:paraId="6ADCD42B">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乙方实施完成后由甲方按照具体详见本项目招标文件及本合同的相关规定进行验收并出具验收报告。</w:t>
      </w:r>
    </w:p>
    <w:bookmarkEnd w:id="0"/>
    <w:p w14:paraId="61385A18">
      <w:pPr>
        <w:keepNext w:val="0"/>
        <w:keepLines w:val="0"/>
        <w:pageBreakBefore w:val="0"/>
        <w:widowControl w:val="0"/>
        <w:kinsoku/>
        <w:wordWrap/>
        <w:overflowPunct/>
        <w:topLinePunct w:val="0"/>
        <w:bidi w:val="0"/>
        <w:snapToGrid w:val="0"/>
        <w:spacing w:line="360" w:lineRule="auto"/>
        <w:ind w:left="0" w:right="0" w:firstLine="506" w:firstLineChars="200"/>
        <w:outlineLvl w:val="0"/>
        <w:rPr>
          <w:rFonts w:hint="eastAsia" w:ascii="仿宋" w:hAnsi="仿宋" w:eastAsia="仿宋" w:cs="仿宋"/>
          <w:b/>
          <w:snapToGrid w:val="0"/>
          <w:color w:val="auto"/>
          <w:spacing w:val="6"/>
          <w:sz w:val="24"/>
          <w:szCs w:val="24"/>
          <w:highlight w:val="none"/>
        </w:rPr>
      </w:pPr>
      <w:r>
        <w:rPr>
          <w:rFonts w:hint="eastAsia" w:ascii="仿宋" w:hAnsi="仿宋" w:eastAsia="仿宋" w:cs="仿宋"/>
          <w:b/>
          <w:snapToGrid w:val="0"/>
          <w:color w:val="auto"/>
          <w:spacing w:val="6"/>
          <w:sz w:val="24"/>
          <w:szCs w:val="24"/>
          <w:highlight w:val="none"/>
        </w:rPr>
        <w:t>十、甲乙双方权利与义务</w:t>
      </w:r>
    </w:p>
    <w:p w14:paraId="356AC067">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1、甲方权利与义务：</w:t>
      </w:r>
    </w:p>
    <w:p w14:paraId="04D47DC9">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(1)乙方进行项目实施时，甲方指定专人到现场进行协调，配合乙方工作。</w:t>
      </w:r>
    </w:p>
    <w:p w14:paraId="18CE2421">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(2)甲方有义务遵守本合同各项条款的约定，并按本合同约定的期限向乙方支付本合同项下的款项。</w:t>
      </w:r>
    </w:p>
    <w:p w14:paraId="2253F09F">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(3)甲方应准备适当的场地及设备及人员以确保乙方履行其在本合同所约定的各项服务。</w:t>
      </w:r>
    </w:p>
    <w:p w14:paraId="6579DFAC">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2、乙方权利与义务：</w:t>
      </w:r>
    </w:p>
    <w:p w14:paraId="58D25B77">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(1)乙方完成技术协议及本合同中要求的全部工作。</w:t>
      </w:r>
    </w:p>
    <w:p w14:paraId="066D938E">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(2)乙方必须保证项目进度和项目质量。</w:t>
      </w:r>
    </w:p>
    <w:p w14:paraId="02AC313E">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(3)乙方有权要求甲方人员现场积极协调、配合乙方工作。</w:t>
      </w:r>
    </w:p>
    <w:p w14:paraId="30F4B701">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(4)乙方有义务免费为甲方提供：从项目开始至交付使用中的现场专业操作讲解与培训。为甲方提供产品操作手册和运维规程，并对甲方的操作、维修及技术人员进行技能培训，保证在培训后能独立操作。</w:t>
      </w:r>
    </w:p>
    <w:p w14:paraId="6999F290">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(5)乙方有义务在甲方使用本合同标的物期间为甲方提供长期的技术服务支持。</w:t>
      </w:r>
    </w:p>
    <w:p w14:paraId="2119286F">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(6)乙方有权按时获得本合同所约定的款项。</w:t>
      </w:r>
    </w:p>
    <w:p w14:paraId="127C09CB">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(7)乙方保证所提供的产品和服务不存在任何权利、质量瑕疵，自行负责设备的运输、装卸、安装、调试等工作，并应做好安全防护措施，避免安全事故发生，由此产生的费用和责任由乙方承担。</w:t>
      </w:r>
    </w:p>
    <w:p w14:paraId="34DE3F25">
      <w:pPr>
        <w:keepNext w:val="0"/>
        <w:keepLines w:val="0"/>
        <w:pageBreakBefore w:val="0"/>
        <w:widowControl w:val="0"/>
        <w:kinsoku/>
        <w:wordWrap/>
        <w:overflowPunct/>
        <w:topLinePunct w:val="0"/>
        <w:autoSpaceDE w:val="0"/>
        <w:autoSpaceDN w:val="0"/>
        <w:bidi w:val="0"/>
        <w:adjustRightInd w:val="0"/>
        <w:snapToGrid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(8)乙方应为甲方提供最新版软件，当本合同项下套装软件版本升级时，质保期内升级免费。</w:t>
      </w:r>
    </w:p>
    <w:p w14:paraId="7DEC86DE">
      <w:pPr>
        <w:keepNext w:val="0"/>
        <w:keepLines w:val="0"/>
        <w:pageBreakBefore w:val="0"/>
        <w:widowControl w:val="0"/>
        <w:kinsoku/>
        <w:wordWrap/>
        <w:overflowPunct/>
        <w:topLinePunct w:val="0"/>
        <w:bidi w:val="0"/>
        <w:snapToGrid w:val="0"/>
        <w:spacing w:line="360" w:lineRule="auto"/>
        <w:ind w:left="0" w:right="0" w:firstLine="506" w:firstLineChars="200"/>
        <w:outlineLvl w:val="0"/>
        <w:rPr>
          <w:rFonts w:hint="eastAsia" w:ascii="仿宋" w:hAnsi="仿宋" w:eastAsia="仿宋" w:cs="仿宋"/>
          <w:b/>
          <w:snapToGrid w:val="0"/>
          <w:color w:val="auto"/>
          <w:spacing w:val="6"/>
          <w:sz w:val="24"/>
          <w:szCs w:val="24"/>
          <w:highlight w:val="none"/>
        </w:rPr>
      </w:pPr>
      <w:r>
        <w:rPr>
          <w:rFonts w:hint="eastAsia" w:ascii="仿宋" w:hAnsi="仿宋" w:eastAsia="仿宋" w:cs="仿宋"/>
          <w:b/>
          <w:snapToGrid w:val="0"/>
          <w:color w:val="auto"/>
          <w:spacing w:val="6"/>
          <w:sz w:val="24"/>
          <w:szCs w:val="24"/>
          <w:highlight w:val="none"/>
        </w:rPr>
        <w:t>十一、保证</w:t>
      </w:r>
    </w:p>
    <w:p w14:paraId="714E737A">
      <w:pPr>
        <w:keepNext w:val="0"/>
        <w:keepLines w:val="0"/>
        <w:pageBreakBefore w:val="0"/>
        <w:widowControl w:val="0"/>
        <w:kinsoku/>
        <w:wordWrap/>
        <w:overflowPunct/>
        <w:topLinePunct w:val="0"/>
        <w:bidi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本项目提供的软件和硬件产品要求三年原厂软硬件质保及实施服务，详见本项目招标文件约定。如质保期内出现质量问题，由乙方进行整改，整改措施经甲方需求部门确认，整改所产生的费用由乙方承担。</w:t>
      </w:r>
    </w:p>
    <w:p w14:paraId="2DD42258">
      <w:pPr>
        <w:keepNext w:val="0"/>
        <w:keepLines w:val="0"/>
        <w:pageBreakBefore w:val="0"/>
        <w:widowControl w:val="0"/>
        <w:kinsoku/>
        <w:wordWrap/>
        <w:overflowPunct/>
        <w:topLinePunct w:val="0"/>
        <w:bidi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乙方向甲方承诺按照合同约定进行项目实施并在质保期内承担产品质量、故障排除和服务支持责任。</w:t>
      </w:r>
    </w:p>
    <w:p w14:paraId="3315FD20">
      <w:pPr>
        <w:keepNext w:val="0"/>
        <w:keepLines w:val="0"/>
        <w:pageBreakBefore w:val="0"/>
        <w:widowControl w:val="0"/>
        <w:kinsoku/>
        <w:wordWrap/>
        <w:overflowPunct/>
        <w:topLinePunct w:val="0"/>
        <w:bidi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甲方操作人员应按照乙方提供的操作维护手册和培训要求，正确使用和维护产品，若因甲方操作人员违反操作规程而导致不良后果，责任由甲方承担，乙方负责解决，但产生的费用即仅指服务成本费由甲方承担。</w:t>
      </w:r>
    </w:p>
    <w:p w14:paraId="751FBCFB">
      <w:pPr>
        <w:keepNext w:val="0"/>
        <w:keepLines w:val="0"/>
        <w:pageBreakBefore w:val="0"/>
        <w:widowControl w:val="0"/>
        <w:kinsoku/>
        <w:wordWrap/>
        <w:overflowPunct/>
        <w:topLinePunct w:val="0"/>
        <w:bidi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乙方产品在安装、测试、试运行及上线等各环节中需要采用妥善安全的措施，确保甲方业务平稳及数据安全。乙方未采取安全防护措施的，应承担由此造成的责任和甲方的全部损失。</w:t>
      </w:r>
    </w:p>
    <w:p w14:paraId="54390B61">
      <w:pPr>
        <w:keepNext w:val="0"/>
        <w:keepLines w:val="0"/>
        <w:pageBreakBefore w:val="0"/>
        <w:widowControl w:val="0"/>
        <w:kinsoku/>
        <w:wordWrap/>
        <w:overflowPunct/>
        <w:topLinePunct w:val="0"/>
        <w:bidi w:val="0"/>
        <w:spacing w:line="360" w:lineRule="auto"/>
        <w:ind w:left="0" w:right="0"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十二、知识产权及许可限制</w:t>
      </w:r>
    </w:p>
    <w:p w14:paraId="6A7BD724">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在产品基础上基于甲方业务定制开发(甲乙双方需技术协商共同认定)的程序、代码归及由此产生的知识产权归甲方所有，未经甲方书面同意，任何时候乙方不得自用或向第三方泄露。如果乙方违约，应处以合同总价款20%的违约金，给甲方造成损失的，还应予以赔偿。</w:t>
      </w:r>
    </w:p>
    <w:p w14:paraId="408C387F">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乙方因履行本合同所知悉的与甲方有关的任何信息，未经甲方书面同意，亦不得自用或向第三方泄露。如果乙方违约，应处以合同总价款20%的违约金，给甲方造成损失的，还应予以赔偿。</w:t>
      </w:r>
    </w:p>
    <w:p w14:paraId="7AAF4DA6">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知识产权：乙方必须保障甲方使用其服务及其任何部分不受到第三方关于侵犯知识产权的指控。任何第三方如果提出侵权指控，乙方须与第三方交涉并承担由此引起的一切法律责任和费用。</w:t>
      </w:r>
    </w:p>
    <w:p w14:paraId="2DD6D0DB">
      <w:pPr>
        <w:keepNext w:val="0"/>
        <w:keepLines w:val="0"/>
        <w:pageBreakBefore w:val="0"/>
        <w:widowControl w:val="0"/>
        <w:kinsoku/>
        <w:wordWrap/>
        <w:overflowPunct/>
        <w:topLinePunct w:val="0"/>
        <w:bidi w:val="0"/>
        <w:spacing w:line="360" w:lineRule="auto"/>
        <w:ind w:left="0" w:right="0" w:firstLine="506" w:firstLineChars="200"/>
        <w:rPr>
          <w:rFonts w:hint="eastAsia" w:ascii="仿宋" w:hAnsi="仿宋" w:eastAsia="仿宋" w:cs="仿宋"/>
          <w:color w:val="auto"/>
          <w:sz w:val="24"/>
          <w:szCs w:val="24"/>
          <w:highlight w:val="none"/>
        </w:rPr>
      </w:pPr>
      <w:r>
        <w:rPr>
          <w:rFonts w:hint="eastAsia" w:ascii="仿宋" w:hAnsi="仿宋" w:eastAsia="仿宋" w:cs="仿宋"/>
          <w:b/>
          <w:snapToGrid w:val="0"/>
          <w:color w:val="auto"/>
          <w:spacing w:val="6"/>
          <w:sz w:val="24"/>
          <w:szCs w:val="24"/>
          <w:highlight w:val="none"/>
        </w:rPr>
        <w:t>十三、技术培训及技术服务</w:t>
      </w:r>
    </w:p>
    <w:p w14:paraId="16F389E7">
      <w:pPr>
        <w:keepNext w:val="0"/>
        <w:keepLines w:val="0"/>
        <w:pageBreakBefore w:val="0"/>
        <w:widowControl w:val="0"/>
        <w:kinsoku/>
        <w:wordWrap/>
        <w:overflowPunct/>
        <w:topLinePunct w:val="0"/>
        <w:bidi w:val="0"/>
        <w:snapToGrid w:val="0"/>
        <w:spacing w:line="360" w:lineRule="auto"/>
        <w:ind w:left="0" w:right="0" w:firstLine="480" w:firstLineChars="200"/>
        <w:outlineLvl w:val="0"/>
        <w:rPr>
          <w:rFonts w:hint="eastAsia" w:ascii="仿宋" w:hAnsi="仿宋" w:eastAsia="仿宋" w:cs="仿宋"/>
          <w:snapToGrid w:val="0"/>
          <w:color w:val="auto"/>
          <w:spacing w:val="6"/>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snapToGrid w:val="0"/>
          <w:color w:val="auto"/>
          <w:spacing w:val="6"/>
          <w:sz w:val="24"/>
          <w:szCs w:val="24"/>
          <w:highlight w:val="none"/>
        </w:rPr>
        <w:t>1、现场技术服务</w:t>
      </w:r>
    </w:p>
    <w:p w14:paraId="6DC898DC">
      <w:pPr>
        <w:keepNext w:val="0"/>
        <w:keepLines w:val="0"/>
        <w:pageBreakBefore w:val="0"/>
        <w:widowControl w:val="0"/>
        <w:kinsoku/>
        <w:wordWrap/>
        <w:overflowPunct/>
        <w:topLinePunct w:val="0"/>
        <w:bidi w:val="0"/>
        <w:snapToGrid w:val="0"/>
        <w:spacing w:line="360" w:lineRule="auto"/>
        <w:ind w:left="0" w:right="0" w:firstLine="480" w:firstLineChars="200"/>
        <w:outlineLvl w:val="0"/>
        <w:rPr>
          <w:rFonts w:hint="eastAsia" w:ascii="仿宋" w:hAnsi="仿宋" w:eastAsia="仿宋" w:cs="仿宋"/>
          <w:b/>
          <w:snapToGrid w:val="0"/>
          <w:color w:val="auto"/>
          <w:spacing w:val="6"/>
          <w:sz w:val="24"/>
          <w:szCs w:val="24"/>
          <w:highlight w:val="none"/>
        </w:rPr>
      </w:pPr>
      <w:r>
        <w:rPr>
          <w:rFonts w:hint="eastAsia" w:ascii="仿宋" w:hAnsi="仿宋" w:eastAsia="仿宋" w:cs="仿宋"/>
          <w:color w:val="auto"/>
          <w:sz w:val="24"/>
          <w:szCs w:val="24"/>
          <w:highlight w:val="none"/>
        </w:rPr>
        <w:t xml:space="preserve">乙方应按照工程进度要求进行现场安装、技术指导、最终调试，为甲方提供设备安全操作规程和维修保养规程，并对甲方的操作、维修及技术人员进行技能培训，保证在培训后能独立操作。 </w:t>
      </w:r>
    </w:p>
    <w:p w14:paraId="4F2412FA">
      <w:pPr>
        <w:keepNext w:val="0"/>
        <w:keepLines w:val="0"/>
        <w:pageBreakBefore w:val="0"/>
        <w:widowControl w:val="0"/>
        <w:kinsoku/>
        <w:wordWrap/>
        <w:overflowPunct/>
        <w:topLinePunct w:val="0"/>
        <w:bidi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2、培训</w:t>
      </w:r>
    </w:p>
    <w:p w14:paraId="1500354D">
      <w:pPr>
        <w:keepNext w:val="0"/>
        <w:keepLines w:val="0"/>
        <w:pageBreakBefore w:val="0"/>
        <w:widowControl w:val="0"/>
        <w:kinsoku/>
        <w:wordWrap/>
        <w:overflowPunct/>
        <w:topLinePunct w:val="0"/>
        <w:bidi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了正确地操作、维护和管理设备，乙方应对甲方的技术人员进行必要的培训。甲方操作人员、维修人员和设备管理人员须经乙方培训合格后，方可上岗。乙方所提供的培训服务必须使需方的技术人员掌握如下内容：</w:t>
      </w:r>
    </w:p>
    <w:p w14:paraId="4B8D2654">
      <w:pPr>
        <w:keepNext w:val="0"/>
        <w:keepLines w:val="0"/>
        <w:pageBreakBefore w:val="0"/>
        <w:widowControl w:val="0"/>
        <w:kinsoku/>
        <w:wordWrap/>
        <w:overflowPunct/>
        <w:topLinePunct w:val="0"/>
        <w:bidi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培训内容：具体详见本项目招标文件。</w:t>
      </w:r>
    </w:p>
    <w:p w14:paraId="57B89A4D">
      <w:pPr>
        <w:keepNext w:val="0"/>
        <w:keepLines w:val="0"/>
        <w:pageBreakBefore w:val="0"/>
        <w:widowControl w:val="0"/>
        <w:kinsoku/>
        <w:wordWrap/>
        <w:overflowPunct/>
        <w:topLinePunct w:val="0"/>
        <w:bidi w:val="0"/>
        <w:spacing w:line="360" w:lineRule="auto"/>
        <w:ind w:left="0" w:right="0" w:firstLine="506" w:firstLineChars="200"/>
        <w:rPr>
          <w:rFonts w:hint="eastAsia" w:ascii="仿宋" w:hAnsi="仿宋" w:eastAsia="仿宋" w:cs="仿宋"/>
          <w:b/>
          <w:snapToGrid w:val="0"/>
          <w:color w:val="auto"/>
          <w:spacing w:val="6"/>
          <w:sz w:val="24"/>
          <w:szCs w:val="24"/>
          <w:highlight w:val="none"/>
        </w:rPr>
      </w:pPr>
      <w:r>
        <w:rPr>
          <w:rFonts w:hint="eastAsia" w:ascii="仿宋" w:hAnsi="仿宋" w:eastAsia="仿宋" w:cs="仿宋"/>
          <w:b/>
          <w:snapToGrid w:val="0"/>
          <w:color w:val="auto"/>
          <w:spacing w:val="6"/>
          <w:sz w:val="24"/>
          <w:szCs w:val="24"/>
          <w:highlight w:val="none"/>
        </w:rPr>
        <w:t>十四、违约、索赔和争议</w:t>
      </w:r>
    </w:p>
    <w:p w14:paraId="3947CCE5">
      <w:pPr>
        <w:keepNext w:val="0"/>
        <w:keepLines w:val="0"/>
        <w:pageBreakBefore w:val="0"/>
        <w:widowControl w:val="0"/>
        <w:kinsoku/>
        <w:wordWrap/>
        <w:overflowPunct/>
        <w:topLinePunct w:val="0"/>
        <w:bidi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1、违约</w:t>
      </w:r>
    </w:p>
    <w:p w14:paraId="346279D9">
      <w:pPr>
        <w:keepNext w:val="0"/>
        <w:keepLines w:val="0"/>
        <w:pageBreakBefore w:val="0"/>
        <w:widowControl w:val="0"/>
        <w:kinsoku/>
        <w:wordWrap/>
        <w:overflowPunct/>
        <w:topLinePunct w:val="0"/>
        <w:bidi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w:t>
      </w:r>
    </w:p>
    <w:p w14:paraId="6FAAB37D">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如因乙方原因造成实际工作进度落后于本合同规定的进度计划时，乙方应在第一时间书面告知甲方原因及整改措施，同时立即做出调整和整改，确保项目按期保质完成。</w:t>
      </w:r>
    </w:p>
    <w:p w14:paraId="3E5D815A">
      <w:pPr>
        <w:keepNext w:val="0"/>
        <w:keepLines w:val="0"/>
        <w:pageBreakBefore w:val="0"/>
        <w:widowControl w:val="0"/>
        <w:kinsoku/>
        <w:wordWrap/>
        <w:overflowPunct/>
        <w:topLinePunct w:val="0"/>
        <w:bidi w:val="0"/>
        <w:snapToGrid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因乙方原因，造成未能按合同约定的时间完成本次项目内容或未向甲方提供技术服务，经双方沟通无反馈的，乙方应承担违约责任。每拖期一周(不足一周，应按一周计算)，应处以合同总价款5%的违约金，逾期两周的，甲方有权解除合同，如甲方解除合同，乙方应退还甲方已付费用并向甲方支付合同总价20%违约金，给甲方造成损失的，还应予以赔偿。</w:t>
      </w:r>
    </w:p>
    <w:p w14:paraId="4070A93C">
      <w:pPr>
        <w:keepNext w:val="0"/>
        <w:keepLines w:val="0"/>
        <w:pageBreakBefore w:val="0"/>
        <w:widowControl w:val="0"/>
        <w:kinsoku/>
        <w:wordWrap/>
        <w:overflowPunct/>
        <w:topLinePunct w:val="0"/>
        <w:bidi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w:t>
      </w:r>
    </w:p>
    <w:p w14:paraId="37ABA61C">
      <w:pPr>
        <w:keepNext w:val="0"/>
        <w:keepLines w:val="0"/>
        <w:pageBreakBefore w:val="0"/>
        <w:widowControl w:val="0"/>
        <w:kinsoku/>
        <w:wordWrap/>
        <w:overflowPunct/>
        <w:topLinePunct w:val="0"/>
        <w:bidi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如因甲方原因造成实际工作进度落后于本合同规定的进度计划时，乙方有权书面通知甲方立即排除阻碍因素，加快进度。甲方在收到乙方书面通知书后应立即作出调整和整改，确保工作按进度计划执行。</w:t>
      </w:r>
    </w:p>
    <w:p w14:paraId="74EB4657">
      <w:pPr>
        <w:keepNext w:val="0"/>
        <w:keepLines w:val="0"/>
        <w:pageBreakBefore w:val="0"/>
        <w:widowControl w:val="0"/>
        <w:kinsoku/>
        <w:wordWrap/>
        <w:overflowPunct/>
        <w:topLinePunct w:val="0"/>
        <w:bidi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2、索赔</w:t>
      </w:r>
      <w:r>
        <w:rPr>
          <w:rFonts w:hint="eastAsia" w:ascii="仿宋" w:hAnsi="仿宋" w:eastAsia="仿宋" w:cs="仿宋"/>
          <w:color w:val="auto"/>
          <w:sz w:val="24"/>
          <w:szCs w:val="24"/>
          <w:highlight w:val="none"/>
        </w:rPr>
        <w:tab/>
      </w:r>
    </w:p>
    <w:p w14:paraId="2DC7B064">
      <w:pPr>
        <w:keepNext w:val="0"/>
        <w:keepLines w:val="0"/>
        <w:pageBreakBefore w:val="0"/>
        <w:widowControl w:val="0"/>
        <w:kinsoku/>
        <w:wordWrap/>
        <w:overflowPunct/>
        <w:topLinePunct w:val="0"/>
        <w:bidi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甲方如发现乙方提供的项目内容或服务与本合同规定不符合，甲方可提出索赔，乙方将按下列方式理赔：</w:t>
      </w:r>
    </w:p>
    <w:p w14:paraId="22B39C97">
      <w:pPr>
        <w:keepNext w:val="0"/>
        <w:keepLines w:val="0"/>
        <w:pageBreakBefore w:val="0"/>
        <w:widowControl w:val="0"/>
        <w:kinsoku/>
        <w:wordWrap/>
        <w:overflowPunct/>
        <w:topLinePunct w:val="0"/>
        <w:bidi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立即对与合同不符的项目内容或服务进行修复；同时，乙方须承担由此产生的全部费用和甲方遭受的直接损失，由于修复造成乙方逾期交付的，乙方偿付逾期违约金。如因乙方原因，不能及时修复造成甲方生产遭受重大损失的，甲方将对乙方进行可得利益追偿。</w:t>
      </w:r>
    </w:p>
    <w:p w14:paraId="5D1BC4AA">
      <w:pPr>
        <w:keepNext w:val="0"/>
        <w:keepLines w:val="0"/>
        <w:pageBreakBefore w:val="0"/>
        <w:widowControl w:val="0"/>
        <w:kinsoku/>
        <w:wordWrap/>
        <w:overflowPunct/>
        <w:topLinePunct w:val="0"/>
        <w:bidi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(2)如乙方对索赔提出异议，甲方有权申请权威检验部门检验，并根据检验报告向乙方索赔。乙方收到检验报告后，若在</w:t>
      </w:r>
      <w:r>
        <w:rPr>
          <w:rFonts w:hint="eastAsia" w:ascii="仿宋" w:hAnsi="仿宋" w:eastAsia="仿宋" w:cs="仿宋"/>
          <w:color w:val="auto"/>
          <w:sz w:val="24"/>
          <w:szCs w:val="24"/>
          <w:highlight w:val="none"/>
          <w:u w:val="single"/>
        </w:rPr>
        <w:t xml:space="preserve"> 7 </w:t>
      </w:r>
      <w:r>
        <w:rPr>
          <w:rFonts w:hint="eastAsia" w:ascii="仿宋" w:hAnsi="仿宋" w:eastAsia="仿宋" w:cs="仿宋"/>
          <w:color w:val="auto"/>
          <w:sz w:val="24"/>
          <w:szCs w:val="24"/>
          <w:highlight w:val="none"/>
        </w:rPr>
        <w:t>天内不答复，视为同意甲方提出的一切索赔。检验所需费用按实际花费计入索赔项目。</w:t>
      </w:r>
    </w:p>
    <w:p w14:paraId="4AA69CDE">
      <w:pPr>
        <w:keepNext w:val="0"/>
        <w:keepLines w:val="0"/>
        <w:pageBreakBefore w:val="0"/>
        <w:widowControl w:val="0"/>
        <w:kinsoku/>
        <w:wordWrap/>
        <w:overflowPunct/>
        <w:topLinePunct w:val="0"/>
        <w:bidi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3、争议</w:t>
      </w:r>
    </w:p>
    <w:p w14:paraId="1945C2D2">
      <w:pPr>
        <w:keepNext w:val="0"/>
        <w:keepLines w:val="0"/>
        <w:pageBreakBefore w:val="0"/>
        <w:widowControl w:val="0"/>
        <w:kinsoku/>
        <w:wordWrap/>
        <w:overflowPunct/>
        <w:topLinePunct w:val="0"/>
        <w:bidi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在执行合同过程中所发生的争议，合同双方本着友好协商的原则加以解决。如协商无法解决，</w:t>
      </w:r>
      <w:r>
        <w:rPr>
          <w:rFonts w:hint="eastAsia" w:ascii="仿宋" w:hAnsi="仿宋" w:eastAsia="仿宋" w:cs="仿宋"/>
          <w:color w:val="auto"/>
          <w:sz w:val="24"/>
          <w:szCs w:val="24"/>
          <w:highlight w:val="none"/>
          <w:lang w:val="en-US" w:eastAsia="zh-CN"/>
        </w:rPr>
        <w:t>双方均有权向甲方所在地人民法院提起诉讼</w:t>
      </w:r>
      <w:r>
        <w:rPr>
          <w:rFonts w:hint="eastAsia" w:ascii="仿宋" w:hAnsi="仿宋" w:eastAsia="仿宋" w:cs="仿宋"/>
          <w:color w:val="auto"/>
          <w:sz w:val="24"/>
          <w:szCs w:val="24"/>
          <w:highlight w:val="none"/>
        </w:rPr>
        <w:t>。</w:t>
      </w:r>
    </w:p>
    <w:p w14:paraId="65A69FE9">
      <w:pPr>
        <w:keepNext w:val="0"/>
        <w:keepLines w:val="0"/>
        <w:pageBreakBefore w:val="0"/>
        <w:widowControl w:val="0"/>
        <w:kinsoku/>
        <w:wordWrap/>
        <w:overflowPunct/>
        <w:topLinePunct w:val="0"/>
        <w:bidi w:val="0"/>
        <w:snapToGrid w:val="0"/>
        <w:spacing w:line="360" w:lineRule="auto"/>
        <w:ind w:left="0" w:right="0" w:firstLine="506" w:firstLineChars="200"/>
        <w:outlineLvl w:val="0"/>
        <w:rPr>
          <w:rFonts w:hint="eastAsia" w:ascii="仿宋" w:hAnsi="仿宋" w:eastAsia="仿宋" w:cs="仿宋"/>
          <w:b/>
          <w:snapToGrid w:val="0"/>
          <w:color w:val="auto"/>
          <w:spacing w:val="6"/>
          <w:sz w:val="24"/>
          <w:szCs w:val="24"/>
          <w:highlight w:val="none"/>
        </w:rPr>
      </w:pPr>
      <w:r>
        <w:rPr>
          <w:rFonts w:hint="eastAsia" w:ascii="仿宋" w:hAnsi="仿宋" w:eastAsia="仿宋" w:cs="仿宋"/>
          <w:b/>
          <w:snapToGrid w:val="0"/>
          <w:color w:val="auto"/>
          <w:spacing w:val="6"/>
          <w:sz w:val="24"/>
          <w:szCs w:val="24"/>
          <w:highlight w:val="none"/>
        </w:rPr>
        <w:t xml:space="preserve"> 十五、不可抗力</w:t>
      </w:r>
    </w:p>
    <w:p w14:paraId="4621C1DF">
      <w:pPr>
        <w:keepNext w:val="0"/>
        <w:keepLines w:val="0"/>
        <w:pageBreakBefore w:val="0"/>
        <w:widowControl w:val="0"/>
        <w:kinsoku/>
        <w:wordWrap/>
        <w:overflowPunct/>
        <w:topLinePunct w:val="0"/>
        <w:bidi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不可抗力是指合同双方都不能预见、不能避免并不能克服而导致合同双方无法执行合同的事件。以下事件被视为不可抗力：台风、地震、洪水等自然灾害和战争、国家或地方政策调整、突发公共卫生事件、社会公共安全事件等其它不能预见、不能避免、不能克服的客观情况。</w:t>
      </w:r>
    </w:p>
    <w:p w14:paraId="1101FF8D">
      <w:pPr>
        <w:keepNext w:val="0"/>
        <w:keepLines w:val="0"/>
        <w:pageBreakBefore w:val="0"/>
        <w:widowControl w:val="0"/>
        <w:kinsoku/>
        <w:wordWrap/>
        <w:overflowPunct/>
        <w:topLinePunct w:val="0"/>
        <w:bidi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2、发生不可抗力的一方必须在不可抗力发生后</w:t>
      </w:r>
      <w:r>
        <w:rPr>
          <w:rFonts w:hint="eastAsia" w:ascii="仿宋" w:hAnsi="仿宋" w:eastAsia="仿宋" w:cs="仿宋"/>
          <w:color w:val="auto"/>
          <w:sz w:val="24"/>
          <w:szCs w:val="24"/>
          <w:highlight w:val="none"/>
          <w:u w:val="single"/>
        </w:rPr>
        <w:t xml:space="preserve"> 7 </w:t>
      </w:r>
      <w:r>
        <w:rPr>
          <w:rFonts w:hint="eastAsia" w:ascii="仿宋" w:hAnsi="仿宋" w:eastAsia="仿宋" w:cs="仿宋"/>
          <w:color w:val="auto"/>
          <w:sz w:val="24"/>
          <w:szCs w:val="24"/>
          <w:highlight w:val="none"/>
        </w:rPr>
        <w:t xml:space="preserve"> 天内立即通知对方，并提供必要的官方文件以证明确实发生了不可抗力。</w:t>
      </w:r>
    </w:p>
    <w:p w14:paraId="7757D0B4">
      <w:pPr>
        <w:keepNext w:val="0"/>
        <w:keepLines w:val="0"/>
        <w:pageBreakBefore w:val="0"/>
        <w:widowControl w:val="0"/>
        <w:kinsoku/>
        <w:wordWrap/>
        <w:overflowPunct/>
        <w:topLinePunct w:val="0"/>
        <w:bidi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3、不可抗力发生时，发生不可抗力的一方有义务做出努力，将不可抗力带来的损失减少到最低限度，由于一方原因致使不可抗力造成的损失进一步扩大的，由责任方承担扩大的损失。</w:t>
      </w:r>
    </w:p>
    <w:p w14:paraId="55B94703">
      <w:pPr>
        <w:keepNext w:val="0"/>
        <w:keepLines w:val="0"/>
        <w:pageBreakBefore w:val="0"/>
        <w:widowControl w:val="0"/>
        <w:kinsoku/>
        <w:wordWrap/>
        <w:overflowPunct/>
        <w:topLinePunct w:val="0"/>
        <w:bidi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4、不可抗力被认可后，合同中规定双方义务的期限因不可抗力导致延期应视作自动顺延。</w:t>
      </w:r>
    </w:p>
    <w:p w14:paraId="74259257">
      <w:pPr>
        <w:keepNext w:val="0"/>
        <w:keepLines w:val="0"/>
        <w:pageBreakBefore w:val="0"/>
        <w:widowControl w:val="0"/>
        <w:kinsoku/>
        <w:wordWrap/>
        <w:overflowPunct/>
        <w:topLinePunct w:val="0"/>
        <w:bidi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5、因不可抗力造成的损失由双方协商解决。</w:t>
      </w:r>
    </w:p>
    <w:p w14:paraId="7C7BDFDC">
      <w:pPr>
        <w:keepNext w:val="0"/>
        <w:keepLines w:val="0"/>
        <w:pageBreakBefore w:val="0"/>
        <w:widowControl w:val="0"/>
        <w:kinsoku/>
        <w:wordWrap/>
        <w:overflowPunct/>
        <w:topLinePunct w:val="0"/>
        <w:bidi w:val="0"/>
        <w:snapToGrid w:val="0"/>
        <w:spacing w:line="360" w:lineRule="auto"/>
        <w:ind w:left="0" w:right="0" w:firstLine="506" w:firstLineChars="200"/>
        <w:outlineLvl w:val="0"/>
        <w:rPr>
          <w:rFonts w:hint="eastAsia" w:ascii="仿宋" w:hAnsi="仿宋" w:eastAsia="仿宋" w:cs="仿宋"/>
          <w:b/>
          <w:snapToGrid w:val="0"/>
          <w:color w:val="auto"/>
          <w:spacing w:val="6"/>
          <w:sz w:val="24"/>
          <w:szCs w:val="24"/>
          <w:highlight w:val="none"/>
        </w:rPr>
      </w:pPr>
      <w:r>
        <w:rPr>
          <w:rFonts w:hint="eastAsia" w:ascii="仿宋" w:hAnsi="仿宋" w:eastAsia="仿宋" w:cs="仿宋"/>
          <w:b/>
          <w:snapToGrid w:val="0"/>
          <w:color w:val="auto"/>
          <w:spacing w:val="6"/>
          <w:sz w:val="24"/>
          <w:szCs w:val="24"/>
          <w:highlight w:val="none"/>
        </w:rPr>
        <w:t>十六、修改</w:t>
      </w:r>
    </w:p>
    <w:p w14:paraId="36396AD3">
      <w:pPr>
        <w:keepNext w:val="0"/>
        <w:keepLines w:val="0"/>
        <w:pageBreakBefore w:val="0"/>
        <w:widowControl w:val="0"/>
        <w:kinsoku/>
        <w:wordWrap/>
        <w:overflowPunct/>
        <w:topLinePunct w:val="0"/>
        <w:bidi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只有在合同双方的授权代表书面签字盖章同意后，才能对本合同的条款进行修改、补充和更改</w:t>
      </w:r>
      <w:r>
        <w:rPr>
          <w:rFonts w:hint="eastAsia" w:ascii="仿宋" w:hAnsi="仿宋" w:eastAsia="仿宋" w:cs="仿宋"/>
          <w:color w:val="auto"/>
          <w:sz w:val="24"/>
          <w:szCs w:val="24"/>
          <w:highlight w:val="none"/>
          <w:lang w:eastAsia="zh-CN"/>
        </w:rPr>
        <w:t>，但不得对合同实质性条款进行修改</w:t>
      </w:r>
      <w:r>
        <w:rPr>
          <w:rFonts w:hint="eastAsia" w:ascii="仿宋" w:hAnsi="仿宋" w:eastAsia="仿宋" w:cs="仿宋"/>
          <w:color w:val="auto"/>
          <w:sz w:val="24"/>
          <w:szCs w:val="24"/>
          <w:highlight w:val="none"/>
        </w:rPr>
        <w:t>。这些修改、补充和更改的文件和本合同具有同等效力。</w:t>
      </w:r>
    </w:p>
    <w:p w14:paraId="7AF83092">
      <w:pPr>
        <w:keepNext w:val="0"/>
        <w:keepLines w:val="0"/>
        <w:pageBreakBefore w:val="0"/>
        <w:widowControl w:val="0"/>
        <w:kinsoku/>
        <w:wordWrap/>
        <w:overflowPunct/>
        <w:topLinePunct w:val="0"/>
        <w:bidi w:val="0"/>
        <w:snapToGrid w:val="0"/>
        <w:spacing w:line="360" w:lineRule="auto"/>
        <w:ind w:left="0" w:right="0" w:firstLine="506" w:firstLineChars="200"/>
        <w:outlineLvl w:val="0"/>
        <w:rPr>
          <w:rFonts w:hint="eastAsia" w:ascii="仿宋" w:hAnsi="仿宋" w:eastAsia="仿宋" w:cs="仿宋"/>
          <w:b/>
          <w:snapToGrid w:val="0"/>
          <w:color w:val="auto"/>
          <w:spacing w:val="6"/>
          <w:sz w:val="24"/>
          <w:szCs w:val="24"/>
          <w:highlight w:val="none"/>
        </w:rPr>
      </w:pPr>
      <w:r>
        <w:rPr>
          <w:rFonts w:hint="eastAsia" w:ascii="仿宋" w:hAnsi="仿宋" w:eastAsia="仿宋" w:cs="仿宋"/>
          <w:b/>
          <w:snapToGrid w:val="0"/>
          <w:color w:val="auto"/>
          <w:spacing w:val="6"/>
          <w:sz w:val="24"/>
          <w:szCs w:val="24"/>
          <w:highlight w:val="none"/>
        </w:rPr>
        <w:t>十七、权利和义务的转让</w:t>
      </w:r>
    </w:p>
    <w:p w14:paraId="15974813">
      <w:pPr>
        <w:keepNext w:val="0"/>
        <w:keepLines w:val="0"/>
        <w:pageBreakBefore w:val="0"/>
        <w:widowControl w:val="0"/>
        <w:kinsoku/>
        <w:wordWrap/>
        <w:overflowPunct/>
        <w:topLinePunct w:val="0"/>
        <w:bidi w:val="0"/>
        <w:spacing w:line="360" w:lineRule="auto"/>
        <w:ind w:left="0"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乙方不得部分转让或全部转让其应履行的合同义务，否则应承担由此对甲方造成的损失。</w:t>
      </w:r>
    </w:p>
    <w:p w14:paraId="522339B4">
      <w:pPr>
        <w:keepNext w:val="0"/>
        <w:keepLines w:val="0"/>
        <w:pageBreakBefore w:val="0"/>
        <w:widowControl w:val="0"/>
        <w:tabs>
          <w:tab w:val="left" w:pos="3502"/>
        </w:tabs>
        <w:kinsoku/>
        <w:wordWrap/>
        <w:overflowPunct/>
        <w:topLinePunct w:val="0"/>
        <w:bidi w:val="0"/>
        <w:snapToGrid w:val="0"/>
        <w:spacing w:line="360" w:lineRule="auto"/>
        <w:ind w:left="0" w:right="0" w:firstLine="506" w:firstLineChars="200"/>
        <w:outlineLvl w:val="0"/>
        <w:rPr>
          <w:rFonts w:hint="eastAsia" w:ascii="仿宋" w:hAnsi="仿宋" w:eastAsia="仿宋" w:cs="仿宋"/>
          <w:b/>
          <w:snapToGrid w:val="0"/>
          <w:color w:val="auto"/>
          <w:spacing w:val="6"/>
          <w:sz w:val="24"/>
          <w:szCs w:val="24"/>
          <w:highlight w:val="none"/>
        </w:rPr>
      </w:pPr>
      <w:r>
        <w:rPr>
          <w:rFonts w:hint="eastAsia" w:ascii="仿宋" w:hAnsi="仿宋" w:eastAsia="仿宋" w:cs="仿宋"/>
          <w:b/>
          <w:snapToGrid w:val="0"/>
          <w:color w:val="auto"/>
          <w:spacing w:val="6"/>
          <w:sz w:val="24"/>
          <w:szCs w:val="24"/>
          <w:highlight w:val="none"/>
        </w:rPr>
        <w:t>十八、解除合同的措施</w:t>
      </w:r>
    </w:p>
    <w:p w14:paraId="7BCA8F42">
      <w:pPr>
        <w:keepNext w:val="0"/>
        <w:keepLines w:val="0"/>
        <w:pageBreakBefore w:val="0"/>
        <w:widowControl w:val="0"/>
        <w:kinsoku/>
        <w:wordWrap/>
        <w:overflowPunct/>
        <w:topLinePunct w:val="0"/>
        <w:autoSpaceDE w:val="0"/>
        <w:autoSpaceDN w:val="0"/>
        <w:bidi w:val="0"/>
        <w:adjustRightInd w:val="0"/>
        <w:spacing w:line="360" w:lineRule="auto"/>
        <w:ind w:left="0" w:right="0"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1、乙方存在违约、违反保密义务等行为的，甲方有权解除合同，乙方应退还全部已付货款，并支付合同总价款20%的违约金，违约金不足以弥补给甲方造成的损失的，乙方应补足。</w:t>
      </w:r>
    </w:p>
    <w:p w14:paraId="1E7CE688">
      <w:pPr>
        <w:keepNext w:val="0"/>
        <w:keepLines w:val="0"/>
        <w:pageBreakBefore w:val="0"/>
        <w:widowControl w:val="0"/>
        <w:kinsoku/>
        <w:wordWrap/>
        <w:overflowPunct/>
        <w:topLinePunct w:val="0"/>
        <w:autoSpaceDE w:val="0"/>
        <w:autoSpaceDN w:val="0"/>
        <w:bidi w:val="0"/>
        <w:adjustRightInd w:val="0"/>
        <w:spacing w:line="360" w:lineRule="auto"/>
        <w:ind w:left="0" w:right="0"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2、解除合同时，乙方应在一周内退还属于甲方的资料、物品，作好善后处理，并为甲方保密。否则，甲方有权对因此造成的损失追究责任。</w:t>
      </w:r>
    </w:p>
    <w:p w14:paraId="51893B2C">
      <w:pPr>
        <w:keepNext w:val="0"/>
        <w:keepLines w:val="0"/>
        <w:pageBreakBefore w:val="0"/>
        <w:widowControl w:val="0"/>
        <w:kinsoku/>
        <w:wordWrap/>
        <w:overflowPunct/>
        <w:topLinePunct w:val="0"/>
        <w:autoSpaceDE w:val="0"/>
        <w:autoSpaceDN w:val="0"/>
        <w:bidi w:val="0"/>
        <w:adjustRightInd w:val="0"/>
        <w:spacing w:line="360" w:lineRule="auto"/>
        <w:ind w:left="0" w:right="0"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3、由于甲方过错解除本合同时，甲方补偿由此给乙方带来的直接经济损失。</w:t>
      </w:r>
    </w:p>
    <w:p w14:paraId="5AF2BBF5">
      <w:pPr>
        <w:keepNext w:val="0"/>
        <w:keepLines w:val="0"/>
        <w:pageBreakBefore w:val="0"/>
        <w:widowControl w:val="0"/>
        <w:kinsoku/>
        <w:wordWrap/>
        <w:overflowPunct/>
        <w:topLinePunct w:val="0"/>
        <w:autoSpaceDE w:val="0"/>
        <w:autoSpaceDN w:val="0"/>
        <w:bidi w:val="0"/>
        <w:adjustRightInd w:val="0"/>
        <w:spacing w:line="360" w:lineRule="auto"/>
        <w:ind w:left="0" w:right="0"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4、解除合同时，甲方应在一周内退还所有乙方提供的技术资料及相关产品，作好善后处理，</w:t>
      </w:r>
    </w:p>
    <w:p w14:paraId="7FF49B1B">
      <w:pPr>
        <w:keepNext w:val="0"/>
        <w:keepLines w:val="0"/>
        <w:pageBreakBefore w:val="0"/>
        <w:widowControl w:val="0"/>
        <w:kinsoku/>
        <w:wordWrap/>
        <w:overflowPunct/>
        <w:topLinePunct w:val="0"/>
        <w:autoSpaceDE w:val="0"/>
        <w:autoSpaceDN w:val="0"/>
        <w:bidi w:val="0"/>
        <w:adjustRightInd w:val="0"/>
        <w:spacing w:line="360" w:lineRule="auto"/>
        <w:ind w:left="0" w:right="0"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并为乙方保密。否则，乙方有权对因此造成的损失追究责任。</w:t>
      </w:r>
    </w:p>
    <w:p w14:paraId="3FFF46F5">
      <w:pPr>
        <w:keepNext w:val="0"/>
        <w:keepLines w:val="0"/>
        <w:pageBreakBefore w:val="0"/>
        <w:widowControl w:val="0"/>
        <w:kinsoku/>
        <w:wordWrap/>
        <w:overflowPunct/>
        <w:topLinePunct w:val="0"/>
        <w:bidi w:val="0"/>
        <w:snapToGrid w:val="0"/>
        <w:spacing w:line="360" w:lineRule="auto"/>
        <w:ind w:left="0" w:right="0" w:firstLine="506" w:firstLineChars="200"/>
        <w:outlineLvl w:val="0"/>
        <w:rPr>
          <w:rFonts w:hint="eastAsia" w:ascii="仿宋" w:hAnsi="仿宋" w:eastAsia="仿宋" w:cs="仿宋"/>
          <w:b/>
          <w:snapToGrid w:val="0"/>
          <w:color w:val="auto"/>
          <w:spacing w:val="6"/>
          <w:sz w:val="24"/>
          <w:szCs w:val="24"/>
          <w:highlight w:val="none"/>
        </w:rPr>
      </w:pPr>
      <w:r>
        <w:rPr>
          <w:rFonts w:hint="eastAsia" w:ascii="仿宋" w:hAnsi="仿宋" w:eastAsia="仿宋" w:cs="仿宋"/>
          <w:b/>
          <w:snapToGrid w:val="0"/>
          <w:color w:val="auto"/>
          <w:spacing w:val="6"/>
          <w:sz w:val="24"/>
          <w:szCs w:val="24"/>
          <w:highlight w:val="none"/>
        </w:rPr>
        <w:t>十九、合同终止</w:t>
      </w:r>
    </w:p>
    <w:p w14:paraId="1F71195A">
      <w:pPr>
        <w:keepNext w:val="0"/>
        <w:keepLines w:val="0"/>
        <w:pageBreakBefore w:val="0"/>
        <w:widowControl w:val="0"/>
        <w:kinsoku/>
        <w:wordWrap/>
        <w:overflowPunct/>
        <w:topLinePunct w:val="0"/>
        <w:autoSpaceDE w:val="0"/>
        <w:autoSpaceDN w:val="0"/>
        <w:bidi w:val="0"/>
        <w:adjustRightInd w:val="0"/>
        <w:spacing w:line="360" w:lineRule="auto"/>
        <w:ind w:left="0" w:right="0"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本合同所实施的项目内容交付甲方使用直至双方权利与义务履行结束，本合同自动终止。</w:t>
      </w:r>
    </w:p>
    <w:p w14:paraId="33F93995">
      <w:pPr>
        <w:keepNext w:val="0"/>
        <w:keepLines w:val="0"/>
        <w:pageBreakBefore w:val="0"/>
        <w:widowControl w:val="0"/>
        <w:kinsoku/>
        <w:wordWrap/>
        <w:overflowPunct/>
        <w:topLinePunct w:val="0"/>
        <w:bidi w:val="0"/>
        <w:snapToGrid w:val="0"/>
        <w:spacing w:line="360" w:lineRule="auto"/>
        <w:ind w:left="0" w:right="0" w:firstLine="506" w:firstLineChars="200"/>
        <w:outlineLvl w:val="0"/>
        <w:rPr>
          <w:rFonts w:hint="eastAsia" w:ascii="仿宋" w:hAnsi="仿宋" w:eastAsia="仿宋" w:cs="仿宋"/>
          <w:b/>
          <w:snapToGrid w:val="0"/>
          <w:color w:val="auto"/>
          <w:spacing w:val="6"/>
          <w:sz w:val="24"/>
          <w:szCs w:val="24"/>
          <w:highlight w:val="none"/>
        </w:rPr>
      </w:pPr>
      <w:r>
        <w:rPr>
          <w:rFonts w:hint="eastAsia" w:ascii="仿宋" w:hAnsi="仿宋" w:eastAsia="仿宋" w:cs="仿宋"/>
          <w:b/>
          <w:snapToGrid w:val="0"/>
          <w:color w:val="auto"/>
          <w:spacing w:val="6"/>
          <w:sz w:val="24"/>
          <w:szCs w:val="24"/>
          <w:highlight w:val="none"/>
        </w:rPr>
        <w:t>二十、保密</w:t>
      </w:r>
    </w:p>
    <w:p w14:paraId="2D19729E">
      <w:pPr>
        <w:keepNext w:val="0"/>
        <w:keepLines w:val="0"/>
        <w:pageBreakBefore w:val="0"/>
        <w:widowControl w:val="0"/>
        <w:kinsoku/>
        <w:wordWrap/>
        <w:overflowPunct/>
        <w:topLinePunct w:val="0"/>
        <w:autoSpaceDE w:val="0"/>
        <w:autoSpaceDN w:val="0"/>
        <w:bidi w:val="0"/>
        <w:adjustRightInd w:val="0"/>
        <w:spacing w:line="360" w:lineRule="auto"/>
        <w:ind w:left="0" w:right="0"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双方约定，在本合同履行过程中一方均应对对方提供的一切信息、文件、资料保密，在任何情况下，均不得向任何第三方泄露。保密条款的约定不受合同期限的限制。</w:t>
      </w:r>
    </w:p>
    <w:p w14:paraId="4527D061">
      <w:pPr>
        <w:keepNext w:val="0"/>
        <w:keepLines w:val="0"/>
        <w:pageBreakBefore w:val="0"/>
        <w:widowControl w:val="0"/>
        <w:kinsoku/>
        <w:wordWrap/>
        <w:overflowPunct/>
        <w:topLinePunct w:val="0"/>
        <w:bidi w:val="0"/>
        <w:snapToGrid w:val="0"/>
        <w:spacing w:line="360" w:lineRule="auto"/>
        <w:ind w:left="0" w:right="0" w:firstLine="506" w:firstLineChars="200"/>
        <w:outlineLvl w:val="0"/>
        <w:rPr>
          <w:rFonts w:hint="eastAsia" w:ascii="仿宋" w:hAnsi="仿宋" w:eastAsia="仿宋" w:cs="仿宋"/>
          <w:b/>
          <w:snapToGrid w:val="0"/>
          <w:color w:val="auto"/>
          <w:spacing w:val="6"/>
          <w:sz w:val="24"/>
          <w:szCs w:val="24"/>
          <w:highlight w:val="none"/>
        </w:rPr>
      </w:pPr>
      <w:r>
        <w:rPr>
          <w:rFonts w:hint="eastAsia" w:ascii="仿宋" w:hAnsi="仿宋" w:eastAsia="仿宋" w:cs="仿宋"/>
          <w:b/>
          <w:snapToGrid w:val="0"/>
          <w:color w:val="auto"/>
          <w:spacing w:val="6"/>
          <w:sz w:val="24"/>
          <w:szCs w:val="24"/>
          <w:highlight w:val="none"/>
        </w:rPr>
        <w:t>二十一、合同附件</w:t>
      </w:r>
    </w:p>
    <w:p w14:paraId="6B5114CC">
      <w:pPr>
        <w:keepNext w:val="0"/>
        <w:keepLines w:val="0"/>
        <w:pageBreakBefore w:val="0"/>
        <w:widowControl w:val="0"/>
        <w:kinsoku/>
        <w:wordWrap/>
        <w:overflowPunct/>
        <w:topLinePunct w:val="0"/>
        <w:autoSpaceDE w:val="0"/>
        <w:autoSpaceDN w:val="0"/>
        <w:bidi w:val="0"/>
        <w:adjustRightInd w:val="0"/>
        <w:spacing w:line="360" w:lineRule="auto"/>
        <w:ind w:left="0" w:right="0"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本合同附件与合同具有同等法律效力并与合同同时生效，同时废止。乙方的投标文件及澄清函等招投标文件构成本合同的组成内容。</w:t>
      </w:r>
    </w:p>
    <w:p w14:paraId="1BE3F156">
      <w:pPr>
        <w:keepNext w:val="0"/>
        <w:keepLines w:val="0"/>
        <w:pageBreakBefore w:val="0"/>
        <w:widowControl w:val="0"/>
        <w:kinsoku/>
        <w:wordWrap/>
        <w:overflowPunct/>
        <w:topLinePunct w:val="0"/>
        <w:autoSpaceDE w:val="0"/>
        <w:autoSpaceDN w:val="0"/>
        <w:bidi w:val="0"/>
        <w:adjustRightInd w:val="0"/>
        <w:spacing w:line="360" w:lineRule="auto"/>
        <w:ind w:left="0" w:right="0"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w:t>
      </w:r>
      <w:r>
        <w:rPr>
          <w:rFonts w:hint="eastAsia" w:ascii="仿宋" w:hAnsi="仿宋" w:eastAsia="仿宋" w:cs="仿宋"/>
          <w:snapToGrid w:val="0"/>
          <w:color w:val="auto"/>
          <w:spacing w:val="6"/>
          <w:sz w:val="24"/>
          <w:szCs w:val="24"/>
          <w:highlight w:val="none"/>
        </w:rPr>
        <w:t>技术协议</w:t>
      </w:r>
      <w:r>
        <w:rPr>
          <w:rFonts w:hint="eastAsia" w:ascii="仿宋" w:hAnsi="仿宋" w:eastAsia="仿宋" w:cs="仿宋"/>
          <w:color w:val="auto"/>
          <w:sz w:val="24"/>
          <w:szCs w:val="24"/>
          <w:highlight w:val="none"/>
        </w:rPr>
        <w:t>》</w:t>
      </w:r>
    </w:p>
    <w:p w14:paraId="29F1E9EE">
      <w:pPr>
        <w:keepNext w:val="0"/>
        <w:keepLines w:val="0"/>
        <w:pageBreakBefore w:val="0"/>
        <w:widowControl w:val="0"/>
        <w:kinsoku/>
        <w:wordWrap/>
        <w:overflowPunct/>
        <w:topLinePunct w:val="0"/>
        <w:bidi w:val="0"/>
        <w:snapToGrid w:val="0"/>
        <w:spacing w:line="360" w:lineRule="auto"/>
        <w:ind w:left="0" w:right="0" w:firstLine="506" w:firstLineChars="200"/>
        <w:outlineLvl w:val="0"/>
        <w:rPr>
          <w:rFonts w:hint="eastAsia" w:ascii="仿宋" w:hAnsi="仿宋" w:eastAsia="仿宋" w:cs="仿宋"/>
          <w:b/>
          <w:snapToGrid w:val="0"/>
          <w:color w:val="auto"/>
          <w:spacing w:val="6"/>
          <w:sz w:val="24"/>
          <w:szCs w:val="24"/>
          <w:highlight w:val="none"/>
        </w:rPr>
      </w:pPr>
      <w:r>
        <w:rPr>
          <w:rFonts w:hint="eastAsia" w:ascii="仿宋" w:hAnsi="仿宋" w:eastAsia="仿宋" w:cs="仿宋"/>
          <w:b/>
          <w:snapToGrid w:val="0"/>
          <w:color w:val="auto"/>
          <w:spacing w:val="6"/>
          <w:sz w:val="24"/>
          <w:szCs w:val="24"/>
          <w:highlight w:val="none"/>
        </w:rPr>
        <w:t>二十二、合同生效</w:t>
      </w:r>
    </w:p>
    <w:p w14:paraId="3E1E87BE">
      <w:pPr>
        <w:keepNext w:val="0"/>
        <w:keepLines w:val="0"/>
        <w:pageBreakBefore w:val="0"/>
        <w:widowControl w:val="0"/>
        <w:kinsoku/>
        <w:wordWrap/>
        <w:overflowPunct/>
        <w:topLinePunct w:val="0"/>
        <w:autoSpaceDE w:val="0"/>
        <w:autoSpaceDN w:val="0"/>
        <w:bidi w:val="0"/>
        <w:adjustRightInd w:val="0"/>
        <w:spacing w:line="360" w:lineRule="auto"/>
        <w:ind w:left="0" w:right="0"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合同生效时间：</w:t>
      </w:r>
      <w:r>
        <w:rPr>
          <w:rFonts w:hint="eastAsia" w:ascii="仿宋" w:hAnsi="仿宋" w:eastAsia="仿宋" w:cs="仿宋"/>
          <w:color w:val="auto"/>
          <w:sz w:val="24"/>
          <w:szCs w:val="24"/>
          <w:highlight w:val="none"/>
          <w:lang w:val="en-US" w:eastAsia="zh-CN"/>
        </w:rPr>
        <w:t>合同自双方法定代表人或授权代表签字并加盖单位公章之日起生效</w:t>
      </w:r>
      <w:r>
        <w:rPr>
          <w:rFonts w:hint="eastAsia" w:ascii="仿宋" w:hAnsi="仿宋" w:eastAsia="仿宋" w:cs="仿宋"/>
          <w:color w:val="auto"/>
          <w:sz w:val="24"/>
          <w:szCs w:val="24"/>
          <w:highlight w:val="none"/>
        </w:rPr>
        <w:t>。</w:t>
      </w:r>
    </w:p>
    <w:p w14:paraId="0384B7DC">
      <w:pPr>
        <w:keepNext w:val="0"/>
        <w:keepLines w:val="0"/>
        <w:pageBreakBefore w:val="0"/>
        <w:widowControl w:val="0"/>
        <w:kinsoku/>
        <w:wordWrap/>
        <w:overflowPunct/>
        <w:topLinePunct w:val="0"/>
        <w:bidi w:val="0"/>
        <w:snapToGrid w:val="0"/>
        <w:spacing w:line="360" w:lineRule="auto"/>
        <w:ind w:left="0" w:right="0" w:firstLine="506" w:firstLineChars="200"/>
        <w:rPr>
          <w:rFonts w:hint="eastAsia" w:ascii="仿宋" w:hAnsi="仿宋" w:eastAsia="仿宋" w:cs="仿宋"/>
          <w:b/>
          <w:snapToGrid w:val="0"/>
          <w:color w:val="auto"/>
          <w:spacing w:val="6"/>
          <w:sz w:val="24"/>
          <w:szCs w:val="24"/>
          <w:highlight w:val="none"/>
        </w:rPr>
      </w:pPr>
      <w:r>
        <w:rPr>
          <w:rFonts w:hint="eastAsia" w:ascii="仿宋" w:hAnsi="仿宋" w:eastAsia="仿宋" w:cs="仿宋"/>
          <w:b/>
          <w:snapToGrid w:val="0"/>
          <w:color w:val="auto"/>
          <w:spacing w:val="6"/>
          <w:sz w:val="24"/>
          <w:szCs w:val="24"/>
          <w:highlight w:val="none"/>
        </w:rPr>
        <w:t>二十三、其他约定事项</w:t>
      </w:r>
    </w:p>
    <w:p w14:paraId="50291958">
      <w:pPr>
        <w:keepNext w:val="0"/>
        <w:keepLines w:val="0"/>
        <w:pageBreakBefore w:val="0"/>
        <w:widowControl w:val="0"/>
        <w:kinsoku/>
        <w:wordWrap/>
        <w:overflowPunct/>
        <w:topLinePunct w:val="0"/>
        <w:autoSpaceDE w:val="0"/>
        <w:autoSpaceDN w:val="0"/>
        <w:bidi w:val="0"/>
        <w:adjustRightInd w:val="0"/>
        <w:spacing w:line="360" w:lineRule="auto"/>
        <w:ind w:left="0" w:right="0"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合同一式</w:t>
      </w:r>
      <w:r>
        <w:rPr>
          <w:rFonts w:hint="eastAsia" w:ascii="仿宋" w:hAnsi="仿宋" w:eastAsia="仿宋" w:cs="仿宋"/>
          <w:color w:val="auto"/>
          <w:sz w:val="24"/>
          <w:szCs w:val="24"/>
          <w:highlight w:val="none"/>
          <w:lang w:eastAsia="zh-CN"/>
        </w:rPr>
        <w:t>肆</w:t>
      </w:r>
      <w:r>
        <w:rPr>
          <w:rFonts w:hint="eastAsia" w:ascii="仿宋" w:hAnsi="仿宋" w:eastAsia="仿宋" w:cs="仿宋"/>
          <w:color w:val="auto"/>
          <w:sz w:val="24"/>
          <w:szCs w:val="24"/>
          <w:highlight w:val="none"/>
        </w:rPr>
        <w:t>份，甲方执</w:t>
      </w:r>
      <w:r>
        <w:rPr>
          <w:rFonts w:hint="eastAsia" w:ascii="仿宋" w:hAnsi="仿宋" w:eastAsia="仿宋" w:cs="仿宋"/>
          <w:color w:val="auto"/>
          <w:sz w:val="24"/>
          <w:szCs w:val="24"/>
          <w:highlight w:val="none"/>
          <w:lang w:eastAsia="zh-CN"/>
        </w:rPr>
        <w:t>贰</w:t>
      </w:r>
      <w:r>
        <w:rPr>
          <w:rFonts w:hint="eastAsia" w:ascii="仿宋" w:hAnsi="仿宋" w:eastAsia="仿宋" w:cs="仿宋"/>
          <w:color w:val="auto"/>
          <w:sz w:val="24"/>
          <w:szCs w:val="24"/>
          <w:highlight w:val="none"/>
        </w:rPr>
        <w:t>份，乙方执</w:t>
      </w:r>
      <w:r>
        <w:rPr>
          <w:rFonts w:hint="eastAsia" w:ascii="仿宋" w:hAnsi="仿宋" w:eastAsia="仿宋" w:cs="仿宋"/>
          <w:color w:val="auto"/>
          <w:sz w:val="24"/>
          <w:szCs w:val="24"/>
          <w:highlight w:val="none"/>
          <w:lang w:eastAsia="zh-CN"/>
        </w:rPr>
        <w:t>贰</w:t>
      </w:r>
      <w:r>
        <w:rPr>
          <w:rFonts w:hint="eastAsia" w:ascii="仿宋" w:hAnsi="仿宋" w:eastAsia="仿宋" w:cs="仿宋"/>
          <w:color w:val="auto"/>
          <w:sz w:val="24"/>
          <w:szCs w:val="24"/>
          <w:highlight w:val="none"/>
        </w:rPr>
        <w:t>份，具有同等法律效力。其余未尽事宜双方协商解决，如协商不成双方均可向合同签订地人民法院提起诉讼。</w:t>
      </w:r>
    </w:p>
    <w:p w14:paraId="4560F8DF">
      <w:pPr>
        <w:keepNext w:val="0"/>
        <w:keepLines w:val="0"/>
        <w:pageBreakBefore w:val="0"/>
        <w:widowControl w:val="0"/>
        <w:kinsoku/>
        <w:wordWrap/>
        <w:overflowPunct/>
        <w:topLinePunct w:val="0"/>
        <w:autoSpaceDE w:val="0"/>
        <w:autoSpaceDN w:val="0"/>
        <w:bidi w:val="0"/>
        <w:adjustRightInd w:val="0"/>
        <w:spacing w:line="360" w:lineRule="auto"/>
        <w:ind w:left="0" w:right="0" w:firstLine="360" w:firstLineChars="150"/>
        <w:textAlignment w:val="baseline"/>
        <w:rPr>
          <w:rFonts w:hint="eastAsia" w:ascii="仿宋" w:hAnsi="仿宋" w:eastAsia="仿宋" w:cs="仿宋"/>
          <w:color w:val="auto"/>
          <w:sz w:val="24"/>
          <w:szCs w:val="24"/>
          <w:highlight w:val="none"/>
        </w:rPr>
      </w:pPr>
    </w:p>
    <w:tbl>
      <w:tblPr>
        <w:tblStyle w:val="2"/>
        <w:tblpPr w:leftFromText="180" w:rightFromText="180" w:vertAnchor="text" w:tblpX="26" w:tblpY="1"/>
        <w:tblOverlap w:val="never"/>
        <w:tblW w:w="8519" w:type="dxa"/>
        <w:tblInd w:w="0" w:type="dxa"/>
        <w:tblLayout w:type="fixed"/>
        <w:tblCellMar>
          <w:top w:w="0" w:type="dxa"/>
          <w:left w:w="108" w:type="dxa"/>
          <w:bottom w:w="0" w:type="dxa"/>
          <w:right w:w="108" w:type="dxa"/>
        </w:tblCellMar>
      </w:tblPr>
      <w:tblGrid>
        <w:gridCol w:w="4511"/>
        <w:gridCol w:w="4008"/>
      </w:tblGrid>
      <w:tr w14:paraId="1D318B4D">
        <w:tblPrEx>
          <w:tblCellMar>
            <w:top w:w="0" w:type="dxa"/>
            <w:left w:w="108" w:type="dxa"/>
            <w:bottom w:w="0" w:type="dxa"/>
            <w:right w:w="108" w:type="dxa"/>
          </w:tblCellMar>
        </w:tblPrEx>
        <w:trPr>
          <w:trHeight w:val="458" w:hRule="atLeast"/>
        </w:trPr>
        <w:tc>
          <w:tcPr>
            <w:tcW w:w="4511" w:type="dxa"/>
            <w:tcBorders>
              <w:tl2br w:val="nil"/>
              <w:tr2bl w:val="nil"/>
            </w:tcBorders>
            <w:vAlign w:val="center"/>
          </w:tcPr>
          <w:p w14:paraId="621AA16D">
            <w:pPr>
              <w:keepNext w:val="0"/>
              <w:keepLines w:val="0"/>
              <w:pageBreakBefore w:val="0"/>
              <w:widowControl w:val="0"/>
              <w:kinsoku/>
              <w:wordWrap/>
              <w:overflowPunct/>
              <w:topLinePunct w:val="0"/>
              <w:bidi w:val="0"/>
              <w:spacing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甲方(合同章)</w:t>
            </w:r>
          </w:p>
        </w:tc>
        <w:tc>
          <w:tcPr>
            <w:tcW w:w="4008" w:type="dxa"/>
            <w:tcBorders>
              <w:tl2br w:val="nil"/>
              <w:tr2bl w:val="nil"/>
            </w:tcBorders>
            <w:vAlign w:val="center"/>
          </w:tcPr>
          <w:p w14:paraId="2DFD9B79">
            <w:pPr>
              <w:keepNext w:val="0"/>
              <w:keepLines w:val="0"/>
              <w:pageBreakBefore w:val="0"/>
              <w:widowControl w:val="0"/>
              <w:kinsoku/>
              <w:wordWrap/>
              <w:overflowPunct/>
              <w:topLinePunct w:val="0"/>
              <w:bidi w:val="0"/>
              <w:spacing w:line="360" w:lineRule="auto"/>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乙方(合同章)</w:t>
            </w:r>
          </w:p>
        </w:tc>
      </w:tr>
      <w:tr w14:paraId="428F6140">
        <w:tblPrEx>
          <w:tblCellMar>
            <w:top w:w="0" w:type="dxa"/>
            <w:left w:w="108" w:type="dxa"/>
            <w:bottom w:w="0" w:type="dxa"/>
            <w:right w:w="108" w:type="dxa"/>
          </w:tblCellMar>
        </w:tblPrEx>
        <w:trPr>
          <w:trHeight w:val="457" w:hRule="atLeast"/>
        </w:trPr>
        <w:tc>
          <w:tcPr>
            <w:tcW w:w="4511" w:type="dxa"/>
            <w:tcBorders>
              <w:tl2br w:val="nil"/>
              <w:tr2bl w:val="nil"/>
            </w:tcBorders>
            <w:vAlign w:val="center"/>
          </w:tcPr>
          <w:p w14:paraId="71B9CAC3">
            <w:pPr>
              <w:keepNext w:val="0"/>
              <w:keepLines w:val="0"/>
              <w:pageBreakBefore w:val="0"/>
              <w:widowControl w:val="0"/>
              <w:kinsoku/>
              <w:wordWrap/>
              <w:overflowPunct/>
              <w:topLinePunct w:val="0"/>
              <w:bidi w:val="0"/>
              <w:spacing w:line="360" w:lineRule="auto"/>
              <w:ind w:left="0" w:right="0"/>
              <w:rPr>
                <w:rFonts w:hint="eastAsia" w:ascii="仿宋" w:hAnsi="仿宋" w:eastAsia="仿宋" w:cs="仿宋"/>
                <w:color w:val="auto"/>
                <w:sz w:val="24"/>
                <w:szCs w:val="24"/>
                <w:highlight w:val="none"/>
              </w:rPr>
            </w:pPr>
          </w:p>
        </w:tc>
        <w:tc>
          <w:tcPr>
            <w:tcW w:w="4008" w:type="dxa"/>
            <w:tcBorders>
              <w:tl2br w:val="nil"/>
              <w:tr2bl w:val="nil"/>
            </w:tcBorders>
            <w:vAlign w:val="center"/>
          </w:tcPr>
          <w:p w14:paraId="2BF45EB2">
            <w:pPr>
              <w:keepNext w:val="0"/>
              <w:keepLines w:val="0"/>
              <w:pageBreakBefore w:val="0"/>
              <w:widowControl w:val="0"/>
              <w:kinsoku/>
              <w:wordWrap/>
              <w:overflowPunct/>
              <w:topLinePunct w:val="0"/>
              <w:bidi w:val="0"/>
              <w:spacing w:line="360" w:lineRule="auto"/>
              <w:ind w:left="0" w:right="0"/>
              <w:rPr>
                <w:rFonts w:hint="eastAsia" w:ascii="仿宋" w:hAnsi="仿宋" w:eastAsia="仿宋" w:cs="仿宋"/>
                <w:color w:val="auto"/>
                <w:sz w:val="24"/>
                <w:szCs w:val="24"/>
                <w:highlight w:val="none"/>
              </w:rPr>
            </w:pPr>
          </w:p>
        </w:tc>
      </w:tr>
      <w:tr w14:paraId="78CC7D81">
        <w:tblPrEx>
          <w:tblCellMar>
            <w:top w:w="0" w:type="dxa"/>
            <w:left w:w="108" w:type="dxa"/>
            <w:bottom w:w="0" w:type="dxa"/>
            <w:right w:w="108" w:type="dxa"/>
          </w:tblCellMar>
        </w:tblPrEx>
        <w:trPr>
          <w:trHeight w:val="1050" w:hRule="atLeast"/>
        </w:trPr>
        <w:tc>
          <w:tcPr>
            <w:tcW w:w="4511" w:type="dxa"/>
            <w:tcBorders>
              <w:tl2br w:val="nil"/>
              <w:tr2bl w:val="nil"/>
            </w:tcBorders>
            <w:vAlign w:val="center"/>
          </w:tcPr>
          <w:p w14:paraId="11DE78AA">
            <w:pPr>
              <w:keepNext w:val="0"/>
              <w:keepLines w:val="0"/>
              <w:pageBreakBefore w:val="0"/>
              <w:widowControl w:val="0"/>
              <w:kinsoku/>
              <w:wordWrap/>
              <w:overflowPunct/>
              <w:topLinePunct w:val="0"/>
              <w:bidi w:val="0"/>
              <w:spacing w:line="360" w:lineRule="auto"/>
              <w:ind w:left="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法人或授权代表： </w:t>
            </w:r>
          </w:p>
        </w:tc>
        <w:tc>
          <w:tcPr>
            <w:tcW w:w="4008" w:type="dxa"/>
            <w:tcBorders>
              <w:tl2br w:val="nil"/>
              <w:tr2bl w:val="nil"/>
            </w:tcBorders>
            <w:vAlign w:val="center"/>
          </w:tcPr>
          <w:p w14:paraId="47BCB577">
            <w:pPr>
              <w:keepNext w:val="0"/>
              <w:keepLines w:val="0"/>
              <w:pageBreakBefore w:val="0"/>
              <w:widowControl w:val="0"/>
              <w:kinsoku/>
              <w:wordWrap/>
              <w:overflowPunct/>
              <w:topLinePunct w:val="0"/>
              <w:bidi w:val="0"/>
              <w:spacing w:line="360" w:lineRule="auto"/>
              <w:ind w:left="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法人或授权代表：</w:t>
            </w:r>
          </w:p>
        </w:tc>
      </w:tr>
      <w:tr w14:paraId="55FFDC01">
        <w:tblPrEx>
          <w:tblCellMar>
            <w:top w:w="0" w:type="dxa"/>
            <w:left w:w="108" w:type="dxa"/>
            <w:bottom w:w="0" w:type="dxa"/>
            <w:right w:w="108" w:type="dxa"/>
          </w:tblCellMar>
        </w:tblPrEx>
        <w:trPr>
          <w:trHeight w:val="613" w:hRule="atLeast"/>
        </w:trPr>
        <w:tc>
          <w:tcPr>
            <w:tcW w:w="4511" w:type="dxa"/>
            <w:tcBorders>
              <w:tl2br w:val="nil"/>
              <w:tr2bl w:val="nil"/>
            </w:tcBorders>
            <w:vAlign w:val="center"/>
          </w:tcPr>
          <w:p w14:paraId="6F41072A">
            <w:pPr>
              <w:keepNext w:val="0"/>
              <w:keepLines w:val="0"/>
              <w:pageBreakBefore w:val="0"/>
              <w:widowControl w:val="0"/>
              <w:kinsoku/>
              <w:wordWrap/>
              <w:overflowPunct/>
              <w:topLinePunct w:val="0"/>
              <w:bidi w:val="0"/>
              <w:spacing w:line="360" w:lineRule="auto"/>
              <w:ind w:left="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开户行：</w:t>
            </w:r>
          </w:p>
        </w:tc>
        <w:tc>
          <w:tcPr>
            <w:tcW w:w="4008" w:type="dxa"/>
            <w:tcBorders>
              <w:tl2br w:val="nil"/>
              <w:tr2bl w:val="nil"/>
            </w:tcBorders>
            <w:vAlign w:val="center"/>
          </w:tcPr>
          <w:p w14:paraId="08AEE71B">
            <w:pPr>
              <w:keepNext w:val="0"/>
              <w:keepLines w:val="0"/>
              <w:pageBreakBefore w:val="0"/>
              <w:widowControl w:val="0"/>
              <w:kinsoku/>
              <w:wordWrap/>
              <w:overflowPunct/>
              <w:topLinePunct w:val="0"/>
              <w:bidi w:val="0"/>
              <w:spacing w:line="360" w:lineRule="auto"/>
              <w:ind w:left="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开户行：</w:t>
            </w:r>
          </w:p>
        </w:tc>
      </w:tr>
      <w:tr w14:paraId="35D4A18B">
        <w:tblPrEx>
          <w:tblCellMar>
            <w:top w:w="0" w:type="dxa"/>
            <w:left w:w="108" w:type="dxa"/>
            <w:bottom w:w="0" w:type="dxa"/>
            <w:right w:w="108" w:type="dxa"/>
          </w:tblCellMar>
        </w:tblPrEx>
        <w:trPr>
          <w:trHeight w:val="472" w:hRule="atLeast"/>
        </w:trPr>
        <w:tc>
          <w:tcPr>
            <w:tcW w:w="4511" w:type="dxa"/>
            <w:tcBorders>
              <w:tl2br w:val="nil"/>
              <w:tr2bl w:val="nil"/>
            </w:tcBorders>
            <w:vAlign w:val="center"/>
          </w:tcPr>
          <w:p w14:paraId="474B2381">
            <w:pPr>
              <w:keepNext w:val="0"/>
              <w:keepLines w:val="0"/>
              <w:pageBreakBefore w:val="0"/>
              <w:widowControl w:val="0"/>
              <w:kinsoku/>
              <w:wordWrap/>
              <w:overflowPunct/>
              <w:topLinePunct w:val="0"/>
              <w:bidi w:val="0"/>
              <w:spacing w:line="360" w:lineRule="auto"/>
              <w:ind w:left="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帐号：</w:t>
            </w:r>
          </w:p>
        </w:tc>
        <w:tc>
          <w:tcPr>
            <w:tcW w:w="4008" w:type="dxa"/>
            <w:tcBorders>
              <w:tl2br w:val="nil"/>
              <w:tr2bl w:val="nil"/>
            </w:tcBorders>
            <w:vAlign w:val="center"/>
          </w:tcPr>
          <w:p w14:paraId="1BC06AE3">
            <w:pPr>
              <w:keepNext w:val="0"/>
              <w:keepLines w:val="0"/>
              <w:pageBreakBefore w:val="0"/>
              <w:widowControl w:val="0"/>
              <w:kinsoku/>
              <w:wordWrap/>
              <w:overflowPunct/>
              <w:topLinePunct w:val="0"/>
              <w:bidi w:val="0"/>
              <w:spacing w:line="360" w:lineRule="auto"/>
              <w:ind w:left="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帐号：</w:t>
            </w:r>
          </w:p>
        </w:tc>
      </w:tr>
      <w:tr w14:paraId="0AC11C7B">
        <w:tblPrEx>
          <w:tblCellMar>
            <w:top w:w="0" w:type="dxa"/>
            <w:left w:w="108" w:type="dxa"/>
            <w:bottom w:w="0" w:type="dxa"/>
            <w:right w:w="108" w:type="dxa"/>
          </w:tblCellMar>
        </w:tblPrEx>
        <w:trPr>
          <w:trHeight w:val="492" w:hRule="atLeast"/>
        </w:trPr>
        <w:tc>
          <w:tcPr>
            <w:tcW w:w="4511" w:type="dxa"/>
            <w:tcBorders>
              <w:tl2br w:val="nil"/>
              <w:tr2bl w:val="nil"/>
            </w:tcBorders>
            <w:vAlign w:val="center"/>
          </w:tcPr>
          <w:p w14:paraId="556CCC16">
            <w:pPr>
              <w:keepNext w:val="0"/>
              <w:keepLines w:val="0"/>
              <w:pageBreakBefore w:val="0"/>
              <w:widowControl w:val="0"/>
              <w:kinsoku/>
              <w:wordWrap/>
              <w:overflowPunct/>
              <w:topLinePunct w:val="0"/>
              <w:bidi w:val="0"/>
              <w:spacing w:line="360" w:lineRule="auto"/>
              <w:ind w:left="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税号：</w:t>
            </w:r>
          </w:p>
        </w:tc>
        <w:tc>
          <w:tcPr>
            <w:tcW w:w="4008" w:type="dxa"/>
            <w:tcBorders>
              <w:tl2br w:val="nil"/>
              <w:tr2bl w:val="nil"/>
            </w:tcBorders>
            <w:vAlign w:val="center"/>
          </w:tcPr>
          <w:p w14:paraId="5CB9616E">
            <w:pPr>
              <w:keepNext w:val="0"/>
              <w:keepLines w:val="0"/>
              <w:pageBreakBefore w:val="0"/>
              <w:widowControl w:val="0"/>
              <w:kinsoku/>
              <w:wordWrap/>
              <w:overflowPunct/>
              <w:topLinePunct w:val="0"/>
              <w:bidi w:val="0"/>
              <w:spacing w:line="360" w:lineRule="auto"/>
              <w:ind w:left="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税号：</w:t>
            </w:r>
          </w:p>
        </w:tc>
      </w:tr>
      <w:tr w14:paraId="4CD35FBD">
        <w:tblPrEx>
          <w:tblCellMar>
            <w:top w:w="0" w:type="dxa"/>
            <w:left w:w="108" w:type="dxa"/>
            <w:bottom w:w="0" w:type="dxa"/>
            <w:right w:w="108" w:type="dxa"/>
          </w:tblCellMar>
        </w:tblPrEx>
        <w:trPr>
          <w:trHeight w:val="791" w:hRule="atLeast"/>
        </w:trPr>
        <w:tc>
          <w:tcPr>
            <w:tcW w:w="4511" w:type="dxa"/>
            <w:tcBorders>
              <w:tl2br w:val="nil"/>
              <w:tr2bl w:val="nil"/>
            </w:tcBorders>
            <w:vAlign w:val="center"/>
          </w:tcPr>
          <w:p w14:paraId="62FB5AA3">
            <w:pPr>
              <w:keepNext w:val="0"/>
              <w:keepLines w:val="0"/>
              <w:pageBreakBefore w:val="0"/>
              <w:widowControl w:val="0"/>
              <w:kinsoku/>
              <w:wordWrap/>
              <w:overflowPunct/>
              <w:topLinePunct w:val="0"/>
              <w:bidi w:val="0"/>
              <w:spacing w:line="360" w:lineRule="auto"/>
              <w:ind w:left="0" w:right="0" w:hanging="720" w:hanging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4008" w:type="dxa"/>
            <w:tcBorders>
              <w:tl2br w:val="nil"/>
              <w:tr2bl w:val="nil"/>
            </w:tcBorders>
            <w:vAlign w:val="center"/>
          </w:tcPr>
          <w:p w14:paraId="61424359">
            <w:pPr>
              <w:keepNext w:val="0"/>
              <w:keepLines w:val="0"/>
              <w:pageBreakBefore w:val="0"/>
              <w:widowControl w:val="0"/>
              <w:kinsoku/>
              <w:wordWrap/>
              <w:overflowPunct/>
              <w:topLinePunct w:val="0"/>
              <w:bidi w:val="0"/>
              <w:spacing w:line="360" w:lineRule="auto"/>
              <w:ind w:left="0" w:right="0" w:hanging="600" w:hangingChars="2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地址： </w:t>
            </w:r>
          </w:p>
        </w:tc>
      </w:tr>
      <w:tr w14:paraId="3E574104">
        <w:tblPrEx>
          <w:tblCellMar>
            <w:top w:w="0" w:type="dxa"/>
            <w:left w:w="108" w:type="dxa"/>
            <w:bottom w:w="0" w:type="dxa"/>
            <w:right w:w="108" w:type="dxa"/>
          </w:tblCellMar>
        </w:tblPrEx>
        <w:trPr>
          <w:trHeight w:val="441" w:hRule="atLeast"/>
        </w:trPr>
        <w:tc>
          <w:tcPr>
            <w:tcW w:w="4511" w:type="dxa"/>
            <w:tcBorders>
              <w:tl2br w:val="nil"/>
              <w:tr2bl w:val="nil"/>
            </w:tcBorders>
            <w:vAlign w:val="center"/>
          </w:tcPr>
          <w:p w14:paraId="0A7FA785">
            <w:pPr>
              <w:keepNext w:val="0"/>
              <w:keepLines w:val="0"/>
              <w:pageBreakBefore w:val="0"/>
              <w:widowControl w:val="0"/>
              <w:kinsoku/>
              <w:wordWrap/>
              <w:overflowPunct/>
              <w:topLinePunct w:val="0"/>
              <w:bidi w:val="0"/>
              <w:spacing w:line="360" w:lineRule="auto"/>
              <w:ind w:left="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4008" w:type="dxa"/>
            <w:tcBorders>
              <w:tl2br w:val="nil"/>
              <w:tr2bl w:val="nil"/>
            </w:tcBorders>
            <w:vAlign w:val="center"/>
          </w:tcPr>
          <w:p w14:paraId="5C9FFE3F">
            <w:pPr>
              <w:keepNext w:val="0"/>
              <w:keepLines w:val="0"/>
              <w:pageBreakBefore w:val="0"/>
              <w:widowControl w:val="0"/>
              <w:kinsoku/>
              <w:wordWrap/>
              <w:overflowPunct/>
              <w:topLinePunct w:val="0"/>
              <w:bidi w:val="0"/>
              <w:spacing w:line="360" w:lineRule="auto"/>
              <w:ind w:left="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bl>
    <w:p w14:paraId="6FBC610C">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7519A9"/>
    <w:rsid w:val="78751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2025-10-15T08:41:00Z</dcterms:created>
  <dc:creator>樱桃小晨子 </dc:creator>
  <cp:lastModifiedBy>樱桃小晨子 </cp:lastModifiedBy>
  <dcterms:modified xsi:type="dcterms:W3CDTF">2025-10-15T08:43:03Z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8BADDD7B06894C338EE67C600261E163_11</vt:lpwstr>
  </property>
  <property fmtid="{D5CDD505-2E9C-101B-9397-08002B2CF9AE}" pid="4" name="KSOTemplateDocerSaveRecord">
    <vt:lpwstr>eyJoZGlkIjoiM2M3YzY2MTJlM2NiOWMzYTQ2OTAxM2ExNTQ1NzRkYTQiLCJ1c2VySWQiOiIxMjkzNTU3MjkzIn0=</vt:lpwstr>
  </property>
</Properties>
</file>